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531" w:rsidRPr="00DE7531" w:rsidRDefault="00355988" w:rsidP="00DE7531">
      <w:bookmarkStart w:id="0" w:name="_Toc339268152"/>
      <w:r>
        <w:rPr>
          <w:noProof/>
          <w:lang w:eastAsia="en-AU"/>
        </w:rPr>
        <w:drawing>
          <wp:anchor distT="0" distB="0" distL="114300" distR="114300" simplePos="0" relativeHeight="251661312" behindDoc="0" locked="0" layoutInCell="1" allowOverlap="1" wp14:anchorId="4108F733" wp14:editId="10002510">
            <wp:simplePos x="0" y="0"/>
            <wp:positionH relativeFrom="column">
              <wp:posOffset>0</wp:posOffset>
            </wp:positionH>
            <wp:positionV relativeFrom="paragraph">
              <wp:posOffset>-541655</wp:posOffset>
            </wp:positionV>
            <wp:extent cx="1924685" cy="610870"/>
            <wp:effectExtent l="0" t="0" r="3175" b="7620"/>
            <wp:wrapNone/>
            <wp:docPr id="2" name="Picture 2" descr="DAWR_Master Brandmark_Inline_CMYK-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WR_Master Brandmark_Inline_CMYK-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685" cy="610870"/>
                    </a:xfrm>
                    <a:prstGeom prst="rect">
                      <a:avLst/>
                    </a:prstGeom>
                    <a:noFill/>
                  </pic:spPr>
                </pic:pic>
              </a:graphicData>
            </a:graphic>
            <wp14:sizeRelH relativeFrom="page">
              <wp14:pctWidth>0</wp14:pctWidth>
            </wp14:sizeRelH>
            <wp14:sizeRelV relativeFrom="page">
              <wp14:pctHeight>0</wp14:pctHeight>
            </wp14:sizeRelV>
          </wp:anchor>
        </w:drawing>
      </w:r>
    </w:p>
    <w:p w:rsidR="00F40D28" w:rsidRPr="00494D22" w:rsidRDefault="00C11CC8" w:rsidP="00DE7531">
      <w:pPr>
        <w:pStyle w:val="Heading1"/>
      </w:pPr>
      <w:r w:rsidRPr="00494D22">
        <w:t>Australian Bureau of Agricultural and Resource Economics and Sciences:</w:t>
      </w:r>
      <w:r w:rsidR="00661C6D" w:rsidRPr="00494D22">
        <w:t xml:space="preserve"> </w:t>
      </w:r>
      <w:r w:rsidR="00D10F9B">
        <w:t>2016</w:t>
      </w:r>
      <w:r w:rsidR="0027497C">
        <w:t>–</w:t>
      </w:r>
      <w:r w:rsidR="00D10F9B">
        <w:t>17</w:t>
      </w:r>
      <w:r w:rsidR="00E007AB">
        <w:t xml:space="preserve"> Work P</w:t>
      </w:r>
      <w:r w:rsidR="00661C6D" w:rsidRPr="00494D22">
        <w:t>rogra</w:t>
      </w:r>
      <w:bookmarkEnd w:id="0"/>
      <w:r w:rsidR="00E007AB">
        <w:t>m</w:t>
      </w:r>
      <w:r w:rsidR="00284191">
        <w:t>me</w:t>
      </w:r>
    </w:p>
    <w:p w:rsidR="00F40D28" w:rsidRPr="00DE7531" w:rsidRDefault="00DE7531" w:rsidP="00DE7531">
      <w:r w:rsidRPr="00DE7531">
        <w:rPr>
          <w:noProof/>
          <w:lang w:eastAsia="en-AU"/>
        </w:rPr>
        <w:drawing>
          <wp:anchor distT="0" distB="0" distL="114300" distR="114300" simplePos="0" relativeHeight="251659264" behindDoc="1" locked="0" layoutInCell="1" allowOverlap="1" wp14:anchorId="709A9FDD" wp14:editId="76F3E54E">
            <wp:simplePos x="0" y="0"/>
            <wp:positionH relativeFrom="column">
              <wp:posOffset>169333</wp:posOffset>
            </wp:positionH>
            <wp:positionV relativeFrom="paragraph">
              <wp:posOffset>228812</wp:posOffset>
            </wp:positionV>
            <wp:extent cx="5619883" cy="5596466"/>
            <wp:effectExtent l="0" t="0" r="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link.agdaff.gov.au/team/abares/PublishingImages/New%20ABARES%20Biospheres/generic_abares.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619883" cy="5596466"/>
                    </a:xfrm>
                    <a:prstGeom prst="rect">
                      <a:avLst/>
                    </a:prstGeom>
                    <a:noFill/>
                    <a:ln w="9525">
                      <a:noFill/>
                      <a:miter lim="800000"/>
                      <a:headEnd/>
                      <a:tailEnd/>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C11CC8">
        <w:br w:type="page"/>
      </w:r>
    </w:p>
    <w:p w:rsidR="00F40D28" w:rsidRPr="005C2B11" w:rsidRDefault="00C11CC8">
      <w:pPr>
        <w:rPr>
          <w:rFonts w:asciiTheme="minorHAnsi" w:hAnsiTheme="minorHAnsi"/>
          <w:sz w:val="20"/>
          <w:szCs w:val="20"/>
        </w:rPr>
      </w:pPr>
      <w:r w:rsidRPr="005C2B11">
        <w:rPr>
          <w:rFonts w:asciiTheme="minorHAnsi" w:hAnsiTheme="minorHAnsi"/>
          <w:sz w:val="20"/>
          <w:szCs w:val="20"/>
        </w:rPr>
        <w:lastRenderedPageBreak/>
        <w:t>© Commonwealth of Australia</w:t>
      </w:r>
    </w:p>
    <w:p w:rsidR="00F40D28" w:rsidRPr="005C2B11" w:rsidRDefault="00C11CC8" w:rsidP="005C2B11">
      <w:pPr>
        <w:rPr>
          <w:sz w:val="20"/>
          <w:szCs w:val="20"/>
        </w:rPr>
      </w:pPr>
      <w:bookmarkStart w:id="1" w:name="_Toc339268153"/>
      <w:r w:rsidRPr="005C2B11">
        <w:rPr>
          <w:rStyle w:val="Strong"/>
          <w:sz w:val="20"/>
          <w:szCs w:val="20"/>
        </w:rPr>
        <w:t>Ownership of intellectual property rights</w:t>
      </w:r>
      <w:bookmarkEnd w:id="1"/>
      <w:r w:rsidRPr="00494D22">
        <w:rPr>
          <w:rStyle w:val="Heading4Char"/>
        </w:rPr>
        <w:br/>
      </w:r>
      <w:proofErr w:type="gramStart"/>
      <w:r w:rsidRPr="005C2B11">
        <w:rPr>
          <w:sz w:val="20"/>
          <w:szCs w:val="20"/>
        </w:rPr>
        <w:t>Unless</w:t>
      </w:r>
      <w:proofErr w:type="gramEnd"/>
      <w:r w:rsidRPr="005C2B11">
        <w:rPr>
          <w:sz w:val="20"/>
          <w:szCs w:val="20"/>
        </w:rPr>
        <w:t xml:space="preserve"> otherwise noted, copyright (and any other intellectual property rights, if any) in this publication is owned by the Commonwealth of Australia (referred to as the Commonwealth).</w:t>
      </w:r>
    </w:p>
    <w:p w:rsidR="00F40D28" w:rsidRPr="005C2B11" w:rsidRDefault="00C11CC8" w:rsidP="005C2B11">
      <w:pPr>
        <w:rPr>
          <w:sz w:val="20"/>
          <w:szCs w:val="20"/>
        </w:rPr>
      </w:pPr>
      <w:bookmarkStart w:id="2" w:name="_Toc339268154"/>
      <w:r w:rsidRPr="005C2B11">
        <w:rPr>
          <w:rStyle w:val="Strong"/>
          <w:sz w:val="20"/>
          <w:szCs w:val="20"/>
        </w:rPr>
        <w:t>Creative Commons licence</w:t>
      </w:r>
      <w:bookmarkEnd w:id="2"/>
      <w:r w:rsidRPr="005C2B11">
        <w:rPr>
          <w:rStyle w:val="Strong"/>
          <w:sz w:val="20"/>
          <w:szCs w:val="20"/>
        </w:rPr>
        <w:br/>
      </w:r>
      <w:proofErr w:type="gramStart"/>
      <w:r w:rsidRPr="005C2B11">
        <w:rPr>
          <w:sz w:val="20"/>
          <w:szCs w:val="20"/>
        </w:rPr>
        <w:t>All</w:t>
      </w:r>
      <w:proofErr w:type="gramEnd"/>
      <w:r w:rsidRPr="005C2B11">
        <w:rPr>
          <w:sz w:val="20"/>
          <w:szCs w:val="20"/>
        </w:rPr>
        <w:t xml:space="preserve"> material in this publication is licensed under a Creative Commons Attribution 3.0 Australia Licence, save for content supplied by third parties, logos and</w:t>
      </w:r>
      <w:r w:rsidR="00426277">
        <w:rPr>
          <w:sz w:val="20"/>
          <w:szCs w:val="20"/>
        </w:rPr>
        <w:t xml:space="preserve"> the Commonwealth Coat of Arms.</w:t>
      </w:r>
    </w:p>
    <w:p w:rsidR="00F40D28" w:rsidRPr="005C2B11" w:rsidRDefault="00C11CC8" w:rsidP="005C2B11">
      <w:pPr>
        <w:rPr>
          <w:sz w:val="20"/>
          <w:szCs w:val="20"/>
        </w:rPr>
      </w:pPr>
      <w:r w:rsidRPr="005C2B11">
        <w:rPr>
          <w:sz w:val="20"/>
          <w:szCs w:val="20"/>
        </w:rPr>
        <w:t>Creative Commons Attribution 3.0 Australia Licence is a standard form licence agreement that allows you to copy, distribute, transmit and adapt this publication provided you attribute the work. A summary of the licence terms is available from creativecommons.org/licenses/by/3.0/au/</w:t>
      </w:r>
      <w:proofErr w:type="spellStart"/>
      <w:r w:rsidRPr="005C2B11">
        <w:rPr>
          <w:sz w:val="20"/>
          <w:szCs w:val="20"/>
        </w:rPr>
        <w:t>deed.en</w:t>
      </w:r>
      <w:proofErr w:type="spellEnd"/>
      <w:r w:rsidRPr="005C2B11">
        <w:rPr>
          <w:sz w:val="20"/>
          <w:szCs w:val="20"/>
        </w:rPr>
        <w:t>. The full licence terms are available from creativecommons.org/licenses/by/3.0/au/</w:t>
      </w:r>
      <w:proofErr w:type="spellStart"/>
      <w:r w:rsidRPr="005C2B11">
        <w:rPr>
          <w:sz w:val="20"/>
          <w:szCs w:val="20"/>
        </w:rPr>
        <w:t>legalcode</w:t>
      </w:r>
      <w:proofErr w:type="spellEnd"/>
      <w:r w:rsidRPr="005C2B11">
        <w:rPr>
          <w:sz w:val="20"/>
          <w:szCs w:val="20"/>
        </w:rPr>
        <w:t>.</w:t>
      </w:r>
    </w:p>
    <w:p w:rsidR="00F40D28" w:rsidRPr="005C2B11" w:rsidRDefault="00C11CC8" w:rsidP="005C2B11">
      <w:pPr>
        <w:rPr>
          <w:sz w:val="20"/>
          <w:szCs w:val="20"/>
        </w:rPr>
      </w:pPr>
      <w:r w:rsidRPr="005C2B11">
        <w:rPr>
          <w:sz w:val="20"/>
          <w:szCs w:val="20"/>
        </w:rPr>
        <w:t>This publication (and any material sourced from it) should be attributed as: ABARES 201</w:t>
      </w:r>
      <w:r w:rsidR="00FF174D">
        <w:rPr>
          <w:sz w:val="20"/>
          <w:szCs w:val="20"/>
        </w:rPr>
        <w:t>6</w:t>
      </w:r>
      <w:r w:rsidRPr="005C2B11">
        <w:rPr>
          <w:sz w:val="20"/>
          <w:szCs w:val="20"/>
        </w:rPr>
        <w:t>,</w:t>
      </w:r>
      <w:r w:rsidR="00590E05" w:rsidRPr="005C2B11">
        <w:rPr>
          <w:sz w:val="20"/>
          <w:szCs w:val="20"/>
        </w:rPr>
        <w:t xml:space="preserve"> Profile and work programme 201</w:t>
      </w:r>
      <w:r w:rsidR="00FF174D">
        <w:rPr>
          <w:sz w:val="20"/>
          <w:szCs w:val="20"/>
        </w:rPr>
        <w:t>6</w:t>
      </w:r>
      <w:r w:rsidR="00590E05" w:rsidRPr="005C2B11">
        <w:rPr>
          <w:sz w:val="20"/>
          <w:szCs w:val="20"/>
        </w:rPr>
        <w:t>–1</w:t>
      </w:r>
      <w:r w:rsidR="00FF174D">
        <w:rPr>
          <w:sz w:val="20"/>
          <w:szCs w:val="20"/>
        </w:rPr>
        <w:t>7</w:t>
      </w:r>
      <w:r w:rsidR="00426277">
        <w:rPr>
          <w:sz w:val="20"/>
          <w:szCs w:val="20"/>
        </w:rPr>
        <w:t>. CC BY 3.0.</w:t>
      </w:r>
    </w:p>
    <w:p w:rsidR="00F40D28" w:rsidRPr="005C2B11" w:rsidRDefault="00C11CC8" w:rsidP="005C2B11">
      <w:pPr>
        <w:rPr>
          <w:sz w:val="20"/>
          <w:szCs w:val="20"/>
        </w:rPr>
      </w:pPr>
      <w:bookmarkStart w:id="3" w:name="_Toc339268155"/>
      <w:r w:rsidRPr="005C2B11">
        <w:rPr>
          <w:rStyle w:val="Strong"/>
          <w:sz w:val="20"/>
          <w:szCs w:val="20"/>
        </w:rPr>
        <w:t>Cataloguing data</w:t>
      </w:r>
      <w:bookmarkEnd w:id="3"/>
      <w:r w:rsidRPr="005C2B11">
        <w:rPr>
          <w:rStyle w:val="Strong"/>
          <w:sz w:val="20"/>
          <w:szCs w:val="20"/>
        </w:rPr>
        <w:br/>
      </w:r>
      <w:r w:rsidRPr="005C2B11">
        <w:rPr>
          <w:sz w:val="20"/>
          <w:szCs w:val="20"/>
        </w:rPr>
        <w:t>ABARES 201</w:t>
      </w:r>
      <w:r w:rsidR="00284191">
        <w:rPr>
          <w:sz w:val="20"/>
          <w:szCs w:val="20"/>
        </w:rPr>
        <w:t>6</w:t>
      </w:r>
      <w:r w:rsidRPr="005C2B11">
        <w:rPr>
          <w:sz w:val="20"/>
          <w:szCs w:val="20"/>
        </w:rPr>
        <w:t>,</w:t>
      </w:r>
      <w:r w:rsidR="007B2066" w:rsidRPr="005C2B11">
        <w:rPr>
          <w:sz w:val="20"/>
          <w:szCs w:val="20"/>
        </w:rPr>
        <w:t xml:space="preserve"> </w:t>
      </w:r>
      <w:r w:rsidR="00731BA3" w:rsidRPr="005C2B11">
        <w:rPr>
          <w:sz w:val="20"/>
          <w:szCs w:val="20"/>
        </w:rPr>
        <w:t>201</w:t>
      </w:r>
      <w:r w:rsidR="00284191">
        <w:rPr>
          <w:sz w:val="20"/>
          <w:szCs w:val="20"/>
        </w:rPr>
        <w:t>6</w:t>
      </w:r>
      <w:r w:rsidR="0027497C">
        <w:rPr>
          <w:sz w:val="20"/>
          <w:szCs w:val="20"/>
        </w:rPr>
        <w:t>–</w:t>
      </w:r>
      <w:r w:rsidR="00731BA3" w:rsidRPr="005C2B11">
        <w:rPr>
          <w:sz w:val="20"/>
          <w:szCs w:val="20"/>
        </w:rPr>
        <w:t>1</w:t>
      </w:r>
      <w:r w:rsidR="00FF174D">
        <w:rPr>
          <w:sz w:val="20"/>
          <w:szCs w:val="20"/>
        </w:rPr>
        <w:t>7</w:t>
      </w:r>
      <w:r w:rsidR="00731BA3" w:rsidRPr="005C2B11">
        <w:rPr>
          <w:sz w:val="20"/>
          <w:szCs w:val="20"/>
        </w:rPr>
        <w:t xml:space="preserve"> </w:t>
      </w:r>
      <w:r w:rsidR="0027497C">
        <w:rPr>
          <w:sz w:val="20"/>
          <w:szCs w:val="20"/>
        </w:rPr>
        <w:t>W</w:t>
      </w:r>
      <w:r w:rsidR="0027497C" w:rsidRPr="005C2B11">
        <w:rPr>
          <w:sz w:val="20"/>
          <w:szCs w:val="20"/>
        </w:rPr>
        <w:t xml:space="preserve">ork </w:t>
      </w:r>
      <w:r w:rsidR="0027497C">
        <w:rPr>
          <w:sz w:val="20"/>
          <w:szCs w:val="20"/>
        </w:rPr>
        <w:t>P</w:t>
      </w:r>
      <w:r w:rsidR="0027497C" w:rsidRPr="005C2B11">
        <w:rPr>
          <w:sz w:val="20"/>
          <w:szCs w:val="20"/>
        </w:rPr>
        <w:t>rogramme</w:t>
      </w:r>
      <w:r w:rsidRPr="005C2B11">
        <w:rPr>
          <w:sz w:val="20"/>
          <w:szCs w:val="20"/>
        </w:rPr>
        <w:t>, Australian Bureau of Agricultural and Resource Economics and Sciences, Canberra</w:t>
      </w:r>
    </w:p>
    <w:p w:rsidR="00F40D28" w:rsidRPr="005C2B11" w:rsidRDefault="00C11CC8" w:rsidP="005C2B11">
      <w:pPr>
        <w:rPr>
          <w:sz w:val="20"/>
          <w:szCs w:val="20"/>
        </w:rPr>
      </w:pPr>
      <w:bookmarkStart w:id="4" w:name="_Toc339268156"/>
      <w:r w:rsidRPr="005C2B11">
        <w:rPr>
          <w:rStyle w:val="Strong"/>
          <w:sz w:val="20"/>
          <w:szCs w:val="20"/>
        </w:rPr>
        <w:t>Internet</w:t>
      </w:r>
      <w:bookmarkEnd w:id="4"/>
      <w:r w:rsidRPr="005C2B11">
        <w:rPr>
          <w:rStyle w:val="Strong"/>
          <w:sz w:val="20"/>
          <w:szCs w:val="20"/>
        </w:rPr>
        <w:br/>
      </w:r>
      <w:r w:rsidR="00912B8D" w:rsidRPr="005C2B11">
        <w:rPr>
          <w:sz w:val="20"/>
          <w:szCs w:val="20"/>
        </w:rPr>
        <w:t xml:space="preserve">ABARES </w:t>
      </w:r>
      <w:r w:rsidR="00661C6D" w:rsidRPr="005C2B11">
        <w:rPr>
          <w:sz w:val="20"/>
          <w:szCs w:val="20"/>
        </w:rPr>
        <w:t>201</w:t>
      </w:r>
      <w:r w:rsidR="00284191">
        <w:rPr>
          <w:sz w:val="20"/>
          <w:szCs w:val="20"/>
        </w:rPr>
        <w:t>6</w:t>
      </w:r>
      <w:r w:rsidR="00661C6D" w:rsidRPr="005C2B11">
        <w:rPr>
          <w:sz w:val="20"/>
          <w:szCs w:val="20"/>
        </w:rPr>
        <w:t>–1</w:t>
      </w:r>
      <w:r w:rsidR="00284191">
        <w:rPr>
          <w:sz w:val="20"/>
          <w:szCs w:val="20"/>
        </w:rPr>
        <w:t>7</w:t>
      </w:r>
      <w:r w:rsidR="00912B8D" w:rsidRPr="005C2B11">
        <w:rPr>
          <w:sz w:val="20"/>
          <w:szCs w:val="20"/>
        </w:rPr>
        <w:t xml:space="preserve"> </w:t>
      </w:r>
      <w:r w:rsidR="0027497C">
        <w:rPr>
          <w:sz w:val="20"/>
          <w:szCs w:val="20"/>
        </w:rPr>
        <w:t>W</w:t>
      </w:r>
      <w:r w:rsidR="0027497C" w:rsidRPr="005C2B11">
        <w:rPr>
          <w:sz w:val="20"/>
          <w:szCs w:val="20"/>
        </w:rPr>
        <w:t xml:space="preserve">ork </w:t>
      </w:r>
      <w:r w:rsidR="0027497C">
        <w:rPr>
          <w:sz w:val="20"/>
          <w:szCs w:val="20"/>
        </w:rPr>
        <w:t>P</w:t>
      </w:r>
      <w:r w:rsidR="0027497C" w:rsidRPr="005C2B11">
        <w:rPr>
          <w:sz w:val="20"/>
          <w:szCs w:val="20"/>
        </w:rPr>
        <w:t>rogramme</w:t>
      </w:r>
      <w:r w:rsidRPr="005C2B11">
        <w:rPr>
          <w:sz w:val="20"/>
          <w:szCs w:val="20"/>
        </w:rPr>
        <w:t>, is available at: agriculture.gov.au/abares/</w:t>
      </w:r>
      <w:proofErr w:type="spellStart"/>
      <w:r w:rsidRPr="005C2B11">
        <w:rPr>
          <w:sz w:val="20"/>
          <w:szCs w:val="20"/>
        </w:rPr>
        <w:t>workplan</w:t>
      </w:r>
      <w:proofErr w:type="spellEnd"/>
    </w:p>
    <w:p w:rsidR="00F40D28" w:rsidRPr="005C2B11" w:rsidRDefault="00C11CC8" w:rsidP="005C2B11">
      <w:pPr>
        <w:spacing w:after="0"/>
        <w:rPr>
          <w:sz w:val="20"/>
          <w:szCs w:val="20"/>
        </w:rPr>
      </w:pPr>
      <w:bookmarkStart w:id="5" w:name="_Toc339268157"/>
      <w:r w:rsidRPr="005C2B11">
        <w:rPr>
          <w:rStyle w:val="Strong"/>
          <w:sz w:val="20"/>
          <w:szCs w:val="20"/>
        </w:rPr>
        <w:t>Contact</w:t>
      </w:r>
      <w:bookmarkEnd w:id="5"/>
      <w:r w:rsidRPr="005C2B11">
        <w:rPr>
          <w:rStyle w:val="Strong"/>
          <w:sz w:val="20"/>
          <w:szCs w:val="20"/>
        </w:rPr>
        <w:br/>
      </w:r>
      <w:r w:rsidRPr="005C2B11">
        <w:rPr>
          <w:sz w:val="20"/>
          <w:szCs w:val="20"/>
        </w:rPr>
        <w:t>Australian Bureau of Agricultural and Resource Economics and Sciences (ABARES)</w:t>
      </w:r>
    </w:p>
    <w:p w:rsidR="005C2B11" w:rsidRPr="005C2B11" w:rsidRDefault="005C2B11" w:rsidP="005C2B11">
      <w:pPr>
        <w:spacing w:after="0"/>
        <w:ind w:left="2127" w:hanging="2127"/>
        <w:rPr>
          <w:sz w:val="20"/>
          <w:szCs w:val="20"/>
        </w:rPr>
      </w:pPr>
      <w:r w:rsidRPr="005C2B11">
        <w:rPr>
          <w:sz w:val="20"/>
          <w:szCs w:val="20"/>
        </w:rPr>
        <w:t>Postal address</w:t>
      </w:r>
      <w:r w:rsidRPr="005C2B11">
        <w:rPr>
          <w:sz w:val="20"/>
          <w:szCs w:val="20"/>
        </w:rPr>
        <w:tab/>
      </w:r>
      <w:r w:rsidR="00C11CC8" w:rsidRPr="005C2B11">
        <w:rPr>
          <w:sz w:val="20"/>
          <w:szCs w:val="20"/>
        </w:rPr>
        <w:t xml:space="preserve">GPO Box 858 </w:t>
      </w:r>
      <w:r w:rsidR="00787AAA" w:rsidRPr="005C2B11">
        <w:rPr>
          <w:sz w:val="20"/>
          <w:szCs w:val="20"/>
        </w:rPr>
        <w:t>Canberra ACT 2601</w:t>
      </w:r>
    </w:p>
    <w:p w:rsidR="005C2B11" w:rsidRPr="005C2B11" w:rsidRDefault="00C11CC8" w:rsidP="005C2B11">
      <w:pPr>
        <w:spacing w:after="0"/>
        <w:ind w:left="2127" w:hanging="2127"/>
        <w:rPr>
          <w:sz w:val="20"/>
          <w:szCs w:val="20"/>
        </w:rPr>
      </w:pPr>
      <w:r w:rsidRPr="005C2B11">
        <w:rPr>
          <w:sz w:val="20"/>
          <w:szCs w:val="20"/>
        </w:rPr>
        <w:t>Switch</w:t>
      </w:r>
      <w:r w:rsidR="005C2B11" w:rsidRPr="005C2B11">
        <w:rPr>
          <w:sz w:val="20"/>
          <w:szCs w:val="20"/>
        </w:rPr>
        <w:t>board</w:t>
      </w:r>
      <w:r w:rsidR="005C2B11" w:rsidRPr="005C2B11">
        <w:rPr>
          <w:sz w:val="20"/>
          <w:szCs w:val="20"/>
        </w:rPr>
        <w:tab/>
        <w:t>+61 2 6272 2000</w:t>
      </w:r>
    </w:p>
    <w:p w:rsidR="005C2B11" w:rsidRPr="005C2B11" w:rsidRDefault="005C2B11" w:rsidP="005C2B11">
      <w:pPr>
        <w:spacing w:after="0"/>
        <w:ind w:left="2127" w:hanging="2127"/>
        <w:rPr>
          <w:sz w:val="20"/>
          <w:szCs w:val="20"/>
        </w:rPr>
      </w:pPr>
      <w:r w:rsidRPr="005C2B11">
        <w:rPr>
          <w:sz w:val="20"/>
          <w:szCs w:val="20"/>
        </w:rPr>
        <w:t>Facsimile</w:t>
      </w:r>
      <w:r w:rsidRPr="005C2B11">
        <w:rPr>
          <w:sz w:val="20"/>
          <w:szCs w:val="20"/>
        </w:rPr>
        <w:tab/>
        <w:t>+61 2 6272 2001</w:t>
      </w:r>
    </w:p>
    <w:p w:rsidR="005C2B11" w:rsidRPr="005C2B11" w:rsidRDefault="005C2B11" w:rsidP="005C2B11">
      <w:pPr>
        <w:spacing w:after="0"/>
        <w:ind w:left="2127" w:hanging="2127"/>
        <w:rPr>
          <w:sz w:val="20"/>
          <w:szCs w:val="20"/>
        </w:rPr>
      </w:pPr>
      <w:r w:rsidRPr="005C2B11">
        <w:rPr>
          <w:sz w:val="20"/>
          <w:szCs w:val="20"/>
        </w:rPr>
        <w:t>Email</w:t>
      </w:r>
      <w:r w:rsidRPr="005C2B11">
        <w:rPr>
          <w:sz w:val="20"/>
          <w:szCs w:val="20"/>
        </w:rPr>
        <w:tab/>
      </w:r>
      <w:hyperlink r:id="rId13" w:history="1">
        <w:r w:rsidRPr="005C2B11">
          <w:rPr>
            <w:rStyle w:val="Hyperlink"/>
            <w:sz w:val="20"/>
            <w:szCs w:val="20"/>
          </w:rPr>
          <w:t>info.abares@agriculture.gov.au</w:t>
        </w:r>
      </w:hyperlink>
    </w:p>
    <w:p w:rsidR="00F40D28" w:rsidRPr="005C2B11" w:rsidRDefault="00C11CC8" w:rsidP="005C2B11">
      <w:pPr>
        <w:spacing w:after="0"/>
        <w:ind w:left="2127" w:hanging="2127"/>
        <w:rPr>
          <w:sz w:val="20"/>
          <w:szCs w:val="20"/>
        </w:rPr>
      </w:pPr>
      <w:r w:rsidRPr="005C2B11">
        <w:rPr>
          <w:sz w:val="20"/>
          <w:szCs w:val="20"/>
        </w:rPr>
        <w:t>Web</w:t>
      </w:r>
      <w:r w:rsidRPr="005C2B11">
        <w:rPr>
          <w:sz w:val="20"/>
          <w:szCs w:val="20"/>
        </w:rPr>
        <w:tab/>
        <w:t>agriculture.gov.au/abares</w:t>
      </w:r>
    </w:p>
    <w:p w:rsidR="00F40D28" w:rsidRPr="005C2B11" w:rsidRDefault="00C11CC8" w:rsidP="005C2B11">
      <w:pPr>
        <w:rPr>
          <w:sz w:val="20"/>
          <w:szCs w:val="20"/>
        </w:rPr>
      </w:pPr>
      <w:r w:rsidRPr="005C2B11">
        <w:rPr>
          <w:sz w:val="20"/>
          <w:szCs w:val="20"/>
        </w:rPr>
        <w:t>Inquiries regarding the licence and any use of this document should be sent to: copyright@</w:t>
      </w:r>
      <w:r w:rsidR="00E1070B" w:rsidRPr="005C2B11">
        <w:rPr>
          <w:sz w:val="20"/>
          <w:szCs w:val="20"/>
        </w:rPr>
        <w:t>agriculture</w:t>
      </w:r>
      <w:r w:rsidRPr="005C2B11">
        <w:rPr>
          <w:sz w:val="20"/>
          <w:szCs w:val="20"/>
        </w:rPr>
        <w:t>.gov.au.</w:t>
      </w:r>
    </w:p>
    <w:p w:rsidR="00F40D28" w:rsidRPr="005C2B11" w:rsidRDefault="00C11CC8" w:rsidP="005C2B11">
      <w:pPr>
        <w:rPr>
          <w:sz w:val="20"/>
          <w:szCs w:val="20"/>
        </w:rPr>
      </w:pPr>
      <w:r w:rsidRPr="005C2B11">
        <w:rPr>
          <w:sz w:val="20"/>
          <w:szCs w:val="20"/>
        </w:rPr>
        <w:t>The Australian Government, acting through the Department of Agriculture represented by the Australian Bureau of Agricultural and Resource Economics and Sciences, has exercised due care and skill in the preparation and compilation of the information and data in this publication. Notwithstanding, the Department of Agriculture, ABARES, its employees and advisers disclaim all liability, including liability for negligence, for any loss, damage, injury, expense or cost incurred by any person as a result of accessing, using or relying upon any of the information or data in this publication to the maximum extent permitted by law.</w:t>
      </w:r>
    </w:p>
    <w:tbl>
      <w:tblPr>
        <w:tblStyle w:val="TableGrid"/>
        <w:tblW w:w="9606" w:type="dxa"/>
        <w:tblLook w:val="04A0" w:firstRow="1" w:lastRow="0" w:firstColumn="1" w:lastColumn="0" w:noHBand="0" w:noVBand="1"/>
      </w:tblPr>
      <w:tblGrid>
        <w:gridCol w:w="9606"/>
      </w:tblGrid>
      <w:tr w:rsidR="0013636E" w:rsidRPr="00661C6D" w:rsidTr="00B20BC0">
        <w:tc>
          <w:tcPr>
            <w:tcW w:w="9606" w:type="dxa"/>
            <w:tcBorders>
              <w:top w:val="nil"/>
              <w:left w:val="nil"/>
              <w:bottom w:val="nil"/>
              <w:right w:val="nil"/>
            </w:tcBorders>
          </w:tcPr>
          <w:p w:rsidR="0013636E" w:rsidRPr="00E551AB" w:rsidRDefault="0013636E" w:rsidP="00DE7531">
            <w:pPr>
              <w:pStyle w:val="TOC1"/>
            </w:pPr>
          </w:p>
        </w:tc>
      </w:tr>
    </w:tbl>
    <w:sdt>
      <w:sdtPr>
        <w:rPr>
          <w:rFonts w:ascii="Cambria" w:eastAsia="MS Mincho" w:hAnsi="Cambria" w:cs="Times New Roman"/>
          <w:b w:val="0"/>
          <w:color w:val="FF0000"/>
          <w:spacing w:val="0"/>
          <w:kern w:val="0"/>
          <w:sz w:val="24"/>
          <w:szCs w:val="24"/>
          <w:lang w:val="en-AU"/>
        </w:rPr>
        <w:id w:val="-581988280"/>
        <w:docPartObj>
          <w:docPartGallery w:val="Table of Contents"/>
          <w:docPartUnique/>
        </w:docPartObj>
      </w:sdtPr>
      <w:sdtEndPr>
        <w:rPr>
          <w:bCs/>
          <w:noProof/>
          <w:color w:val="auto"/>
        </w:rPr>
      </w:sdtEndPr>
      <w:sdtContent>
        <w:p w:rsidR="00B20BC0" w:rsidRPr="00233155" w:rsidRDefault="00B20BC0" w:rsidP="00DE7531">
          <w:pPr>
            <w:pStyle w:val="TOCHeading"/>
          </w:pPr>
          <w:r w:rsidRPr="00233155">
            <w:t>Contents</w:t>
          </w:r>
        </w:p>
        <w:p w:rsidR="0005612B" w:rsidRDefault="009E2940">
          <w:pPr>
            <w:pStyle w:val="TOC1"/>
            <w:rPr>
              <w:rFonts w:asciiTheme="minorHAnsi" w:eastAsiaTheme="minorEastAsia" w:hAnsiTheme="minorHAnsi" w:cstheme="minorBidi"/>
              <w:b w:val="0"/>
              <w:bCs w:val="0"/>
              <w:noProof/>
              <w:szCs w:val="22"/>
              <w:lang w:eastAsia="en-AU"/>
            </w:rPr>
          </w:pPr>
          <w:r w:rsidRPr="00D10F9B">
            <w:rPr>
              <w:caps/>
              <w:color w:val="FF0000"/>
            </w:rPr>
            <w:fldChar w:fldCharType="begin"/>
          </w:r>
          <w:r w:rsidR="00B20BC0" w:rsidRPr="00D10F9B">
            <w:rPr>
              <w:caps/>
              <w:color w:val="FF0000"/>
            </w:rPr>
            <w:instrText xml:space="preserve"> TOC \h \z \t "Heading 2,1,Heading 3,2" </w:instrText>
          </w:r>
          <w:r w:rsidRPr="00D10F9B">
            <w:rPr>
              <w:caps/>
              <w:color w:val="FF0000"/>
            </w:rPr>
            <w:fldChar w:fldCharType="separate"/>
          </w:r>
          <w:hyperlink w:anchor="_Toc465156765" w:history="1">
            <w:r w:rsidR="0005612B" w:rsidRPr="0034228D">
              <w:rPr>
                <w:rStyle w:val="Hyperlink"/>
                <w:noProof/>
              </w:rPr>
              <w:t>1</w:t>
            </w:r>
            <w:r w:rsidR="0005612B">
              <w:rPr>
                <w:rFonts w:asciiTheme="minorHAnsi" w:eastAsiaTheme="minorEastAsia" w:hAnsiTheme="minorHAnsi" w:cstheme="minorBidi"/>
                <w:b w:val="0"/>
                <w:bCs w:val="0"/>
                <w:noProof/>
                <w:szCs w:val="22"/>
                <w:lang w:eastAsia="en-AU"/>
              </w:rPr>
              <w:tab/>
            </w:r>
            <w:r w:rsidR="0005612B" w:rsidRPr="0034228D">
              <w:rPr>
                <w:rStyle w:val="Hyperlink"/>
                <w:noProof/>
              </w:rPr>
              <w:t>Overview</w:t>
            </w:r>
            <w:r w:rsidR="0005612B">
              <w:rPr>
                <w:noProof/>
                <w:webHidden/>
              </w:rPr>
              <w:tab/>
            </w:r>
            <w:r w:rsidR="0005612B">
              <w:rPr>
                <w:noProof/>
                <w:webHidden/>
              </w:rPr>
              <w:fldChar w:fldCharType="begin"/>
            </w:r>
            <w:r w:rsidR="0005612B">
              <w:rPr>
                <w:noProof/>
                <w:webHidden/>
              </w:rPr>
              <w:instrText xml:space="preserve"> PAGEREF _Toc465156765 \h </w:instrText>
            </w:r>
            <w:r w:rsidR="0005612B">
              <w:rPr>
                <w:noProof/>
                <w:webHidden/>
              </w:rPr>
            </w:r>
            <w:r w:rsidR="0005612B">
              <w:rPr>
                <w:noProof/>
                <w:webHidden/>
              </w:rPr>
              <w:fldChar w:fldCharType="separate"/>
            </w:r>
            <w:r w:rsidR="0005612B">
              <w:rPr>
                <w:noProof/>
                <w:webHidden/>
              </w:rPr>
              <w:t>1</w:t>
            </w:r>
            <w:r w:rsidR="0005612B">
              <w:rPr>
                <w:noProof/>
                <w:webHidden/>
              </w:rPr>
              <w:fldChar w:fldCharType="end"/>
            </w:r>
          </w:hyperlink>
        </w:p>
        <w:p w:rsidR="0005612B" w:rsidRDefault="005B2835">
          <w:pPr>
            <w:pStyle w:val="TOC1"/>
            <w:rPr>
              <w:rFonts w:asciiTheme="minorHAnsi" w:eastAsiaTheme="minorEastAsia" w:hAnsiTheme="minorHAnsi" w:cstheme="minorBidi"/>
              <w:b w:val="0"/>
              <w:bCs w:val="0"/>
              <w:noProof/>
              <w:szCs w:val="22"/>
              <w:lang w:eastAsia="en-AU"/>
            </w:rPr>
          </w:pPr>
          <w:hyperlink w:anchor="_Toc465156766" w:history="1">
            <w:r w:rsidR="0005612B" w:rsidRPr="0034228D">
              <w:rPr>
                <w:rStyle w:val="Hyperlink"/>
                <w:noProof/>
              </w:rPr>
              <w:t>2</w:t>
            </w:r>
            <w:r w:rsidR="0005612B">
              <w:rPr>
                <w:rFonts w:asciiTheme="minorHAnsi" w:eastAsiaTheme="minorEastAsia" w:hAnsiTheme="minorHAnsi" w:cstheme="minorBidi"/>
                <w:b w:val="0"/>
                <w:bCs w:val="0"/>
                <w:noProof/>
                <w:szCs w:val="22"/>
                <w:lang w:eastAsia="en-AU"/>
              </w:rPr>
              <w:tab/>
            </w:r>
            <w:r w:rsidR="0005612B" w:rsidRPr="0034228D">
              <w:rPr>
                <w:rStyle w:val="Hyperlink"/>
                <w:noProof/>
              </w:rPr>
              <w:t>Core capabilities and activities</w:t>
            </w:r>
            <w:r w:rsidR="0005612B">
              <w:rPr>
                <w:noProof/>
                <w:webHidden/>
              </w:rPr>
              <w:tab/>
            </w:r>
            <w:r w:rsidR="0005612B">
              <w:rPr>
                <w:noProof/>
                <w:webHidden/>
              </w:rPr>
              <w:fldChar w:fldCharType="begin"/>
            </w:r>
            <w:r w:rsidR="0005612B">
              <w:rPr>
                <w:noProof/>
                <w:webHidden/>
              </w:rPr>
              <w:instrText xml:space="preserve"> PAGEREF _Toc465156766 \h </w:instrText>
            </w:r>
            <w:r w:rsidR="0005612B">
              <w:rPr>
                <w:noProof/>
                <w:webHidden/>
              </w:rPr>
            </w:r>
            <w:r w:rsidR="0005612B">
              <w:rPr>
                <w:noProof/>
                <w:webHidden/>
              </w:rPr>
              <w:fldChar w:fldCharType="separate"/>
            </w:r>
            <w:r w:rsidR="0005612B">
              <w:rPr>
                <w:noProof/>
                <w:webHidden/>
              </w:rPr>
              <w:t>3</w:t>
            </w:r>
            <w:r w:rsidR="0005612B">
              <w:rPr>
                <w:noProof/>
                <w:webHidden/>
              </w:rPr>
              <w:fldChar w:fldCharType="end"/>
            </w:r>
          </w:hyperlink>
        </w:p>
        <w:p w:rsidR="0005612B" w:rsidRDefault="005B2835">
          <w:pPr>
            <w:pStyle w:val="TOC2"/>
            <w:rPr>
              <w:rFonts w:eastAsiaTheme="minorEastAsia" w:cstheme="minorBidi"/>
              <w:bCs w:val="0"/>
              <w:szCs w:val="22"/>
              <w:lang w:eastAsia="en-AU"/>
            </w:rPr>
          </w:pPr>
          <w:hyperlink w:anchor="_Toc465156767" w:history="1">
            <w:r w:rsidR="0005612B" w:rsidRPr="0034228D">
              <w:rPr>
                <w:rStyle w:val="Hyperlink"/>
              </w:rPr>
              <w:t>Building successful primary industries and supporting agricultural communities</w:t>
            </w:r>
            <w:r w:rsidR="0005612B">
              <w:rPr>
                <w:webHidden/>
              </w:rPr>
              <w:tab/>
            </w:r>
            <w:r w:rsidR="0005612B">
              <w:rPr>
                <w:webHidden/>
              </w:rPr>
              <w:fldChar w:fldCharType="begin"/>
            </w:r>
            <w:r w:rsidR="0005612B">
              <w:rPr>
                <w:webHidden/>
              </w:rPr>
              <w:instrText xml:space="preserve"> PAGEREF _Toc465156767 \h </w:instrText>
            </w:r>
            <w:r w:rsidR="0005612B">
              <w:rPr>
                <w:webHidden/>
              </w:rPr>
            </w:r>
            <w:r w:rsidR="0005612B">
              <w:rPr>
                <w:webHidden/>
              </w:rPr>
              <w:fldChar w:fldCharType="separate"/>
            </w:r>
            <w:r w:rsidR="0005612B">
              <w:rPr>
                <w:webHidden/>
              </w:rPr>
              <w:t>3</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68" w:history="1">
            <w:r w:rsidR="0005612B" w:rsidRPr="0034228D">
              <w:rPr>
                <w:rStyle w:val="Hyperlink"/>
              </w:rPr>
              <w:t>Expanding agricultural, fisheries and forestry exports</w:t>
            </w:r>
            <w:r w:rsidR="0005612B">
              <w:rPr>
                <w:webHidden/>
              </w:rPr>
              <w:tab/>
            </w:r>
            <w:r w:rsidR="0005612B">
              <w:rPr>
                <w:webHidden/>
              </w:rPr>
              <w:fldChar w:fldCharType="begin"/>
            </w:r>
            <w:r w:rsidR="0005612B">
              <w:rPr>
                <w:webHidden/>
              </w:rPr>
              <w:instrText xml:space="preserve"> PAGEREF _Toc465156768 \h </w:instrText>
            </w:r>
            <w:r w:rsidR="0005612B">
              <w:rPr>
                <w:webHidden/>
              </w:rPr>
            </w:r>
            <w:r w:rsidR="0005612B">
              <w:rPr>
                <w:webHidden/>
              </w:rPr>
              <w:fldChar w:fldCharType="separate"/>
            </w:r>
            <w:r w:rsidR="0005612B">
              <w:rPr>
                <w:webHidden/>
              </w:rPr>
              <w:t>6</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69" w:history="1">
            <w:r w:rsidR="0005612B" w:rsidRPr="0034228D">
              <w:rPr>
                <w:rStyle w:val="Hyperlink"/>
              </w:rPr>
              <w:t>Sustaining natural resources for longer-term productive primary industries</w:t>
            </w:r>
            <w:r w:rsidR="0005612B">
              <w:rPr>
                <w:webHidden/>
              </w:rPr>
              <w:tab/>
            </w:r>
            <w:r w:rsidR="0005612B">
              <w:rPr>
                <w:webHidden/>
              </w:rPr>
              <w:fldChar w:fldCharType="begin"/>
            </w:r>
            <w:r w:rsidR="0005612B">
              <w:rPr>
                <w:webHidden/>
              </w:rPr>
              <w:instrText xml:space="preserve"> PAGEREF _Toc465156769 \h </w:instrText>
            </w:r>
            <w:r w:rsidR="0005612B">
              <w:rPr>
                <w:webHidden/>
              </w:rPr>
            </w:r>
            <w:r w:rsidR="0005612B">
              <w:rPr>
                <w:webHidden/>
              </w:rPr>
              <w:fldChar w:fldCharType="separate"/>
            </w:r>
            <w:r w:rsidR="0005612B">
              <w:rPr>
                <w:webHidden/>
              </w:rPr>
              <w:t>7</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0" w:history="1">
            <w:r w:rsidR="0005612B" w:rsidRPr="0034228D">
              <w:rPr>
                <w:rStyle w:val="Hyperlink"/>
              </w:rPr>
              <w:t>Managing biosecurity and imported food risk</w:t>
            </w:r>
            <w:r w:rsidR="0005612B">
              <w:rPr>
                <w:webHidden/>
              </w:rPr>
              <w:tab/>
            </w:r>
            <w:r w:rsidR="0005612B">
              <w:rPr>
                <w:webHidden/>
              </w:rPr>
              <w:fldChar w:fldCharType="begin"/>
            </w:r>
            <w:r w:rsidR="0005612B">
              <w:rPr>
                <w:webHidden/>
              </w:rPr>
              <w:instrText xml:space="preserve"> PAGEREF _Toc465156770 \h </w:instrText>
            </w:r>
            <w:r w:rsidR="0005612B">
              <w:rPr>
                <w:webHidden/>
              </w:rPr>
            </w:r>
            <w:r w:rsidR="0005612B">
              <w:rPr>
                <w:webHidden/>
              </w:rPr>
              <w:fldChar w:fldCharType="separate"/>
            </w:r>
            <w:r w:rsidR="0005612B">
              <w:rPr>
                <w:webHidden/>
              </w:rPr>
              <w:t>9</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1" w:history="1">
            <w:r w:rsidR="0005612B" w:rsidRPr="0034228D">
              <w:rPr>
                <w:rStyle w:val="Hyperlink"/>
              </w:rPr>
              <w:t>Best practice regulator</w:t>
            </w:r>
            <w:r w:rsidR="0005612B">
              <w:rPr>
                <w:webHidden/>
              </w:rPr>
              <w:tab/>
            </w:r>
            <w:r w:rsidR="0005612B">
              <w:rPr>
                <w:webHidden/>
              </w:rPr>
              <w:fldChar w:fldCharType="begin"/>
            </w:r>
            <w:r w:rsidR="0005612B">
              <w:rPr>
                <w:webHidden/>
              </w:rPr>
              <w:instrText xml:space="preserve"> PAGEREF _Toc465156771 \h </w:instrText>
            </w:r>
            <w:r w:rsidR="0005612B">
              <w:rPr>
                <w:webHidden/>
              </w:rPr>
            </w:r>
            <w:r w:rsidR="0005612B">
              <w:rPr>
                <w:webHidden/>
              </w:rPr>
              <w:fldChar w:fldCharType="separate"/>
            </w:r>
            <w:r w:rsidR="0005612B">
              <w:rPr>
                <w:webHidden/>
              </w:rPr>
              <w:t>10</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2" w:history="1">
            <w:r w:rsidR="0005612B" w:rsidRPr="0034228D">
              <w:rPr>
                <w:rStyle w:val="Hyperlink"/>
              </w:rPr>
              <w:t>Efficient and capable organisation</w:t>
            </w:r>
            <w:r w:rsidR="0005612B">
              <w:rPr>
                <w:webHidden/>
              </w:rPr>
              <w:tab/>
            </w:r>
            <w:r w:rsidR="0005612B">
              <w:rPr>
                <w:webHidden/>
              </w:rPr>
              <w:fldChar w:fldCharType="begin"/>
            </w:r>
            <w:r w:rsidR="0005612B">
              <w:rPr>
                <w:webHidden/>
              </w:rPr>
              <w:instrText xml:space="preserve"> PAGEREF _Toc465156772 \h </w:instrText>
            </w:r>
            <w:r w:rsidR="0005612B">
              <w:rPr>
                <w:webHidden/>
              </w:rPr>
            </w:r>
            <w:r w:rsidR="0005612B">
              <w:rPr>
                <w:webHidden/>
              </w:rPr>
              <w:fldChar w:fldCharType="separate"/>
            </w:r>
            <w:r w:rsidR="0005612B">
              <w:rPr>
                <w:webHidden/>
              </w:rPr>
              <w:t>10</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3" w:history="1">
            <w:r w:rsidR="0005612B" w:rsidRPr="0034228D">
              <w:rPr>
                <w:rStyle w:val="Hyperlink"/>
              </w:rPr>
              <w:t>Engagement</w:t>
            </w:r>
            <w:r w:rsidR="0005612B">
              <w:rPr>
                <w:webHidden/>
              </w:rPr>
              <w:tab/>
            </w:r>
            <w:r w:rsidR="0005612B">
              <w:rPr>
                <w:webHidden/>
              </w:rPr>
              <w:fldChar w:fldCharType="begin"/>
            </w:r>
            <w:r w:rsidR="0005612B">
              <w:rPr>
                <w:webHidden/>
              </w:rPr>
              <w:instrText xml:space="preserve"> PAGEREF _Toc465156773 \h </w:instrText>
            </w:r>
            <w:r w:rsidR="0005612B">
              <w:rPr>
                <w:webHidden/>
              </w:rPr>
            </w:r>
            <w:r w:rsidR="0005612B">
              <w:rPr>
                <w:webHidden/>
              </w:rPr>
              <w:fldChar w:fldCharType="separate"/>
            </w:r>
            <w:r w:rsidR="0005612B">
              <w:rPr>
                <w:webHidden/>
              </w:rPr>
              <w:t>12</w:t>
            </w:r>
            <w:r w:rsidR="0005612B">
              <w:rPr>
                <w:webHidden/>
              </w:rPr>
              <w:fldChar w:fldCharType="end"/>
            </w:r>
          </w:hyperlink>
        </w:p>
        <w:p w:rsidR="0005612B" w:rsidRDefault="005B2835">
          <w:pPr>
            <w:pStyle w:val="TOC1"/>
            <w:rPr>
              <w:rFonts w:asciiTheme="minorHAnsi" w:eastAsiaTheme="minorEastAsia" w:hAnsiTheme="minorHAnsi" w:cstheme="minorBidi"/>
              <w:b w:val="0"/>
              <w:bCs w:val="0"/>
              <w:noProof/>
              <w:szCs w:val="22"/>
              <w:lang w:eastAsia="en-AU"/>
            </w:rPr>
          </w:pPr>
          <w:hyperlink w:anchor="_Toc465156774" w:history="1">
            <w:r w:rsidR="0005612B" w:rsidRPr="0034228D">
              <w:rPr>
                <w:rStyle w:val="Hyperlink"/>
                <w:noProof/>
              </w:rPr>
              <w:t>3</w:t>
            </w:r>
            <w:r w:rsidR="0005612B">
              <w:rPr>
                <w:rFonts w:asciiTheme="minorHAnsi" w:eastAsiaTheme="minorEastAsia" w:hAnsiTheme="minorHAnsi" w:cstheme="minorBidi"/>
                <w:b w:val="0"/>
                <w:bCs w:val="0"/>
                <w:noProof/>
                <w:szCs w:val="22"/>
                <w:lang w:eastAsia="en-AU"/>
              </w:rPr>
              <w:tab/>
            </w:r>
            <w:r w:rsidR="0005612B" w:rsidRPr="0034228D">
              <w:rPr>
                <w:rStyle w:val="Hyperlink"/>
                <w:noProof/>
              </w:rPr>
              <w:t>Our organisation</w:t>
            </w:r>
            <w:r w:rsidR="0005612B">
              <w:rPr>
                <w:noProof/>
                <w:webHidden/>
              </w:rPr>
              <w:tab/>
            </w:r>
            <w:r w:rsidR="0005612B">
              <w:rPr>
                <w:noProof/>
                <w:webHidden/>
              </w:rPr>
              <w:fldChar w:fldCharType="begin"/>
            </w:r>
            <w:r w:rsidR="0005612B">
              <w:rPr>
                <w:noProof/>
                <w:webHidden/>
              </w:rPr>
              <w:instrText xml:space="preserve"> PAGEREF _Toc465156774 \h </w:instrText>
            </w:r>
            <w:r w:rsidR="0005612B">
              <w:rPr>
                <w:noProof/>
                <w:webHidden/>
              </w:rPr>
            </w:r>
            <w:r w:rsidR="0005612B">
              <w:rPr>
                <w:noProof/>
                <w:webHidden/>
              </w:rPr>
              <w:fldChar w:fldCharType="separate"/>
            </w:r>
            <w:r w:rsidR="0005612B">
              <w:rPr>
                <w:noProof/>
                <w:webHidden/>
              </w:rPr>
              <w:t>14</w:t>
            </w:r>
            <w:r w:rsidR="0005612B">
              <w:rPr>
                <w:noProof/>
                <w:webHidden/>
              </w:rPr>
              <w:fldChar w:fldCharType="end"/>
            </w:r>
          </w:hyperlink>
        </w:p>
        <w:p w:rsidR="0005612B" w:rsidRDefault="005B2835">
          <w:pPr>
            <w:pStyle w:val="TOC2"/>
            <w:rPr>
              <w:rFonts w:eastAsiaTheme="minorEastAsia" w:cstheme="minorBidi"/>
              <w:bCs w:val="0"/>
              <w:szCs w:val="22"/>
              <w:lang w:eastAsia="en-AU"/>
            </w:rPr>
          </w:pPr>
          <w:hyperlink w:anchor="_Toc465156775" w:history="1">
            <w:r w:rsidR="0005612B" w:rsidRPr="0034228D">
              <w:rPr>
                <w:rStyle w:val="Hyperlink"/>
              </w:rPr>
              <w:t>Structure and people</w:t>
            </w:r>
            <w:r w:rsidR="0005612B">
              <w:rPr>
                <w:webHidden/>
              </w:rPr>
              <w:tab/>
            </w:r>
            <w:r w:rsidR="0005612B">
              <w:rPr>
                <w:webHidden/>
              </w:rPr>
              <w:fldChar w:fldCharType="begin"/>
            </w:r>
            <w:r w:rsidR="0005612B">
              <w:rPr>
                <w:webHidden/>
              </w:rPr>
              <w:instrText xml:space="preserve"> PAGEREF _Toc465156775 \h </w:instrText>
            </w:r>
            <w:r w:rsidR="0005612B">
              <w:rPr>
                <w:webHidden/>
              </w:rPr>
            </w:r>
            <w:r w:rsidR="0005612B">
              <w:rPr>
                <w:webHidden/>
              </w:rPr>
              <w:fldChar w:fldCharType="separate"/>
            </w:r>
            <w:r w:rsidR="0005612B">
              <w:rPr>
                <w:webHidden/>
              </w:rPr>
              <w:t>14</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6" w:history="1">
            <w:r w:rsidR="0005612B" w:rsidRPr="0034228D">
              <w:rPr>
                <w:rStyle w:val="Hyperlink"/>
              </w:rPr>
              <w:t>Training and development</w:t>
            </w:r>
            <w:r w:rsidR="0005612B">
              <w:rPr>
                <w:webHidden/>
              </w:rPr>
              <w:tab/>
            </w:r>
            <w:r w:rsidR="0005612B">
              <w:rPr>
                <w:webHidden/>
              </w:rPr>
              <w:fldChar w:fldCharType="begin"/>
            </w:r>
            <w:r w:rsidR="0005612B">
              <w:rPr>
                <w:webHidden/>
              </w:rPr>
              <w:instrText xml:space="preserve"> PAGEREF _Toc465156776 \h </w:instrText>
            </w:r>
            <w:r w:rsidR="0005612B">
              <w:rPr>
                <w:webHidden/>
              </w:rPr>
            </w:r>
            <w:r w:rsidR="0005612B">
              <w:rPr>
                <w:webHidden/>
              </w:rPr>
              <w:fldChar w:fldCharType="separate"/>
            </w:r>
            <w:r w:rsidR="0005612B">
              <w:rPr>
                <w:webHidden/>
              </w:rPr>
              <w:t>14</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7" w:history="1">
            <w:r w:rsidR="0005612B" w:rsidRPr="0034228D">
              <w:rPr>
                <w:rStyle w:val="Hyperlink"/>
              </w:rPr>
              <w:t>Research engagement and support</w:t>
            </w:r>
            <w:r w:rsidR="0005612B">
              <w:rPr>
                <w:webHidden/>
              </w:rPr>
              <w:tab/>
            </w:r>
            <w:r w:rsidR="0005612B">
              <w:rPr>
                <w:webHidden/>
              </w:rPr>
              <w:fldChar w:fldCharType="begin"/>
            </w:r>
            <w:r w:rsidR="0005612B">
              <w:rPr>
                <w:webHidden/>
              </w:rPr>
              <w:instrText xml:space="preserve"> PAGEREF _Toc465156777 \h </w:instrText>
            </w:r>
            <w:r w:rsidR="0005612B">
              <w:rPr>
                <w:webHidden/>
              </w:rPr>
            </w:r>
            <w:r w:rsidR="0005612B">
              <w:rPr>
                <w:webHidden/>
              </w:rPr>
              <w:fldChar w:fldCharType="separate"/>
            </w:r>
            <w:r w:rsidR="0005612B">
              <w:rPr>
                <w:webHidden/>
              </w:rPr>
              <w:t>14</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8" w:history="1">
            <w:r w:rsidR="0005612B" w:rsidRPr="0034228D">
              <w:rPr>
                <w:rStyle w:val="Hyperlink"/>
              </w:rPr>
              <w:t>Stakeholders, collaborators and clients</w:t>
            </w:r>
            <w:r w:rsidR="0005612B">
              <w:rPr>
                <w:webHidden/>
              </w:rPr>
              <w:tab/>
            </w:r>
            <w:r w:rsidR="0005612B">
              <w:rPr>
                <w:webHidden/>
              </w:rPr>
              <w:fldChar w:fldCharType="begin"/>
            </w:r>
            <w:r w:rsidR="0005612B">
              <w:rPr>
                <w:webHidden/>
              </w:rPr>
              <w:instrText xml:space="preserve"> PAGEREF _Toc465156778 \h </w:instrText>
            </w:r>
            <w:r w:rsidR="0005612B">
              <w:rPr>
                <w:webHidden/>
              </w:rPr>
            </w:r>
            <w:r w:rsidR="0005612B">
              <w:rPr>
                <w:webHidden/>
              </w:rPr>
              <w:fldChar w:fldCharType="separate"/>
            </w:r>
            <w:r w:rsidR="0005612B">
              <w:rPr>
                <w:webHidden/>
              </w:rPr>
              <w:t>15</w:t>
            </w:r>
            <w:r w:rsidR="0005612B">
              <w:rPr>
                <w:webHidden/>
              </w:rPr>
              <w:fldChar w:fldCharType="end"/>
            </w:r>
          </w:hyperlink>
        </w:p>
        <w:p w:rsidR="0005612B" w:rsidRDefault="005B2835">
          <w:pPr>
            <w:pStyle w:val="TOC2"/>
            <w:rPr>
              <w:rFonts w:eastAsiaTheme="minorEastAsia" w:cstheme="minorBidi"/>
              <w:bCs w:val="0"/>
              <w:szCs w:val="22"/>
              <w:lang w:eastAsia="en-AU"/>
            </w:rPr>
          </w:pPr>
          <w:hyperlink w:anchor="_Toc465156779" w:history="1">
            <w:r w:rsidR="0005612B" w:rsidRPr="0034228D">
              <w:rPr>
                <w:rStyle w:val="Hyperlink"/>
              </w:rPr>
              <w:t>Information and data tools</w:t>
            </w:r>
            <w:r w:rsidR="0005612B">
              <w:rPr>
                <w:webHidden/>
              </w:rPr>
              <w:tab/>
            </w:r>
            <w:r w:rsidR="0005612B">
              <w:rPr>
                <w:webHidden/>
              </w:rPr>
              <w:fldChar w:fldCharType="begin"/>
            </w:r>
            <w:r w:rsidR="0005612B">
              <w:rPr>
                <w:webHidden/>
              </w:rPr>
              <w:instrText xml:space="preserve"> PAGEREF _Toc465156779 \h </w:instrText>
            </w:r>
            <w:r w:rsidR="0005612B">
              <w:rPr>
                <w:webHidden/>
              </w:rPr>
            </w:r>
            <w:r w:rsidR="0005612B">
              <w:rPr>
                <w:webHidden/>
              </w:rPr>
              <w:fldChar w:fldCharType="separate"/>
            </w:r>
            <w:r w:rsidR="0005612B">
              <w:rPr>
                <w:webHidden/>
              </w:rPr>
              <w:t>15</w:t>
            </w:r>
            <w:r w:rsidR="0005612B">
              <w:rPr>
                <w:webHidden/>
              </w:rPr>
              <w:fldChar w:fldCharType="end"/>
            </w:r>
          </w:hyperlink>
        </w:p>
        <w:p w:rsidR="00B20BC0" w:rsidRDefault="009E2940">
          <w:r w:rsidRPr="00D10F9B">
            <w:rPr>
              <w:rFonts w:asciiTheme="majorHAnsi" w:hAnsiTheme="majorHAnsi"/>
              <w:b/>
              <w:bCs/>
              <w:caps/>
              <w:color w:val="FF0000"/>
            </w:rPr>
            <w:fldChar w:fldCharType="end"/>
          </w:r>
        </w:p>
      </w:sdtContent>
    </w:sdt>
    <w:p w:rsidR="00B20BC0" w:rsidRPr="00D4237C" w:rsidRDefault="00B20BC0" w:rsidP="00B20BC0"/>
    <w:p w:rsidR="00B20BC0" w:rsidRPr="009C022A" w:rsidRDefault="00B20BC0" w:rsidP="00B20BC0">
      <w:pPr>
        <w:sectPr w:rsidR="00B20BC0" w:rsidRPr="009C022A" w:rsidSect="00426277">
          <w:headerReference w:type="default" r:id="rId14"/>
          <w:footerReference w:type="default" r:id="rId15"/>
          <w:pgSz w:w="12240" w:h="15840"/>
          <w:pgMar w:top="1440" w:right="1440" w:bottom="1440" w:left="1440" w:header="720" w:footer="720" w:gutter="0"/>
          <w:pgNumType w:fmt="lowerRoman"/>
          <w:cols w:space="720"/>
          <w:noEndnote/>
          <w:titlePg/>
          <w:docGrid w:linePitch="326"/>
        </w:sectPr>
      </w:pPr>
    </w:p>
    <w:p w:rsidR="00F40D28" w:rsidRPr="009C022A" w:rsidRDefault="00C11CC8" w:rsidP="00494D22">
      <w:pPr>
        <w:pStyle w:val="Heading2"/>
      </w:pPr>
      <w:bookmarkStart w:id="6" w:name="_Toc428890641"/>
      <w:bookmarkStart w:id="7" w:name="_Toc465156765"/>
      <w:r w:rsidRPr="009C022A">
        <w:lastRenderedPageBreak/>
        <w:t>Overview</w:t>
      </w:r>
      <w:bookmarkEnd w:id="6"/>
      <w:bookmarkEnd w:id="7"/>
    </w:p>
    <w:p w:rsidR="00F40D28" w:rsidRPr="009C022A" w:rsidRDefault="00C11CC8">
      <w:pPr>
        <w:rPr>
          <w:rFonts w:asciiTheme="minorHAnsi" w:hAnsiTheme="minorHAnsi"/>
          <w:sz w:val="22"/>
          <w:szCs w:val="22"/>
        </w:rPr>
      </w:pPr>
      <w:r w:rsidRPr="009C022A">
        <w:rPr>
          <w:rFonts w:asciiTheme="minorHAnsi" w:hAnsiTheme="minorHAnsi"/>
          <w:sz w:val="22"/>
          <w:szCs w:val="22"/>
        </w:rPr>
        <w:t>ABARES is the science and economics research bureau within the Australian Government Department of Agriculture</w:t>
      </w:r>
      <w:r w:rsidR="00284191" w:rsidRPr="009C022A">
        <w:rPr>
          <w:rFonts w:asciiTheme="minorHAnsi" w:hAnsiTheme="minorHAnsi"/>
          <w:sz w:val="22"/>
          <w:szCs w:val="22"/>
        </w:rPr>
        <w:t xml:space="preserve"> and Water Resources</w:t>
      </w:r>
      <w:r w:rsidRPr="009C022A">
        <w:rPr>
          <w:rFonts w:asciiTheme="minorHAnsi" w:hAnsiTheme="minorHAnsi"/>
          <w:sz w:val="22"/>
          <w:szCs w:val="22"/>
        </w:rPr>
        <w:t>.</w:t>
      </w:r>
    </w:p>
    <w:p w:rsidR="00284191" w:rsidRPr="009C022A" w:rsidRDefault="00284191" w:rsidP="00284191">
      <w:pPr>
        <w:rPr>
          <w:rFonts w:asciiTheme="minorHAnsi" w:hAnsiTheme="minorHAnsi"/>
          <w:sz w:val="22"/>
          <w:szCs w:val="22"/>
        </w:rPr>
      </w:pPr>
      <w:r w:rsidRPr="009C022A">
        <w:rPr>
          <w:rFonts w:asciiTheme="minorHAnsi" w:hAnsiTheme="minorHAnsi"/>
          <w:sz w:val="22"/>
          <w:szCs w:val="22"/>
        </w:rPr>
        <w:t xml:space="preserve">Government and industry decision makers face questions and problems that demand quality and timely advice on a range of themes, including responses to drought, fisheries management, biosecurity, forestry, trade and agricultural productivity. ABARES provides specialised capacity to meet this demand through the provision of integrated scientific and economic advice on </w:t>
      </w:r>
      <w:r w:rsidR="001A51F3">
        <w:rPr>
          <w:rFonts w:asciiTheme="minorHAnsi" w:hAnsiTheme="minorHAnsi"/>
          <w:sz w:val="22"/>
          <w:szCs w:val="22"/>
        </w:rPr>
        <w:t xml:space="preserve">water and </w:t>
      </w:r>
      <w:r w:rsidRPr="009C022A">
        <w:rPr>
          <w:rFonts w:asciiTheme="minorHAnsi" w:hAnsiTheme="minorHAnsi"/>
          <w:sz w:val="22"/>
          <w:szCs w:val="22"/>
        </w:rPr>
        <w:t>the agriculture, fisheries and forestry sectors. Our mission is to provide professionally independent and world-class multi-disciplinary research, analysis and advice to inform decision makers in this department, other government agencies and the private sector on significant issues affecting Australia’s agriculture, fisheries and forestry industries.</w:t>
      </w:r>
    </w:p>
    <w:p w:rsidR="00F40D28" w:rsidRPr="009C022A" w:rsidRDefault="00C11CC8" w:rsidP="00A17F92">
      <w:pPr>
        <w:rPr>
          <w:rFonts w:asciiTheme="minorHAnsi" w:hAnsiTheme="minorHAnsi"/>
          <w:sz w:val="22"/>
          <w:szCs w:val="22"/>
        </w:rPr>
      </w:pPr>
      <w:r w:rsidRPr="009C022A">
        <w:rPr>
          <w:rFonts w:asciiTheme="minorHAnsi" w:hAnsiTheme="minorHAnsi"/>
          <w:sz w:val="22"/>
          <w:szCs w:val="22"/>
        </w:rPr>
        <w:t>ABARES performs it role to support the</w:t>
      </w:r>
      <w:r w:rsidR="00A17F92" w:rsidRPr="009C022A">
        <w:rPr>
          <w:rFonts w:asciiTheme="minorHAnsi" w:hAnsiTheme="minorHAnsi"/>
          <w:sz w:val="22"/>
          <w:szCs w:val="22"/>
        </w:rPr>
        <w:t xml:space="preserve"> strategic objectives of the department:</w:t>
      </w:r>
    </w:p>
    <w:p w:rsidR="00A17F92" w:rsidRPr="009C022A" w:rsidRDefault="00A17F92" w:rsidP="00B20BC0">
      <w:pPr>
        <w:pStyle w:val="ListBullet"/>
      </w:pPr>
      <w:r w:rsidRPr="009C022A">
        <w:t>Building successful primary industries</w:t>
      </w:r>
    </w:p>
    <w:p w:rsidR="00A17F92" w:rsidRPr="009C022A" w:rsidRDefault="00A17F92" w:rsidP="00B20BC0">
      <w:pPr>
        <w:pStyle w:val="ListBullet"/>
      </w:pPr>
      <w:r w:rsidRPr="009C022A">
        <w:t>Supporting agricultural communities</w:t>
      </w:r>
    </w:p>
    <w:p w:rsidR="00A17F92" w:rsidRPr="009C022A" w:rsidRDefault="00A17F92" w:rsidP="00B20BC0">
      <w:pPr>
        <w:pStyle w:val="ListBullet"/>
      </w:pPr>
      <w:r w:rsidRPr="009C022A">
        <w:t>Expanding agricultural, fisheries and forestry exports</w:t>
      </w:r>
    </w:p>
    <w:p w:rsidR="00A17F92" w:rsidRPr="009C022A" w:rsidRDefault="00A17F92" w:rsidP="00B20BC0">
      <w:pPr>
        <w:pStyle w:val="ListBullet"/>
      </w:pPr>
      <w:r w:rsidRPr="009C022A">
        <w:t>Sustaining natural resources for longer term productive primary industries</w:t>
      </w:r>
    </w:p>
    <w:p w:rsidR="00284191" w:rsidRPr="009C022A" w:rsidRDefault="00284191" w:rsidP="00B20BC0">
      <w:pPr>
        <w:pStyle w:val="ListBullet"/>
      </w:pPr>
      <w:r w:rsidRPr="009C022A">
        <w:t>Improving water use efficiency and the health of rivers, communities, environmental assets, and production systems</w:t>
      </w:r>
    </w:p>
    <w:p w:rsidR="00A17F92" w:rsidRPr="009C022A" w:rsidRDefault="00A17F92" w:rsidP="00B20BC0">
      <w:pPr>
        <w:pStyle w:val="ListBullet"/>
      </w:pPr>
      <w:r w:rsidRPr="009C022A">
        <w:t>Managing biosecurity and imported food risk</w:t>
      </w:r>
    </w:p>
    <w:p w:rsidR="00284191" w:rsidRPr="009C022A" w:rsidRDefault="00284191" w:rsidP="00B20BC0">
      <w:pPr>
        <w:pStyle w:val="ListBullet"/>
      </w:pPr>
      <w:r w:rsidRPr="009C022A">
        <w:t>Being a best practice regulator</w:t>
      </w:r>
    </w:p>
    <w:p w:rsidR="00284191" w:rsidRPr="009C022A" w:rsidRDefault="00284191" w:rsidP="00B20BC0">
      <w:pPr>
        <w:pStyle w:val="ListBullet"/>
      </w:pPr>
      <w:r w:rsidRPr="009C022A">
        <w:t>Building an efficient capable department</w:t>
      </w:r>
    </w:p>
    <w:p w:rsidR="00F40D28" w:rsidRPr="009C022A" w:rsidRDefault="00A17F92">
      <w:pPr>
        <w:rPr>
          <w:rFonts w:asciiTheme="minorHAnsi" w:hAnsiTheme="minorHAnsi"/>
          <w:sz w:val="22"/>
          <w:szCs w:val="22"/>
        </w:rPr>
      </w:pPr>
      <w:r w:rsidRPr="009C022A">
        <w:rPr>
          <w:rFonts w:asciiTheme="minorHAnsi" w:hAnsiTheme="minorHAnsi"/>
          <w:sz w:val="22"/>
          <w:szCs w:val="22"/>
        </w:rPr>
        <w:t>In 201</w:t>
      </w:r>
      <w:r w:rsidR="00284191" w:rsidRPr="009C022A">
        <w:rPr>
          <w:rFonts w:asciiTheme="minorHAnsi" w:hAnsiTheme="minorHAnsi"/>
          <w:sz w:val="22"/>
          <w:szCs w:val="22"/>
        </w:rPr>
        <w:t>6</w:t>
      </w:r>
      <w:r w:rsidRPr="009C022A">
        <w:rPr>
          <w:rFonts w:asciiTheme="minorHAnsi" w:hAnsiTheme="minorHAnsi"/>
          <w:sz w:val="22"/>
          <w:szCs w:val="22"/>
        </w:rPr>
        <w:t>-1</w:t>
      </w:r>
      <w:r w:rsidR="00284191" w:rsidRPr="009C022A">
        <w:rPr>
          <w:rFonts w:asciiTheme="minorHAnsi" w:hAnsiTheme="minorHAnsi"/>
          <w:sz w:val="22"/>
          <w:szCs w:val="22"/>
        </w:rPr>
        <w:t>7</w:t>
      </w:r>
      <w:r w:rsidRPr="009C022A">
        <w:rPr>
          <w:rFonts w:asciiTheme="minorHAnsi" w:hAnsiTheme="minorHAnsi"/>
          <w:sz w:val="22"/>
          <w:szCs w:val="22"/>
        </w:rPr>
        <w:t xml:space="preserve"> ABARES will contribute to supporting key priorities of the Government’s agenda</w:t>
      </w:r>
      <w:r w:rsidR="00284191" w:rsidRPr="009C022A">
        <w:rPr>
          <w:rFonts w:asciiTheme="minorHAnsi" w:hAnsiTheme="minorHAnsi"/>
          <w:sz w:val="22"/>
          <w:szCs w:val="22"/>
        </w:rPr>
        <w:t>.</w:t>
      </w:r>
      <w:r w:rsidRPr="009C022A">
        <w:rPr>
          <w:rFonts w:asciiTheme="minorHAnsi" w:hAnsiTheme="minorHAnsi"/>
          <w:sz w:val="22"/>
          <w:szCs w:val="22"/>
        </w:rPr>
        <w:t xml:space="preserve"> </w:t>
      </w:r>
      <w:r w:rsidR="00284191" w:rsidRPr="009C022A">
        <w:rPr>
          <w:rFonts w:asciiTheme="minorHAnsi" w:hAnsiTheme="minorHAnsi"/>
          <w:sz w:val="22"/>
          <w:szCs w:val="22"/>
        </w:rPr>
        <w:t>An Information Management and Public Data Taskforce was established in ABARES in February 2016 to implement the Government’s public data agenda</w:t>
      </w:r>
      <w:r w:rsidR="00DF6B91" w:rsidRPr="009C022A">
        <w:rPr>
          <w:rFonts w:asciiTheme="minorHAnsi" w:hAnsiTheme="minorHAnsi"/>
          <w:sz w:val="22"/>
          <w:szCs w:val="22"/>
        </w:rPr>
        <w:t>, which will involve changes to the way information</w:t>
      </w:r>
      <w:r w:rsidR="009C022A">
        <w:rPr>
          <w:rFonts w:asciiTheme="minorHAnsi" w:hAnsiTheme="minorHAnsi"/>
          <w:sz w:val="22"/>
          <w:szCs w:val="22"/>
        </w:rPr>
        <w:t xml:space="preserve"> </w:t>
      </w:r>
      <w:r w:rsidR="00DF6B91" w:rsidRPr="009C022A">
        <w:rPr>
          <w:rFonts w:asciiTheme="minorHAnsi" w:hAnsiTheme="minorHAnsi"/>
          <w:sz w:val="22"/>
          <w:szCs w:val="22"/>
        </w:rPr>
        <w:t xml:space="preserve">and data are managed across the department. </w:t>
      </w:r>
      <w:r w:rsidR="00C11CC8" w:rsidRPr="009C022A">
        <w:rPr>
          <w:rFonts w:asciiTheme="minorHAnsi" w:hAnsiTheme="minorHAnsi"/>
          <w:sz w:val="22"/>
          <w:szCs w:val="22"/>
        </w:rPr>
        <w:t xml:space="preserve">On behalf of the </w:t>
      </w:r>
      <w:r w:rsidR="00284191" w:rsidRPr="009C022A">
        <w:rPr>
          <w:rFonts w:asciiTheme="minorHAnsi" w:hAnsiTheme="minorHAnsi"/>
          <w:sz w:val="22"/>
          <w:szCs w:val="22"/>
        </w:rPr>
        <w:t>A</w:t>
      </w:r>
      <w:r w:rsidR="00C11CC8" w:rsidRPr="009C022A">
        <w:rPr>
          <w:rFonts w:asciiTheme="minorHAnsi" w:hAnsiTheme="minorHAnsi"/>
          <w:sz w:val="22"/>
          <w:szCs w:val="22"/>
        </w:rPr>
        <w:t xml:space="preserve">griculture </w:t>
      </w:r>
      <w:r w:rsidR="00284191" w:rsidRPr="009C022A">
        <w:rPr>
          <w:rFonts w:asciiTheme="minorHAnsi" w:hAnsiTheme="minorHAnsi"/>
          <w:sz w:val="22"/>
          <w:szCs w:val="22"/>
        </w:rPr>
        <w:t xml:space="preserve">and Water Resources </w:t>
      </w:r>
      <w:r w:rsidR="00C11CC8" w:rsidRPr="009C022A">
        <w:rPr>
          <w:rFonts w:asciiTheme="minorHAnsi" w:hAnsiTheme="minorHAnsi"/>
          <w:sz w:val="22"/>
          <w:szCs w:val="22"/>
        </w:rPr>
        <w:t xml:space="preserve">portfolio, ABARES </w:t>
      </w:r>
      <w:r w:rsidR="00DF6B91" w:rsidRPr="009C022A">
        <w:rPr>
          <w:rFonts w:asciiTheme="minorHAnsi" w:hAnsiTheme="minorHAnsi"/>
          <w:sz w:val="22"/>
          <w:szCs w:val="22"/>
        </w:rPr>
        <w:t xml:space="preserve">also </w:t>
      </w:r>
      <w:r w:rsidR="00C11CC8" w:rsidRPr="009C022A">
        <w:rPr>
          <w:rFonts w:asciiTheme="minorHAnsi" w:hAnsiTheme="minorHAnsi"/>
          <w:sz w:val="22"/>
          <w:szCs w:val="22"/>
        </w:rPr>
        <w:t xml:space="preserve">manages the government’s </w:t>
      </w:r>
      <w:r w:rsidR="00DF6B91" w:rsidRPr="009C022A">
        <w:rPr>
          <w:rFonts w:asciiTheme="minorHAnsi" w:hAnsiTheme="minorHAnsi"/>
          <w:sz w:val="22"/>
          <w:szCs w:val="22"/>
        </w:rPr>
        <w:t>regulatory reform</w:t>
      </w:r>
      <w:r w:rsidR="00C11CC8" w:rsidRPr="009C022A">
        <w:rPr>
          <w:rFonts w:asciiTheme="minorHAnsi" w:hAnsiTheme="minorHAnsi"/>
          <w:sz w:val="22"/>
          <w:szCs w:val="22"/>
        </w:rPr>
        <w:t xml:space="preserve"> agenda, including the identification and monitoring of opportunities for regulatory reform, reporting on achievements to the Department of the Prime Minister and Cabinet, and implementing the regulator performance framework.</w:t>
      </w:r>
      <w:r w:rsidR="00DF6B91" w:rsidRPr="009C022A">
        <w:rPr>
          <w:rFonts w:asciiTheme="minorHAnsi" w:hAnsiTheme="minorHAnsi"/>
          <w:sz w:val="22"/>
          <w:szCs w:val="22"/>
        </w:rPr>
        <w:t xml:space="preserve"> ABARES also contributes to the department’s performance framework as part of the Public Management Reform Agenda. This involves the development of, and improvement to, non-financial performance reporting across the department.</w:t>
      </w:r>
    </w:p>
    <w:p w:rsidR="00F40D28" w:rsidRPr="009C022A" w:rsidRDefault="00C11CC8">
      <w:pPr>
        <w:rPr>
          <w:rFonts w:asciiTheme="minorHAnsi" w:hAnsiTheme="minorHAnsi"/>
          <w:sz w:val="22"/>
          <w:szCs w:val="22"/>
        </w:rPr>
      </w:pPr>
      <w:r w:rsidRPr="009C022A">
        <w:rPr>
          <w:rFonts w:asciiTheme="minorHAnsi" w:hAnsiTheme="minorHAnsi"/>
          <w:sz w:val="22"/>
          <w:szCs w:val="22"/>
        </w:rPr>
        <w:t>ABARES capacity contribute</w:t>
      </w:r>
      <w:r w:rsidR="00891272">
        <w:rPr>
          <w:rFonts w:asciiTheme="minorHAnsi" w:hAnsiTheme="minorHAnsi"/>
          <w:sz w:val="22"/>
          <w:szCs w:val="22"/>
        </w:rPr>
        <w:t>s</w:t>
      </w:r>
      <w:r w:rsidRPr="009C022A">
        <w:rPr>
          <w:rFonts w:asciiTheme="minorHAnsi" w:hAnsiTheme="minorHAnsi"/>
          <w:sz w:val="22"/>
          <w:szCs w:val="22"/>
        </w:rPr>
        <w:t xml:space="preserve"> directly to the development of public policy, enabling the Australian Government to make decisions based on the best available information and analysis. </w:t>
      </w:r>
      <w:r w:rsidR="006D1721">
        <w:rPr>
          <w:rFonts w:asciiTheme="minorHAnsi" w:hAnsiTheme="minorHAnsi"/>
          <w:sz w:val="22"/>
          <w:szCs w:val="22"/>
        </w:rPr>
        <w:t xml:space="preserve"> </w:t>
      </w:r>
    </w:p>
    <w:p w:rsidR="00F40D28" w:rsidRPr="00D00D14" w:rsidRDefault="00C11CC8">
      <w:pPr>
        <w:rPr>
          <w:rFonts w:asciiTheme="minorHAnsi" w:hAnsiTheme="minorHAnsi"/>
          <w:sz w:val="22"/>
          <w:szCs w:val="22"/>
        </w:rPr>
      </w:pPr>
      <w:r w:rsidRPr="00D00D14">
        <w:rPr>
          <w:rFonts w:asciiTheme="minorHAnsi" w:hAnsiTheme="minorHAnsi"/>
          <w:sz w:val="22"/>
          <w:szCs w:val="22"/>
        </w:rPr>
        <w:t xml:space="preserve">In </w:t>
      </w:r>
      <w:r w:rsidR="00912B8D" w:rsidRPr="00D00D14">
        <w:rPr>
          <w:rFonts w:asciiTheme="minorHAnsi" w:hAnsiTheme="minorHAnsi"/>
          <w:sz w:val="22"/>
          <w:szCs w:val="22"/>
        </w:rPr>
        <w:t xml:space="preserve">contributing to </w:t>
      </w:r>
      <w:r w:rsidRPr="00D00D14">
        <w:rPr>
          <w:rFonts w:asciiTheme="minorHAnsi" w:hAnsiTheme="minorHAnsi"/>
          <w:sz w:val="22"/>
          <w:szCs w:val="22"/>
        </w:rPr>
        <w:t xml:space="preserve">policy </w:t>
      </w:r>
      <w:r w:rsidR="00912B8D" w:rsidRPr="00D00D14">
        <w:rPr>
          <w:rFonts w:asciiTheme="minorHAnsi" w:hAnsiTheme="minorHAnsi"/>
          <w:sz w:val="22"/>
          <w:szCs w:val="22"/>
        </w:rPr>
        <w:t>development</w:t>
      </w:r>
      <w:r w:rsidRPr="00D00D14">
        <w:rPr>
          <w:rFonts w:asciiTheme="minorHAnsi" w:hAnsiTheme="minorHAnsi"/>
          <w:sz w:val="22"/>
          <w:szCs w:val="22"/>
        </w:rPr>
        <w:t xml:space="preserve">, ABARES examines the range of options potentially available to policy makers and, at times, may enter into public discussion on its research findings and on the </w:t>
      </w:r>
      <w:r w:rsidR="001A51F3">
        <w:rPr>
          <w:rFonts w:asciiTheme="minorHAnsi" w:hAnsiTheme="minorHAnsi"/>
          <w:sz w:val="22"/>
          <w:szCs w:val="22"/>
        </w:rPr>
        <w:t>impact</w:t>
      </w:r>
      <w:r w:rsidRPr="00D00D14">
        <w:rPr>
          <w:rFonts w:asciiTheme="minorHAnsi" w:hAnsiTheme="minorHAnsi"/>
          <w:sz w:val="22"/>
          <w:szCs w:val="22"/>
        </w:rPr>
        <w:t xml:space="preserve"> of different policy options. ABARES also takes a collaborative approach to research and policy analysis, working with external experts and partners, including</w:t>
      </w:r>
      <w:r w:rsidR="00D00D14" w:rsidRPr="00D00D14">
        <w:rPr>
          <w:rFonts w:asciiTheme="minorHAnsi" w:hAnsiTheme="minorHAnsi"/>
          <w:sz w:val="22"/>
          <w:szCs w:val="22"/>
        </w:rPr>
        <w:t xml:space="preserve"> both domestic institutions</w:t>
      </w:r>
      <w:r w:rsidR="001A51F3">
        <w:rPr>
          <w:rFonts w:asciiTheme="minorHAnsi" w:hAnsiTheme="minorHAnsi"/>
          <w:sz w:val="22"/>
          <w:szCs w:val="22"/>
        </w:rPr>
        <w:t xml:space="preserve">, including </w:t>
      </w:r>
      <w:r w:rsidRPr="00D00D14">
        <w:rPr>
          <w:rFonts w:asciiTheme="minorHAnsi" w:hAnsiTheme="minorHAnsi"/>
          <w:sz w:val="22"/>
          <w:szCs w:val="22"/>
        </w:rPr>
        <w:t>the CSIRO and the Centre of Excellenc</w:t>
      </w:r>
      <w:r w:rsidR="00D00D14" w:rsidRPr="00D00D14">
        <w:rPr>
          <w:rFonts w:asciiTheme="minorHAnsi" w:hAnsiTheme="minorHAnsi"/>
          <w:sz w:val="22"/>
          <w:szCs w:val="22"/>
        </w:rPr>
        <w:t>e for Biosecurity Risk Analysis</w:t>
      </w:r>
      <w:r w:rsidR="001A51F3">
        <w:rPr>
          <w:rFonts w:asciiTheme="minorHAnsi" w:hAnsiTheme="minorHAnsi"/>
          <w:sz w:val="22"/>
          <w:szCs w:val="22"/>
        </w:rPr>
        <w:t>,</w:t>
      </w:r>
      <w:r w:rsidR="00D00D14" w:rsidRPr="00D00D14">
        <w:rPr>
          <w:rFonts w:asciiTheme="minorHAnsi" w:hAnsiTheme="minorHAnsi"/>
          <w:sz w:val="22"/>
          <w:szCs w:val="22"/>
        </w:rPr>
        <w:t xml:space="preserve"> and international organisations such as </w:t>
      </w:r>
      <w:r w:rsidR="001A51F3">
        <w:rPr>
          <w:rFonts w:asciiTheme="minorHAnsi" w:hAnsiTheme="minorHAnsi"/>
          <w:sz w:val="22"/>
          <w:szCs w:val="22"/>
        </w:rPr>
        <w:t xml:space="preserve">the </w:t>
      </w:r>
      <w:r w:rsidR="00D00D14" w:rsidRPr="00D00D14">
        <w:rPr>
          <w:rFonts w:asciiTheme="minorHAnsi" w:hAnsiTheme="minorHAnsi"/>
          <w:sz w:val="22"/>
          <w:szCs w:val="22"/>
        </w:rPr>
        <w:t xml:space="preserve">OECD and </w:t>
      </w:r>
      <w:r w:rsidR="001A51F3">
        <w:rPr>
          <w:rFonts w:asciiTheme="minorHAnsi" w:hAnsiTheme="minorHAnsi"/>
          <w:sz w:val="22"/>
          <w:szCs w:val="22"/>
        </w:rPr>
        <w:t xml:space="preserve">the </w:t>
      </w:r>
      <w:r w:rsidR="00D00D14" w:rsidRPr="00D00D14">
        <w:rPr>
          <w:rFonts w:asciiTheme="minorHAnsi" w:hAnsiTheme="minorHAnsi"/>
          <w:sz w:val="22"/>
          <w:szCs w:val="22"/>
        </w:rPr>
        <w:t>Economic Research Service of the United States Department of Agriculture.</w:t>
      </w:r>
    </w:p>
    <w:p w:rsidR="009C38FE" w:rsidRPr="009C022A" w:rsidRDefault="00C11CC8">
      <w:pPr>
        <w:rPr>
          <w:rFonts w:asciiTheme="minorHAnsi" w:hAnsiTheme="minorHAnsi"/>
          <w:sz w:val="22"/>
          <w:szCs w:val="22"/>
        </w:rPr>
      </w:pPr>
      <w:r w:rsidRPr="009C022A">
        <w:rPr>
          <w:rFonts w:asciiTheme="minorHAnsi" w:hAnsiTheme="minorHAnsi"/>
          <w:sz w:val="22"/>
          <w:szCs w:val="22"/>
        </w:rPr>
        <w:t>ABARES research products take a variety of forms, including publications, data, data tools, workshops, briefings and presentations. Research findings are commonly communicated through our website, seminars and conferences—including our National and Regional Outlook conferences—and through</w:t>
      </w:r>
      <w:r w:rsidR="009C38FE" w:rsidRPr="009C022A">
        <w:rPr>
          <w:rFonts w:asciiTheme="minorHAnsi" w:hAnsiTheme="minorHAnsi"/>
          <w:sz w:val="22"/>
          <w:szCs w:val="22"/>
        </w:rPr>
        <w:t xml:space="preserve"> a range of media tools.</w:t>
      </w:r>
    </w:p>
    <w:p w:rsidR="00F40D28" w:rsidRPr="009C022A" w:rsidRDefault="009C38FE">
      <w:pPr>
        <w:rPr>
          <w:rFonts w:asciiTheme="minorHAnsi" w:hAnsiTheme="minorHAnsi"/>
          <w:sz w:val="22"/>
          <w:szCs w:val="22"/>
        </w:rPr>
      </w:pPr>
      <w:r w:rsidRPr="009C022A">
        <w:rPr>
          <w:rFonts w:asciiTheme="minorHAnsi" w:hAnsiTheme="minorHAnsi"/>
          <w:sz w:val="22"/>
          <w:szCs w:val="22"/>
        </w:rPr>
        <w:lastRenderedPageBreak/>
        <w:t>In addition to making much of our research publicly available, i</w:t>
      </w:r>
      <w:r w:rsidR="00661C6D" w:rsidRPr="009C022A">
        <w:rPr>
          <w:rFonts w:asciiTheme="minorHAnsi" w:hAnsiTheme="minorHAnsi"/>
          <w:sz w:val="22"/>
          <w:szCs w:val="22"/>
        </w:rPr>
        <w:t>n 201</w:t>
      </w:r>
      <w:r w:rsidR="00DF6B91" w:rsidRPr="009C022A">
        <w:rPr>
          <w:rFonts w:asciiTheme="minorHAnsi" w:hAnsiTheme="minorHAnsi"/>
          <w:sz w:val="22"/>
          <w:szCs w:val="22"/>
        </w:rPr>
        <w:t>6</w:t>
      </w:r>
      <w:r w:rsidR="00C11CC8" w:rsidRPr="009C022A">
        <w:rPr>
          <w:rFonts w:asciiTheme="minorHAnsi" w:hAnsiTheme="minorHAnsi"/>
          <w:sz w:val="22"/>
          <w:szCs w:val="22"/>
        </w:rPr>
        <w:t>–1</w:t>
      </w:r>
      <w:r w:rsidR="00DF6B91" w:rsidRPr="009C022A">
        <w:rPr>
          <w:rFonts w:asciiTheme="minorHAnsi" w:hAnsiTheme="minorHAnsi"/>
          <w:sz w:val="22"/>
          <w:szCs w:val="22"/>
        </w:rPr>
        <w:t>7</w:t>
      </w:r>
      <w:r w:rsidR="00C11CC8" w:rsidRPr="009C022A">
        <w:rPr>
          <w:rFonts w:asciiTheme="minorHAnsi" w:hAnsiTheme="minorHAnsi"/>
          <w:sz w:val="22"/>
          <w:szCs w:val="22"/>
        </w:rPr>
        <w:t xml:space="preserve"> </w:t>
      </w:r>
      <w:r w:rsidRPr="009C022A">
        <w:rPr>
          <w:rFonts w:asciiTheme="minorHAnsi" w:hAnsiTheme="minorHAnsi"/>
          <w:sz w:val="22"/>
          <w:szCs w:val="22"/>
        </w:rPr>
        <w:t xml:space="preserve">ABARES will continue to undertake an extensive programme of work that is internally focused and supports the development of policy, delivery of </w:t>
      </w:r>
      <w:r w:rsidR="006D1721">
        <w:rPr>
          <w:rFonts w:asciiTheme="minorHAnsi" w:hAnsiTheme="minorHAnsi"/>
          <w:sz w:val="22"/>
          <w:szCs w:val="22"/>
        </w:rPr>
        <w:t>government priorities</w:t>
      </w:r>
      <w:r w:rsidRPr="009C022A">
        <w:rPr>
          <w:rFonts w:asciiTheme="minorHAnsi" w:hAnsiTheme="minorHAnsi"/>
          <w:sz w:val="22"/>
          <w:szCs w:val="22"/>
        </w:rPr>
        <w:t xml:space="preserve"> and a range of operational activities across the portfolio. This work is embedded in policy briefings and information from other areas of the department rather than as standalone and individually visible products. W</w:t>
      </w:r>
      <w:r w:rsidR="00C11CC8" w:rsidRPr="009C022A">
        <w:rPr>
          <w:rFonts w:asciiTheme="minorHAnsi" w:hAnsiTheme="minorHAnsi"/>
          <w:sz w:val="22"/>
          <w:szCs w:val="22"/>
        </w:rPr>
        <w:t xml:space="preserve">e expect to provide </w:t>
      </w:r>
      <w:r w:rsidR="00DF6B91" w:rsidRPr="009C022A">
        <w:rPr>
          <w:rFonts w:asciiTheme="minorHAnsi" w:hAnsiTheme="minorHAnsi"/>
          <w:sz w:val="22"/>
          <w:szCs w:val="22"/>
        </w:rPr>
        <w:t>analytical</w:t>
      </w:r>
      <w:r w:rsidR="00C11CC8" w:rsidRPr="009C022A">
        <w:rPr>
          <w:rFonts w:asciiTheme="minorHAnsi" w:hAnsiTheme="minorHAnsi"/>
          <w:sz w:val="22"/>
          <w:szCs w:val="22"/>
        </w:rPr>
        <w:t xml:space="preserve"> advice and briefing, positioning the Department of Agriculture </w:t>
      </w:r>
      <w:r w:rsidR="00DF6B91" w:rsidRPr="009C022A">
        <w:rPr>
          <w:rFonts w:asciiTheme="minorHAnsi" w:hAnsiTheme="minorHAnsi"/>
          <w:sz w:val="22"/>
          <w:szCs w:val="22"/>
        </w:rPr>
        <w:t xml:space="preserve">and Water Resources </w:t>
      </w:r>
      <w:r w:rsidR="00C11CC8" w:rsidRPr="009C022A">
        <w:rPr>
          <w:rFonts w:asciiTheme="minorHAnsi" w:hAnsiTheme="minorHAnsi"/>
          <w:sz w:val="22"/>
          <w:szCs w:val="22"/>
        </w:rPr>
        <w:t>as a whole-of-government leader in evidence-based policy and programme provision.</w:t>
      </w:r>
    </w:p>
    <w:p w:rsidR="00F40D28" w:rsidRPr="009C022A" w:rsidRDefault="00D10F9B">
      <w:pPr>
        <w:rPr>
          <w:rFonts w:asciiTheme="minorHAnsi" w:hAnsiTheme="minorHAnsi"/>
          <w:sz w:val="22"/>
          <w:szCs w:val="22"/>
        </w:rPr>
      </w:pPr>
      <w:r w:rsidRPr="009C022A">
        <w:rPr>
          <w:rFonts w:asciiTheme="minorHAnsi" w:hAnsiTheme="minorHAnsi"/>
          <w:sz w:val="22"/>
          <w:szCs w:val="22"/>
        </w:rPr>
        <w:t>Our work programme in 2016</w:t>
      </w:r>
      <w:r w:rsidR="00C11CC8" w:rsidRPr="009C022A">
        <w:rPr>
          <w:rFonts w:asciiTheme="minorHAnsi" w:hAnsiTheme="minorHAnsi"/>
          <w:sz w:val="22"/>
          <w:szCs w:val="22"/>
        </w:rPr>
        <w:t>–1</w:t>
      </w:r>
      <w:r w:rsidRPr="009C022A">
        <w:rPr>
          <w:rFonts w:asciiTheme="minorHAnsi" w:hAnsiTheme="minorHAnsi"/>
          <w:sz w:val="22"/>
          <w:szCs w:val="22"/>
        </w:rPr>
        <w:t>7</w:t>
      </w:r>
      <w:r w:rsidR="00C11CC8" w:rsidRPr="009C022A">
        <w:rPr>
          <w:rFonts w:asciiTheme="minorHAnsi" w:hAnsiTheme="minorHAnsi"/>
          <w:sz w:val="22"/>
          <w:szCs w:val="22"/>
        </w:rPr>
        <w:t xml:space="preserve"> sets out ABARES priorities and activities for the year. It reflects the collaborative nature of our work in supporting the department to meet policy, programme and business outcomes as outlined in the </w:t>
      </w:r>
      <w:r w:rsidR="00912B8D" w:rsidRPr="009C022A">
        <w:rPr>
          <w:rFonts w:asciiTheme="minorHAnsi" w:hAnsiTheme="minorHAnsi"/>
          <w:sz w:val="22"/>
          <w:szCs w:val="22"/>
        </w:rPr>
        <w:t>Portfolio Budget Statement</w:t>
      </w:r>
      <w:r w:rsidRPr="009C022A">
        <w:rPr>
          <w:rFonts w:asciiTheme="minorHAnsi" w:hAnsiTheme="minorHAnsi"/>
          <w:sz w:val="22"/>
          <w:szCs w:val="22"/>
        </w:rPr>
        <w:t xml:space="preserve"> 2016–17</w:t>
      </w:r>
      <w:r w:rsidR="00C11CC8" w:rsidRPr="009C022A">
        <w:rPr>
          <w:rFonts w:asciiTheme="minorHAnsi" w:hAnsiTheme="minorHAnsi"/>
          <w:sz w:val="22"/>
          <w:szCs w:val="22"/>
        </w:rPr>
        <w:t>. It encompasses activities we undertake for other Australian Government departments and agencies and private-sector stakeholders to aid their decision making.</w:t>
      </w:r>
    </w:p>
    <w:p w:rsidR="00F40D28" w:rsidRPr="009C022A" w:rsidRDefault="00C11CC8">
      <w:pPr>
        <w:rPr>
          <w:rFonts w:asciiTheme="minorHAnsi" w:hAnsiTheme="minorHAnsi"/>
          <w:sz w:val="22"/>
          <w:szCs w:val="22"/>
        </w:rPr>
      </w:pPr>
      <w:r w:rsidRPr="00D4237C">
        <w:rPr>
          <w:rFonts w:asciiTheme="minorHAnsi" w:hAnsiTheme="minorHAnsi"/>
          <w:sz w:val="22"/>
          <w:szCs w:val="22"/>
        </w:rPr>
        <w:t xml:space="preserve">Apart from publishing our regular flagship products—such as the </w:t>
      </w:r>
      <w:r w:rsidRPr="00D4237C">
        <w:rPr>
          <w:rFonts w:asciiTheme="minorHAnsi" w:hAnsiTheme="minorHAnsi"/>
          <w:i/>
          <w:sz w:val="22"/>
          <w:szCs w:val="22"/>
        </w:rPr>
        <w:t>Australian</w:t>
      </w:r>
      <w:r w:rsidRPr="00D4237C">
        <w:rPr>
          <w:rFonts w:asciiTheme="minorHAnsi" w:hAnsiTheme="minorHAnsi"/>
          <w:sz w:val="22"/>
          <w:szCs w:val="22"/>
        </w:rPr>
        <w:t xml:space="preserve"> </w:t>
      </w:r>
      <w:r w:rsidRPr="00D4237C">
        <w:rPr>
          <w:rFonts w:asciiTheme="minorHAnsi" w:hAnsiTheme="minorHAnsi" w:cs="Cambria-Italic"/>
          <w:i/>
          <w:iCs/>
          <w:sz w:val="22"/>
          <w:szCs w:val="22"/>
        </w:rPr>
        <w:t>crop report, Agricultural commodities</w:t>
      </w:r>
      <w:r w:rsidR="00A17F92" w:rsidRPr="00A84DEE">
        <w:rPr>
          <w:rFonts w:asciiTheme="minorHAnsi" w:hAnsiTheme="minorHAnsi" w:cs="Cambria-Italic"/>
          <w:i/>
          <w:iCs/>
          <w:sz w:val="22"/>
          <w:szCs w:val="22"/>
        </w:rPr>
        <w:t xml:space="preserve">, </w:t>
      </w:r>
      <w:r w:rsidR="00912B8D" w:rsidRPr="0055128E">
        <w:rPr>
          <w:rFonts w:asciiTheme="minorHAnsi" w:hAnsiTheme="minorHAnsi" w:cs="Cambria-Italic"/>
          <w:i/>
          <w:iCs/>
          <w:sz w:val="22"/>
          <w:szCs w:val="22"/>
        </w:rPr>
        <w:t xml:space="preserve">Australian Farm Survey reports, </w:t>
      </w:r>
      <w:r w:rsidR="00A17F92" w:rsidRPr="009C022A">
        <w:rPr>
          <w:rFonts w:asciiTheme="minorHAnsi" w:hAnsiTheme="minorHAnsi" w:cs="Cambria-Italic"/>
          <w:i/>
          <w:iCs/>
          <w:sz w:val="22"/>
          <w:szCs w:val="22"/>
        </w:rPr>
        <w:t>Australian Forest and Wood Products Statistics</w:t>
      </w:r>
      <w:r w:rsidRPr="009C022A">
        <w:rPr>
          <w:rFonts w:asciiTheme="minorHAnsi" w:hAnsiTheme="minorHAnsi"/>
          <w:sz w:val="22"/>
          <w:szCs w:val="22"/>
        </w:rPr>
        <w:t xml:space="preserve"> and</w:t>
      </w:r>
      <w:r w:rsidRPr="009C022A">
        <w:rPr>
          <w:rFonts w:asciiTheme="minorHAnsi" w:hAnsiTheme="minorHAnsi" w:cs="Cambria-Italic"/>
          <w:i/>
          <w:iCs/>
          <w:sz w:val="22"/>
          <w:szCs w:val="22"/>
        </w:rPr>
        <w:t xml:space="preserve"> Fishery status reports</w:t>
      </w:r>
      <w:r w:rsidRPr="009C022A">
        <w:rPr>
          <w:rFonts w:asciiTheme="minorHAnsi" w:hAnsiTheme="minorHAnsi"/>
          <w:sz w:val="22"/>
          <w:szCs w:val="22"/>
        </w:rPr>
        <w:t xml:space="preserve">—we deliver specialised publications, including land use maps for clients across a diverse range of subjects, and integrated research on fisheries, biosecurity and forestry issues. Our publications and reports often attract media attention, which helps to further disseminate the information we produce. Some ABARES publications and data are also critical inputs to meeting Australia’s international obligations. For example, </w:t>
      </w:r>
      <w:r w:rsidRPr="009C022A">
        <w:rPr>
          <w:rFonts w:asciiTheme="minorHAnsi" w:hAnsiTheme="minorHAnsi"/>
          <w:i/>
          <w:sz w:val="22"/>
          <w:szCs w:val="22"/>
        </w:rPr>
        <w:t>Australia’s State of the Forests Report</w:t>
      </w:r>
      <w:r w:rsidRPr="009C022A">
        <w:rPr>
          <w:rFonts w:asciiTheme="minorHAnsi" w:hAnsiTheme="minorHAnsi"/>
          <w:sz w:val="22"/>
          <w:szCs w:val="22"/>
        </w:rPr>
        <w:t>, provides Australia’s key input to the FAO Global Forests Assessments. ABARES also provides the national reports to regional fisheries management organisations, part of Australia’s obligations to maintaining access and participation.</w:t>
      </w:r>
    </w:p>
    <w:p w:rsidR="00F40D28" w:rsidRPr="009C022A" w:rsidRDefault="00C11CC8">
      <w:pPr>
        <w:rPr>
          <w:rFonts w:asciiTheme="minorHAnsi" w:hAnsiTheme="minorHAnsi"/>
          <w:sz w:val="22"/>
          <w:szCs w:val="22"/>
        </w:rPr>
      </w:pPr>
      <w:r w:rsidRPr="009C022A">
        <w:rPr>
          <w:rFonts w:asciiTheme="minorHAnsi" w:hAnsiTheme="minorHAnsi"/>
          <w:sz w:val="22"/>
          <w:szCs w:val="22"/>
        </w:rPr>
        <w:t>ABARES funding comprises approximately 80 per cent direct appropriation and administered funding from the Department of Agriculture</w:t>
      </w:r>
      <w:r w:rsidR="00DF6B91" w:rsidRPr="009C022A">
        <w:rPr>
          <w:rFonts w:asciiTheme="minorHAnsi" w:hAnsiTheme="minorHAnsi"/>
          <w:sz w:val="22"/>
          <w:szCs w:val="22"/>
        </w:rPr>
        <w:t xml:space="preserve"> and Water Resources</w:t>
      </w:r>
      <w:r w:rsidRPr="009C022A">
        <w:rPr>
          <w:rFonts w:asciiTheme="minorHAnsi" w:hAnsiTheme="minorHAnsi"/>
          <w:sz w:val="22"/>
          <w:szCs w:val="22"/>
        </w:rPr>
        <w:t>, with the balance received in earned revenue from divisions of the department, its portfolio agencies, other government departments and the private sector.</w:t>
      </w:r>
    </w:p>
    <w:p w:rsidR="00F40D28" w:rsidRPr="00D10F9B" w:rsidRDefault="00C11CC8" w:rsidP="00494D22">
      <w:pPr>
        <w:pStyle w:val="Heading2"/>
      </w:pPr>
      <w:bookmarkStart w:id="8" w:name="_Toc339268159"/>
      <w:bookmarkStart w:id="9" w:name="_Toc341941323"/>
      <w:bookmarkStart w:id="10" w:name="_Toc342318385"/>
      <w:bookmarkStart w:id="11" w:name="_Toc428890642"/>
      <w:bookmarkStart w:id="12" w:name="_Toc465156766"/>
      <w:r w:rsidRPr="00D10F9B">
        <w:lastRenderedPageBreak/>
        <w:t>Core capabilities and activities</w:t>
      </w:r>
      <w:bookmarkEnd w:id="8"/>
      <w:bookmarkEnd w:id="9"/>
      <w:bookmarkEnd w:id="10"/>
      <w:bookmarkEnd w:id="11"/>
      <w:bookmarkEnd w:id="12"/>
    </w:p>
    <w:p w:rsidR="00D82E61" w:rsidRPr="00D10F9B" w:rsidRDefault="0054288E" w:rsidP="00684D41">
      <w:pPr>
        <w:rPr>
          <w:rFonts w:asciiTheme="minorHAnsi" w:hAnsiTheme="minorHAnsi"/>
          <w:sz w:val="22"/>
          <w:szCs w:val="22"/>
        </w:rPr>
      </w:pPr>
      <w:bookmarkStart w:id="13" w:name="_Toc339268160"/>
      <w:bookmarkStart w:id="14" w:name="_Toc341941324"/>
      <w:bookmarkStart w:id="15" w:name="_Toc342318386"/>
      <w:r w:rsidRPr="00D10F9B">
        <w:rPr>
          <w:rFonts w:asciiTheme="minorHAnsi" w:hAnsiTheme="minorHAnsi"/>
          <w:sz w:val="22"/>
          <w:szCs w:val="22"/>
        </w:rPr>
        <w:t>ABARES research and analysis is focused on supporting the key priorities of the Government in relation to more sustainable, productive, internationally competitive and profitable agriculture</w:t>
      </w:r>
      <w:r w:rsidR="00912B8D" w:rsidRPr="00D10F9B">
        <w:rPr>
          <w:rFonts w:asciiTheme="minorHAnsi" w:hAnsiTheme="minorHAnsi"/>
          <w:sz w:val="22"/>
          <w:szCs w:val="22"/>
        </w:rPr>
        <w:t>, fisheries and forestry</w:t>
      </w:r>
      <w:r w:rsidRPr="00D10F9B">
        <w:rPr>
          <w:rFonts w:asciiTheme="minorHAnsi" w:hAnsiTheme="minorHAnsi"/>
          <w:sz w:val="22"/>
          <w:szCs w:val="22"/>
        </w:rPr>
        <w:t xml:space="preserve"> industries</w:t>
      </w:r>
      <w:r w:rsidR="001A51F3">
        <w:rPr>
          <w:rFonts w:asciiTheme="minorHAnsi" w:hAnsiTheme="minorHAnsi"/>
          <w:sz w:val="22"/>
          <w:szCs w:val="22"/>
        </w:rPr>
        <w:t>;</w:t>
      </w:r>
      <w:r w:rsidRPr="00D10F9B">
        <w:rPr>
          <w:rFonts w:asciiTheme="minorHAnsi" w:hAnsiTheme="minorHAnsi"/>
          <w:sz w:val="22"/>
          <w:szCs w:val="22"/>
        </w:rPr>
        <w:t xml:space="preserve"> safeguarding Australia’s animal and plant health status</w:t>
      </w:r>
      <w:r w:rsidR="001A51F3">
        <w:rPr>
          <w:rFonts w:asciiTheme="minorHAnsi" w:hAnsiTheme="minorHAnsi"/>
          <w:sz w:val="22"/>
          <w:szCs w:val="22"/>
        </w:rPr>
        <w:t>;</w:t>
      </w:r>
      <w:r w:rsidR="00DF6B91">
        <w:rPr>
          <w:rFonts w:asciiTheme="minorHAnsi" w:hAnsiTheme="minorHAnsi"/>
          <w:sz w:val="22"/>
          <w:szCs w:val="22"/>
        </w:rPr>
        <w:t xml:space="preserve"> and improving the health of rivers and freshwater ecosystems</w:t>
      </w:r>
      <w:r w:rsidR="0027497C">
        <w:rPr>
          <w:rFonts w:asciiTheme="minorHAnsi" w:hAnsiTheme="minorHAnsi"/>
          <w:sz w:val="22"/>
          <w:szCs w:val="22"/>
        </w:rPr>
        <w:t>,</w:t>
      </w:r>
      <w:r w:rsidR="00DF6B91">
        <w:rPr>
          <w:rFonts w:asciiTheme="minorHAnsi" w:hAnsiTheme="minorHAnsi"/>
          <w:sz w:val="22"/>
          <w:szCs w:val="22"/>
        </w:rPr>
        <w:t xml:space="preserve"> and ensuring enhanced </w:t>
      </w:r>
      <w:r w:rsidR="0027497C">
        <w:rPr>
          <w:rFonts w:asciiTheme="minorHAnsi" w:hAnsiTheme="minorHAnsi"/>
          <w:sz w:val="22"/>
          <w:szCs w:val="22"/>
        </w:rPr>
        <w:t xml:space="preserve">efficiency </w:t>
      </w:r>
      <w:r w:rsidR="00DF6B91">
        <w:rPr>
          <w:rFonts w:asciiTheme="minorHAnsi" w:hAnsiTheme="minorHAnsi"/>
          <w:sz w:val="22"/>
          <w:szCs w:val="22"/>
        </w:rPr>
        <w:t>in the management and use of water resources</w:t>
      </w:r>
      <w:r w:rsidRPr="00D10F9B">
        <w:rPr>
          <w:rFonts w:asciiTheme="minorHAnsi" w:hAnsiTheme="minorHAnsi"/>
          <w:sz w:val="22"/>
          <w:szCs w:val="22"/>
        </w:rPr>
        <w:t xml:space="preserve">. </w:t>
      </w:r>
      <w:r w:rsidR="001D182F" w:rsidRPr="00D10F9B">
        <w:rPr>
          <w:rFonts w:asciiTheme="minorHAnsi" w:hAnsiTheme="minorHAnsi"/>
          <w:sz w:val="22"/>
          <w:szCs w:val="22"/>
        </w:rPr>
        <w:t>Our core capabilities and activities, reported against the department’s strategic obj</w:t>
      </w:r>
      <w:r w:rsidR="00D10F9B" w:rsidRPr="00D10F9B">
        <w:rPr>
          <w:rFonts w:asciiTheme="minorHAnsi" w:hAnsiTheme="minorHAnsi"/>
          <w:sz w:val="22"/>
          <w:szCs w:val="22"/>
        </w:rPr>
        <w:t>ectives as published in the 2016</w:t>
      </w:r>
      <w:r w:rsidR="0027497C">
        <w:rPr>
          <w:rFonts w:asciiTheme="minorHAnsi" w:hAnsiTheme="minorHAnsi"/>
          <w:sz w:val="22"/>
          <w:szCs w:val="22"/>
        </w:rPr>
        <w:t>–</w:t>
      </w:r>
      <w:r w:rsidR="00D10F9B" w:rsidRPr="00D10F9B">
        <w:rPr>
          <w:rFonts w:asciiTheme="minorHAnsi" w:hAnsiTheme="minorHAnsi"/>
          <w:sz w:val="22"/>
          <w:szCs w:val="22"/>
        </w:rPr>
        <w:t>17</w:t>
      </w:r>
      <w:r w:rsidR="001D182F" w:rsidRPr="00D10F9B">
        <w:rPr>
          <w:rFonts w:asciiTheme="minorHAnsi" w:hAnsiTheme="minorHAnsi"/>
          <w:sz w:val="22"/>
          <w:szCs w:val="22"/>
        </w:rPr>
        <w:t xml:space="preserve"> Portfolio Budget Statement and 201</w:t>
      </w:r>
      <w:r w:rsidR="00DF6B91">
        <w:rPr>
          <w:rFonts w:asciiTheme="minorHAnsi" w:hAnsiTheme="minorHAnsi"/>
          <w:sz w:val="22"/>
          <w:szCs w:val="22"/>
        </w:rPr>
        <w:t>6</w:t>
      </w:r>
      <w:r w:rsidR="0027497C">
        <w:rPr>
          <w:rFonts w:asciiTheme="minorHAnsi" w:hAnsiTheme="minorHAnsi"/>
          <w:sz w:val="22"/>
          <w:szCs w:val="22"/>
        </w:rPr>
        <w:t>–</w:t>
      </w:r>
      <w:r w:rsidR="00DF6B91">
        <w:rPr>
          <w:rFonts w:asciiTheme="minorHAnsi" w:hAnsiTheme="minorHAnsi"/>
          <w:sz w:val="22"/>
          <w:szCs w:val="22"/>
        </w:rPr>
        <w:t>20</w:t>
      </w:r>
      <w:r w:rsidR="001D182F" w:rsidRPr="00D10F9B">
        <w:rPr>
          <w:rFonts w:asciiTheme="minorHAnsi" w:hAnsiTheme="minorHAnsi"/>
          <w:sz w:val="22"/>
          <w:szCs w:val="22"/>
        </w:rPr>
        <w:t xml:space="preserve"> Corporate Plan, are described below.</w:t>
      </w:r>
    </w:p>
    <w:p w:rsidR="0054288E" w:rsidRPr="00D10F9B" w:rsidRDefault="009C38FE" w:rsidP="00684D41">
      <w:pPr>
        <w:rPr>
          <w:rFonts w:asciiTheme="minorHAnsi" w:hAnsiTheme="minorHAnsi"/>
          <w:sz w:val="22"/>
          <w:szCs w:val="22"/>
        </w:rPr>
      </w:pPr>
      <w:r w:rsidRPr="00D10F9B">
        <w:rPr>
          <w:rFonts w:asciiTheme="minorHAnsi" w:hAnsiTheme="minorHAnsi"/>
          <w:sz w:val="22"/>
          <w:szCs w:val="22"/>
        </w:rPr>
        <w:t xml:space="preserve">Some research products deliver on </w:t>
      </w:r>
      <w:r w:rsidR="0027497C">
        <w:rPr>
          <w:rFonts w:asciiTheme="minorHAnsi" w:hAnsiTheme="minorHAnsi"/>
          <w:sz w:val="22"/>
          <w:szCs w:val="22"/>
        </w:rPr>
        <w:t>multiple</w:t>
      </w:r>
      <w:r w:rsidRPr="00D10F9B">
        <w:rPr>
          <w:rFonts w:asciiTheme="minorHAnsi" w:hAnsiTheme="minorHAnsi"/>
          <w:sz w:val="22"/>
          <w:szCs w:val="22"/>
        </w:rPr>
        <w:t xml:space="preserve"> </w:t>
      </w:r>
      <w:r w:rsidR="0027497C" w:rsidRPr="00D10F9B">
        <w:rPr>
          <w:rFonts w:asciiTheme="minorHAnsi" w:hAnsiTheme="minorHAnsi"/>
          <w:sz w:val="22"/>
          <w:szCs w:val="22"/>
        </w:rPr>
        <w:t>department</w:t>
      </w:r>
      <w:r w:rsidR="0027497C">
        <w:rPr>
          <w:rFonts w:asciiTheme="minorHAnsi" w:hAnsiTheme="minorHAnsi"/>
          <w:sz w:val="22"/>
          <w:szCs w:val="22"/>
        </w:rPr>
        <w:t>al</w:t>
      </w:r>
      <w:r w:rsidR="0027497C" w:rsidRPr="00D10F9B">
        <w:rPr>
          <w:rFonts w:asciiTheme="minorHAnsi" w:hAnsiTheme="minorHAnsi"/>
          <w:sz w:val="22"/>
          <w:szCs w:val="22"/>
        </w:rPr>
        <w:t xml:space="preserve"> </w:t>
      </w:r>
      <w:r w:rsidRPr="00D10F9B">
        <w:rPr>
          <w:rFonts w:asciiTheme="minorHAnsi" w:hAnsiTheme="minorHAnsi"/>
          <w:sz w:val="22"/>
          <w:szCs w:val="22"/>
        </w:rPr>
        <w:t>strategic objectives</w:t>
      </w:r>
      <w:r w:rsidR="0027497C">
        <w:rPr>
          <w:rFonts w:asciiTheme="minorHAnsi" w:hAnsiTheme="minorHAnsi"/>
          <w:sz w:val="22"/>
          <w:szCs w:val="22"/>
        </w:rPr>
        <w:t>,</w:t>
      </w:r>
      <w:r w:rsidR="00D82E61" w:rsidRPr="00D10F9B">
        <w:rPr>
          <w:rFonts w:asciiTheme="minorHAnsi" w:hAnsiTheme="minorHAnsi"/>
          <w:sz w:val="22"/>
          <w:szCs w:val="22"/>
        </w:rPr>
        <w:t xml:space="preserve"> but are reported against only one in this chapter for brevity. For example, much of the fisheries and forestry research and analysis contributes to both </w:t>
      </w:r>
      <w:r w:rsidR="0027497C">
        <w:rPr>
          <w:rFonts w:asciiTheme="minorHAnsi" w:hAnsiTheme="minorHAnsi"/>
          <w:sz w:val="22"/>
          <w:szCs w:val="22"/>
        </w:rPr>
        <w:t>‘</w:t>
      </w:r>
      <w:r w:rsidR="00D82E61" w:rsidRPr="00D10F9B">
        <w:rPr>
          <w:rFonts w:asciiTheme="minorHAnsi" w:hAnsiTheme="minorHAnsi"/>
          <w:sz w:val="22"/>
          <w:szCs w:val="22"/>
        </w:rPr>
        <w:t>sustaining natural resources for longer</w:t>
      </w:r>
      <w:r w:rsidR="0027497C">
        <w:rPr>
          <w:rFonts w:asciiTheme="minorHAnsi" w:hAnsiTheme="minorHAnsi"/>
          <w:sz w:val="22"/>
          <w:szCs w:val="22"/>
        </w:rPr>
        <w:t>-</w:t>
      </w:r>
      <w:r w:rsidR="00D82E61" w:rsidRPr="00D10F9B">
        <w:rPr>
          <w:rFonts w:asciiTheme="minorHAnsi" w:hAnsiTheme="minorHAnsi"/>
          <w:sz w:val="22"/>
          <w:szCs w:val="22"/>
        </w:rPr>
        <w:t>term productive primary industries</w:t>
      </w:r>
      <w:r w:rsidR="0027497C">
        <w:rPr>
          <w:rFonts w:asciiTheme="minorHAnsi" w:hAnsiTheme="minorHAnsi"/>
          <w:sz w:val="22"/>
          <w:szCs w:val="22"/>
        </w:rPr>
        <w:t>’</w:t>
      </w:r>
      <w:r w:rsidR="00D82E61" w:rsidRPr="00D10F9B">
        <w:rPr>
          <w:rFonts w:asciiTheme="minorHAnsi" w:hAnsiTheme="minorHAnsi"/>
          <w:sz w:val="22"/>
          <w:szCs w:val="22"/>
        </w:rPr>
        <w:t xml:space="preserve"> and </w:t>
      </w:r>
      <w:r w:rsidR="0027497C">
        <w:rPr>
          <w:rFonts w:asciiTheme="minorHAnsi" w:hAnsiTheme="minorHAnsi"/>
          <w:sz w:val="22"/>
          <w:szCs w:val="22"/>
        </w:rPr>
        <w:t>‘</w:t>
      </w:r>
      <w:r w:rsidR="00D82E61" w:rsidRPr="00D10F9B">
        <w:rPr>
          <w:rFonts w:asciiTheme="minorHAnsi" w:hAnsiTheme="minorHAnsi"/>
          <w:sz w:val="22"/>
          <w:szCs w:val="22"/>
        </w:rPr>
        <w:t>building successful primary industries</w:t>
      </w:r>
      <w:r w:rsidR="0027497C">
        <w:rPr>
          <w:rFonts w:asciiTheme="minorHAnsi" w:hAnsiTheme="minorHAnsi"/>
          <w:sz w:val="22"/>
          <w:szCs w:val="22"/>
        </w:rPr>
        <w:t>’</w:t>
      </w:r>
      <w:r w:rsidR="00D82E61" w:rsidRPr="00D10F9B">
        <w:rPr>
          <w:rFonts w:asciiTheme="minorHAnsi" w:hAnsiTheme="minorHAnsi"/>
          <w:sz w:val="22"/>
          <w:szCs w:val="22"/>
        </w:rPr>
        <w:t xml:space="preserve">. Similarly, </w:t>
      </w:r>
      <w:r w:rsidR="00DF6B91">
        <w:rPr>
          <w:rFonts w:asciiTheme="minorHAnsi" w:hAnsiTheme="minorHAnsi"/>
          <w:sz w:val="22"/>
          <w:szCs w:val="22"/>
        </w:rPr>
        <w:t xml:space="preserve">irrigation surveys and analysis contribute to both </w:t>
      </w:r>
      <w:r w:rsidR="0027497C">
        <w:rPr>
          <w:rFonts w:asciiTheme="minorHAnsi" w:hAnsiTheme="minorHAnsi"/>
          <w:sz w:val="22"/>
          <w:szCs w:val="22"/>
        </w:rPr>
        <w:t>‘</w:t>
      </w:r>
      <w:r w:rsidR="00DF6B91">
        <w:rPr>
          <w:rFonts w:asciiTheme="minorHAnsi" w:hAnsiTheme="minorHAnsi"/>
          <w:sz w:val="22"/>
          <w:szCs w:val="22"/>
        </w:rPr>
        <w:t>improving water use efficiency and health of rivers, communities, environmental assets and production systems</w:t>
      </w:r>
      <w:r w:rsidR="0027497C">
        <w:rPr>
          <w:rFonts w:asciiTheme="minorHAnsi" w:hAnsiTheme="minorHAnsi"/>
          <w:sz w:val="22"/>
          <w:szCs w:val="22"/>
        </w:rPr>
        <w:t>’</w:t>
      </w:r>
      <w:r w:rsidR="00DF6B91">
        <w:rPr>
          <w:rFonts w:asciiTheme="minorHAnsi" w:hAnsiTheme="minorHAnsi"/>
          <w:sz w:val="22"/>
          <w:szCs w:val="22"/>
        </w:rPr>
        <w:t xml:space="preserve"> and </w:t>
      </w:r>
      <w:r w:rsidR="0027497C">
        <w:rPr>
          <w:rFonts w:asciiTheme="minorHAnsi" w:hAnsiTheme="minorHAnsi"/>
          <w:sz w:val="22"/>
          <w:szCs w:val="22"/>
        </w:rPr>
        <w:t>‘</w:t>
      </w:r>
      <w:r w:rsidR="00DF6B91">
        <w:rPr>
          <w:rFonts w:asciiTheme="minorHAnsi" w:hAnsiTheme="minorHAnsi"/>
          <w:sz w:val="22"/>
          <w:szCs w:val="22"/>
        </w:rPr>
        <w:t>building successful primary industries</w:t>
      </w:r>
      <w:r w:rsidR="0027497C">
        <w:rPr>
          <w:rFonts w:asciiTheme="minorHAnsi" w:hAnsiTheme="minorHAnsi"/>
          <w:sz w:val="22"/>
          <w:szCs w:val="22"/>
        </w:rPr>
        <w:t>’</w:t>
      </w:r>
      <w:r w:rsidR="00D82E61" w:rsidRPr="00D10F9B">
        <w:rPr>
          <w:rFonts w:asciiTheme="minorHAnsi" w:hAnsiTheme="minorHAnsi"/>
          <w:sz w:val="22"/>
          <w:szCs w:val="22"/>
        </w:rPr>
        <w:t>.</w:t>
      </w:r>
    </w:p>
    <w:p w:rsidR="001D182F" w:rsidRPr="00D10F9B" w:rsidRDefault="001D182F" w:rsidP="00494D22">
      <w:pPr>
        <w:pStyle w:val="Heading3"/>
        <w:rPr>
          <w:color w:val="auto"/>
        </w:rPr>
      </w:pPr>
      <w:bookmarkStart w:id="16" w:name="_Toc428890643"/>
      <w:bookmarkStart w:id="17" w:name="_Toc465156767"/>
      <w:r w:rsidRPr="00D10F9B">
        <w:rPr>
          <w:color w:val="auto"/>
        </w:rPr>
        <w:t xml:space="preserve">Building successful primary industries and </w:t>
      </w:r>
      <w:r w:rsidR="00684D41" w:rsidRPr="00D10F9B">
        <w:rPr>
          <w:color w:val="auto"/>
        </w:rPr>
        <w:t>s</w:t>
      </w:r>
      <w:r w:rsidRPr="00D10F9B">
        <w:rPr>
          <w:color w:val="auto"/>
        </w:rPr>
        <w:t>upporting agricultural communities</w:t>
      </w:r>
      <w:bookmarkEnd w:id="16"/>
      <w:bookmarkEnd w:id="17"/>
    </w:p>
    <w:p w:rsidR="001D182F" w:rsidRPr="003B7047" w:rsidRDefault="001D182F" w:rsidP="00541495">
      <w:pPr>
        <w:pStyle w:val="Heading4"/>
      </w:pPr>
      <w:r w:rsidRPr="003B7047">
        <w:t>Commodity forecasts and analysis</w:t>
      </w:r>
    </w:p>
    <w:p w:rsidR="001D182F" w:rsidRPr="00A07930" w:rsidRDefault="001D182F" w:rsidP="001D182F">
      <w:pPr>
        <w:rPr>
          <w:rFonts w:asciiTheme="minorHAnsi" w:hAnsiTheme="minorHAnsi"/>
          <w:sz w:val="22"/>
          <w:szCs w:val="22"/>
        </w:rPr>
      </w:pPr>
      <w:r w:rsidRPr="00A07930">
        <w:rPr>
          <w:rFonts w:asciiTheme="minorHAnsi" w:hAnsiTheme="minorHAnsi"/>
          <w:sz w:val="22"/>
          <w:szCs w:val="22"/>
        </w:rPr>
        <w:t>ABARES commodity forecasting and analysis provides up-to-date data and information on Australian and world markets for agricultural commodities.</w:t>
      </w:r>
      <w:r w:rsidRPr="00A07930">
        <w:rPr>
          <w:rFonts w:asciiTheme="minorHAnsi" w:hAnsiTheme="minorHAnsi"/>
          <w:color w:val="FF0000"/>
          <w:sz w:val="22"/>
          <w:szCs w:val="22"/>
        </w:rPr>
        <w:t xml:space="preserve"> </w:t>
      </w:r>
      <w:r w:rsidRPr="00A07930">
        <w:rPr>
          <w:rFonts w:asciiTheme="minorHAnsi" w:hAnsiTheme="minorHAnsi"/>
          <w:sz w:val="22"/>
          <w:szCs w:val="22"/>
        </w:rPr>
        <w:t>It produces regular publications, briefing</w:t>
      </w:r>
      <w:r w:rsidR="001A51F3">
        <w:rPr>
          <w:rFonts w:asciiTheme="minorHAnsi" w:hAnsiTheme="minorHAnsi"/>
          <w:sz w:val="22"/>
          <w:szCs w:val="22"/>
        </w:rPr>
        <w:t>s</w:t>
      </w:r>
      <w:r w:rsidRPr="00A07930">
        <w:rPr>
          <w:rFonts w:asciiTheme="minorHAnsi" w:hAnsiTheme="minorHAnsi"/>
          <w:sz w:val="22"/>
          <w:szCs w:val="22"/>
        </w:rPr>
        <w:t xml:space="preserve"> and forecasts to support core activities in the department. Through this activity ABARES collects domestic and international agricultural</w:t>
      </w:r>
      <w:r w:rsidR="00146F52">
        <w:rPr>
          <w:rFonts w:asciiTheme="minorHAnsi" w:hAnsiTheme="minorHAnsi"/>
          <w:sz w:val="22"/>
          <w:szCs w:val="22"/>
        </w:rPr>
        <w:t>, fisheries and forestry</w:t>
      </w:r>
      <w:r w:rsidRPr="00A07930">
        <w:rPr>
          <w:rFonts w:asciiTheme="minorHAnsi" w:hAnsiTheme="minorHAnsi"/>
          <w:sz w:val="22"/>
          <w:szCs w:val="22"/>
        </w:rPr>
        <w:t xml:space="preserve"> statistics, including seasonal conditions, production, consumption, exports, imports and prices. The publications and data are available to the department and external stakeholders, including industry and international organisations such as OECD and FAO. The commodity forecasts are presented at ABARES regional and national Outlook con</w:t>
      </w:r>
      <w:r w:rsidR="00A07930">
        <w:rPr>
          <w:rFonts w:asciiTheme="minorHAnsi" w:hAnsiTheme="minorHAnsi"/>
          <w:sz w:val="22"/>
          <w:szCs w:val="22"/>
        </w:rPr>
        <w:t>ferences over the course of 2016</w:t>
      </w:r>
      <w:r w:rsidR="0027497C">
        <w:rPr>
          <w:rFonts w:asciiTheme="minorHAnsi" w:hAnsiTheme="minorHAnsi"/>
          <w:sz w:val="22"/>
          <w:szCs w:val="22"/>
        </w:rPr>
        <w:t>–</w:t>
      </w:r>
      <w:r w:rsidR="00A07930">
        <w:rPr>
          <w:rFonts w:asciiTheme="minorHAnsi" w:hAnsiTheme="minorHAnsi"/>
          <w:sz w:val="22"/>
          <w:szCs w:val="22"/>
        </w:rPr>
        <w:t>17</w:t>
      </w:r>
      <w:r w:rsidRPr="00A07930">
        <w:rPr>
          <w:rFonts w:asciiTheme="minorHAnsi" w:hAnsiTheme="minorHAnsi"/>
          <w:sz w:val="22"/>
          <w:szCs w:val="22"/>
        </w:rPr>
        <w:t>.</w:t>
      </w:r>
    </w:p>
    <w:p w:rsidR="001D182F" w:rsidRPr="00270909" w:rsidRDefault="00270909" w:rsidP="001D182F">
      <w:pPr>
        <w:rPr>
          <w:rFonts w:asciiTheme="minorHAnsi" w:hAnsiTheme="minorHAnsi"/>
          <w:sz w:val="22"/>
          <w:szCs w:val="22"/>
        </w:rPr>
      </w:pPr>
      <w:r w:rsidRPr="00270909">
        <w:rPr>
          <w:rFonts w:asciiTheme="minorHAnsi" w:hAnsiTheme="minorHAnsi"/>
          <w:sz w:val="22"/>
          <w:szCs w:val="22"/>
        </w:rPr>
        <w:t>Key publications in 2016</w:t>
      </w:r>
      <w:r w:rsidR="0027497C">
        <w:rPr>
          <w:rFonts w:asciiTheme="minorHAnsi" w:hAnsiTheme="minorHAnsi"/>
          <w:sz w:val="22"/>
          <w:szCs w:val="22"/>
        </w:rPr>
        <w:t>–</w:t>
      </w:r>
      <w:r w:rsidRPr="00270909">
        <w:rPr>
          <w:rFonts w:asciiTheme="minorHAnsi" w:hAnsiTheme="minorHAnsi"/>
          <w:sz w:val="22"/>
          <w:szCs w:val="22"/>
        </w:rPr>
        <w:t>17</w:t>
      </w:r>
      <w:r w:rsidR="001D182F" w:rsidRPr="00270909">
        <w:rPr>
          <w:rFonts w:asciiTheme="minorHAnsi" w:hAnsiTheme="minorHAnsi"/>
          <w:sz w:val="22"/>
          <w:szCs w:val="22"/>
        </w:rPr>
        <w:t xml:space="preserve"> </w:t>
      </w:r>
      <w:r w:rsidR="001A51F3">
        <w:rPr>
          <w:rFonts w:asciiTheme="minorHAnsi" w:hAnsiTheme="minorHAnsi"/>
          <w:sz w:val="22"/>
          <w:szCs w:val="22"/>
        </w:rPr>
        <w:t xml:space="preserve">will </w:t>
      </w:r>
      <w:r w:rsidR="001D182F" w:rsidRPr="00270909">
        <w:rPr>
          <w:rFonts w:asciiTheme="minorHAnsi" w:hAnsiTheme="minorHAnsi"/>
          <w:sz w:val="22"/>
          <w:szCs w:val="22"/>
        </w:rPr>
        <w:t>include:</w:t>
      </w:r>
    </w:p>
    <w:p w:rsidR="001D182F" w:rsidRPr="00270909" w:rsidRDefault="001D182F" w:rsidP="00494D22">
      <w:pPr>
        <w:pStyle w:val="ListBullet"/>
        <w:rPr>
          <w:rStyle w:val="Emphasis"/>
        </w:rPr>
      </w:pPr>
      <w:r w:rsidRPr="00270909">
        <w:rPr>
          <w:rStyle w:val="Emphasis"/>
        </w:rPr>
        <w:t>Australian climate, water and agricultural update (weekly)</w:t>
      </w:r>
    </w:p>
    <w:p w:rsidR="001D182F" w:rsidRPr="00270909" w:rsidRDefault="001D182F" w:rsidP="00494D22">
      <w:pPr>
        <w:pStyle w:val="ListBullet"/>
      </w:pPr>
      <w:r w:rsidRPr="00270909">
        <w:rPr>
          <w:i/>
        </w:rPr>
        <w:t>Australian Crop Report</w:t>
      </w:r>
      <w:r w:rsidRPr="00270909">
        <w:t xml:space="preserve"> (pub</w:t>
      </w:r>
      <w:r w:rsidR="00270909" w:rsidRPr="00270909">
        <w:t>lished quarterly: September 2016, December 2016, February 2017, June 2017</w:t>
      </w:r>
      <w:r w:rsidRPr="00270909">
        <w:t>)</w:t>
      </w:r>
    </w:p>
    <w:p w:rsidR="001D182F" w:rsidRPr="00270909" w:rsidRDefault="001D182F" w:rsidP="00494D22">
      <w:pPr>
        <w:pStyle w:val="ListBullet"/>
      </w:pPr>
      <w:r w:rsidRPr="00270909">
        <w:rPr>
          <w:i/>
        </w:rPr>
        <w:t>Agricultural Commodities</w:t>
      </w:r>
      <w:r w:rsidRPr="00270909">
        <w:t xml:space="preserve"> (pub</w:t>
      </w:r>
      <w:r w:rsidR="00270909" w:rsidRPr="00270909">
        <w:t>lished quarterly: September 2016, December 2016, March 2017, June 2017</w:t>
      </w:r>
      <w:r w:rsidRPr="00270909">
        <w:t>)</w:t>
      </w:r>
    </w:p>
    <w:p w:rsidR="001D182F" w:rsidRPr="00270909" w:rsidRDefault="001D182F" w:rsidP="00494D22">
      <w:pPr>
        <w:pStyle w:val="ListBullet"/>
      </w:pPr>
      <w:r w:rsidRPr="00270909">
        <w:rPr>
          <w:i/>
        </w:rPr>
        <w:t>Agricultural Commodity Statistics</w:t>
      </w:r>
      <w:r w:rsidRPr="00270909">
        <w:t xml:space="preserve"> (p</w:t>
      </w:r>
      <w:r w:rsidR="00270909" w:rsidRPr="00270909">
        <w:t>ublished annually: December 2016</w:t>
      </w:r>
      <w:r w:rsidRPr="00270909">
        <w:t>)</w:t>
      </w:r>
      <w:r w:rsidR="0027497C">
        <w:t>.</w:t>
      </w:r>
    </w:p>
    <w:p w:rsidR="001D182F" w:rsidRPr="003B7047" w:rsidRDefault="001D182F" w:rsidP="00494D22">
      <w:pPr>
        <w:pStyle w:val="Heading4"/>
      </w:pPr>
      <w:r w:rsidRPr="003B7047">
        <w:t>Farm</w:t>
      </w:r>
      <w:r w:rsidR="00146F52">
        <w:t xml:space="preserve"> and producer</w:t>
      </w:r>
      <w:r w:rsidRPr="003B7047">
        <w:t xml:space="preserve"> surveys</w:t>
      </w:r>
      <w:r w:rsidR="003B7047" w:rsidRPr="003B7047">
        <w:t xml:space="preserve"> collection</w:t>
      </w:r>
    </w:p>
    <w:p w:rsidR="001D182F" w:rsidRPr="00146F52" w:rsidRDefault="001D182F" w:rsidP="001D182F">
      <w:pPr>
        <w:rPr>
          <w:rFonts w:asciiTheme="minorHAnsi" w:hAnsiTheme="minorHAnsi"/>
          <w:sz w:val="22"/>
          <w:szCs w:val="22"/>
        </w:rPr>
      </w:pPr>
      <w:r w:rsidRPr="00146F52">
        <w:rPr>
          <w:rFonts w:asciiTheme="minorHAnsi" w:hAnsiTheme="minorHAnsi"/>
          <w:sz w:val="22"/>
          <w:szCs w:val="22"/>
        </w:rPr>
        <w:t>ABARES conducts a range of business surveys each year to obtain detailed financial, physical and socioeconomic information on various industries.</w:t>
      </w:r>
      <w:r w:rsidR="005C7090">
        <w:rPr>
          <w:rFonts w:asciiTheme="minorHAnsi" w:hAnsiTheme="minorHAnsi"/>
          <w:sz w:val="22"/>
          <w:szCs w:val="22"/>
        </w:rPr>
        <w:t xml:space="preserve"> </w:t>
      </w:r>
      <w:r w:rsidRPr="00146F52">
        <w:rPr>
          <w:rFonts w:asciiTheme="minorHAnsi" w:hAnsiTheme="minorHAnsi"/>
          <w:sz w:val="22"/>
          <w:szCs w:val="22"/>
        </w:rPr>
        <w:t>Most are farm surveys, but we also conduct annual surveys of selected Commonwealth fisheries and forestry industr</w:t>
      </w:r>
      <w:r w:rsidR="00912B8D" w:rsidRPr="00146F52">
        <w:rPr>
          <w:rFonts w:asciiTheme="minorHAnsi" w:hAnsiTheme="minorHAnsi"/>
          <w:sz w:val="22"/>
          <w:szCs w:val="22"/>
        </w:rPr>
        <w:t>ies</w:t>
      </w:r>
      <w:r w:rsidRPr="00146F52">
        <w:rPr>
          <w:rFonts w:asciiTheme="minorHAnsi" w:hAnsiTheme="minorHAnsi"/>
          <w:sz w:val="22"/>
          <w:szCs w:val="22"/>
        </w:rPr>
        <w:t xml:space="preserve"> relating to production, plantations and downstream processing. </w:t>
      </w:r>
    </w:p>
    <w:p w:rsidR="001D182F" w:rsidRPr="003B3978" w:rsidRDefault="001D182F" w:rsidP="001D182F">
      <w:pPr>
        <w:rPr>
          <w:rFonts w:asciiTheme="minorHAnsi" w:hAnsiTheme="minorHAnsi"/>
          <w:sz w:val="22"/>
          <w:szCs w:val="22"/>
        </w:rPr>
      </w:pPr>
      <w:r w:rsidRPr="003B3978">
        <w:rPr>
          <w:rFonts w:asciiTheme="minorHAnsi" w:hAnsiTheme="minorHAnsi"/>
          <w:sz w:val="22"/>
          <w:szCs w:val="22"/>
        </w:rPr>
        <w:t>The data collected and analysed within ABARES are used to monitor the economic performance and productivity of the agriculture, fisheries and forestry sectors and to support evidence-based policy development and program implementation within the department.</w:t>
      </w:r>
    </w:p>
    <w:p w:rsidR="001D182F" w:rsidRPr="00D10F9B" w:rsidRDefault="001D182F" w:rsidP="001D182F">
      <w:pPr>
        <w:rPr>
          <w:rFonts w:asciiTheme="minorHAnsi" w:hAnsiTheme="minorHAnsi"/>
          <w:color w:val="FF0000"/>
          <w:sz w:val="22"/>
          <w:szCs w:val="22"/>
        </w:rPr>
      </w:pPr>
      <w:r w:rsidRPr="003B3978">
        <w:rPr>
          <w:rFonts w:asciiTheme="minorHAnsi" w:hAnsiTheme="minorHAnsi"/>
          <w:sz w:val="22"/>
          <w:szCs w:val="22"/>
        </w:rPr>
        <w:lastRenderedPageBreak/>
        <w:t xml:space="preserve">ABARES has conducted the Australian Agricultural and Grazing Industries Survey and the Australian Dairy Industry Survey annually for </w:t>
      </w:r>
      <w:r w:rsidR="0027497C">
        <w:rPr>
          <w:rFonts w:asciiTheme="minorHAnsi" w:hAnsiTheme="minorHAnsi"/>
          <w:sz w:val="22"/>
          <w:szCs w:val="22"/>
        </w:rPr>
        <w:t>nearly</w:t>
      </w:r>
      <w:r w:rsidRPr="003B3978">
        <w:rPr>
          <w:rFonts w:asciiTheme="minorHAnsi" w:hAnsiTheme="minorHAnsi"/>
          <w:sz w:val="22"/>
          <w:szCs w:val="22"/>
        </w:rPr>
        <w:t xml:space="preserve"> </w:t>
      </w:r>
      <w:r w:rsidR="0027497C">
        <w:rPr>
          <w:rFonts w:asciiTheme="minorHAnsi" w:hAnsiTheme="minorHAnsi"/>
          <w:sz w:val="22"/>
          <w:szCs w:val="22"/>
        </w:rPr>
        <w:t>4</w:t>
      </w:r>
      <w:r w:rsidRPr="003B3978">
        <w:rPr>
          <w:rFonts w:asciiTheme="minorHAnsi" w:hAnsiTheme="minorHAnsi"/>
          <w:sz w:val="22"/>
          <w:szCs w:val="22"/>
        </w:rPr>
        <w:t xml:space="preserve">0 years. These surveys cover detailed financial, physical and socioeconomic information for the broadacre and dairy sectors, which account for more than two-thirds of Australian farm businesses with significant agricultural production. This year ABARES will also conduct </w:t>
      </w:r>
      <w:r w:rsidR="00912B8D" w:rsidRPr="003B3978">
        <w:rPr>
          <w:rFonts w:asciiTheme="minorHAnsi" w:hAnsiTheme="minorHAnsi"/>
          <w:sz w:val="22"/>
          <w:szCs w:val="22"/>
        </w:rPr>
        <w:t>survey</w:t>
      </w:r>
      <w:r w:rsidR="0027497C">
        <w:rPr>
          <w:rFonts w:asciiTheme="minorHAnsi" w:hAnsiTheme="minorHAnsi"/>
          <w:sz w:val="22"/>
          <w:szCs w:val="22"/>
        </w:rPr>
        <w:t>s of vegetable farmers and irrigators</w:t>
      </w:r>
      <w:r w:rsidR="003B3978" w:rsidRPr="003B3978">
        <w:rPr>
          <w:rFonts w:asciiTheme="minorHAnsi" w:hAnsiTheme="minorHAnsi"/>
          <w:sz w:val="22"/>
          <w:szCs w:val="22"/>
        </w:rPr>
        <w:t>. These</w:t>
      </w:r>
      <w:r w:rsidR="00912B8D" w:rsidRPr="003B3978">
        <w:rPr>
          <w:rFonts w:asciiTheme="minorHAnsi" w:hAnsiTheme="minorHAnsi"/>
          <w:sz w:val="22"/>
          <w:szCs w:val="22"/>
        </w:rPr>
        <w:t xml:space="preserve"> surveys are jointly funded by the research and development corporations. ABARES is also likely to conduct a</w:t>
      </w:r>
      <w:r w:rsidRPr="003B3978">
        <w:rPr>
          <w:rFonts w:asciiTheme="minorHAnsi" w:hAnsiTheme="minorHAnsi"/>
          <w:sz w:val="22"/>
          <w:szCs w:val="22"/>
        </w:rPr>
        <w:t xml:space="preserve">n irrigation survey for the </w:t>
      </w:r>
      <w:r w:rsidR="00912B8D" w:rsidRPr="003B3978">
        <w:rPr>
          <w:rFonts w:asciiTheme="minorHAnsi" w:hAnsiTheme="minorHAnsi"/>
          <w:sz w:val="22"/>
          <w:szCs w:val="22"/>
        </w:rPr>
        <w:t>Murray</w:t>
      </w:r>
      <w:r w:rsidR="003B3978" w:rsidRPr="003B3978">
        <w:rPr>
          <w:rFonts w:asciiTheme="minorHAnsi" w:hAnsiTheme="minorHAnsi"/>
          <w:sz w:val="22"/>
          <w:szCs w:val="22"/>
        </w:rPr>
        <w:t>-Darling Basin Authority in 2016</w:t>
      </w:r>
      <w:r w:rsidR="0027497C">
        <w:rPr>
          <w:rFonts w:asciiTheme="minorHAnsi" w:hAnsiTheme="minorHAnsi"/>
          <w:sz w:val="22"/>
          <w:szCs w:val="22"/>
        </w:rPr>
        <w:t>–</w:t>
      </w:r>
      <w:r w:rsidR="003B3978" w:rsidRPr="003B3978">
        <w:rPr>
          <w:rFonts w:asciiTheme="minorHAnsi" w:hAnsiTheme="minorHAnsi"/>
          <w:sz w:val="22"/>
          <w:szCs w:val="22"/>
        </w:rPr>
        <w:t>17</w:t>
      </w:r>
      <w:r w:rsidRPr="003B3978">
        <w:rPr>
          <w:rFonts w:asciiTheme="minorHAnsi" w:hAnsiTheme="minorHAnsi"/>
          <w:sz w:val="22"/>
          <w:szCs w:val="22"/>
        </w:rPr>
        <w:t>.</w:t>
      </w:r>
    </w:p>
    <w:p w:rsidR="001D182F" w:rsidRPr="00146F52" w:rsidRDefault="001D182F" w:rsidP="001D182F">
      <w:pPr>
        <w:rPr>
          <w:rFonts w:asciiTheme="minorHAnsi" w:hAnsiTheme="minorHAnsi"/>
          <w:sz w:val="22"/>
          <w:szCs w:val="22"/>
        </w:rPr>
      </w:pPr>
      <w:r w:rsidRPr="00146F52">
        <w:rPr>
          <w:rFonts w:asciiTheme="minorHAnsi" w:hAnsiTheme="minorHAnsi"/>
          <w:sz w:val="22"/>
          <w:szCs w:val="22"/>
        </w:rPr>
        <w:t>Information gathered from these surveys is analysed and published in a range of publications</w:t>
      </w:r>
      <w:r w:rsidR="00A97AE1" w:rsidRPr="00146F52">
        <w:rPr>
          <w:rFonts w:asciiTheme="minorHAnsi" w:hAnsiTheme="minorHAnsi"/>
          <w:sz w:val="22"/>
          <w:szCs w:val="22"/>
        </w:rPr>
        <w:t>,</w:t>
      </w:r>
      <w:r w:rsidRPr="00146F52">
        <w:rPr>
          <w:rFonts w:asciiTheme="minorHAnsi" w:hAnsiTheme="minorHAnsi"/>
          <w:sz w:val="22"/>
          <w:szCs w:val="22"/>
        </w:rPr>
        <w:t xml:space="preserve"> including the </w:t>
      </w:r>
      <w:r w:rsidRPr="00146F52">
        <w:rPr>
          <w:rFonts w:asciiTheme="minorHAnsi" w:hAnsiTheme="minorHAnsi"/>
          <w:i/>
          <w:sz w:val="22"/>
          <w:szCs w:val="22"/>
        </w:rPr>
        <w:t>Australian farm surveys report</w:t>
      </w:r>
      <w:r w:rsidRPr="00146F52">
        <w:rPr>
          <w:rFonts w:asciiTheme="minorHAnsi" w:hAnsiTheme="minorHAnsi"/>
          <w:sz w:val="22"/>
          <w:szCs w:val="22"/>
        </w:rPr>
        <w:t xml:space="preserve">, </w:t>
      </w:r>
      <w:r w:rsidRPr="00146F52">
        <w:rPr>
          <w:rFonts w:asciiTheme="minorHAnsi" w:hAnsiTheme="minorHAnsi"/>
          <w:i/>
          <w:sz w:val="22"/>
          <w:szCs w:val="22"/>
        </w:rPr>
        <w:t>Australian fisheries economic indicators report</w:t>
      </w:r>
      <w:r w:rsidRPr="00146F52">
        <w:rPr>
          <w:rFonts w:asciiTheme="minorHAnsi" w:hAnsiTheme="minorHAnsi"/>
          <w:sz w:val="22"/>
          <w:szCs w:val="22"/>
        </w:rPr>
        <w:t xml:space="preserve">, </w:t>
      </w:r>
      <w:r w:rsidRPr="00146F52">
        <w:rPr>
          <w:rFonts w:asciiTheme="minorHAnsi" w:hAnsiTheme="minorHAnsi"/>
          <w:i/>
          <w:sz w:val="22"/>
          <w:szCs w:val="22"/>
        </w:rPr>
        <w:t>Australia’s plantation statistics</w:t>
      </w:r>
      <w:r w:rsidRPr="00146F52">
        <w:rPr>
          <w:rFonts w:asciiTheme="minorHAnsi" w:hAnsiTheme="minorHAnsi"/>
          <w:sz w:val="22"/>
          <w:szCs w:val="22"/>
        </w:rPr>
        <w:t xml:space="preserve">, and in performance reports for the Australian grains, beef, </w:t>
      </w:r>
      <w:proofErr w:type="gramStart"/>
      <w:r w:rsidRPr="00146F52">
        <w:rPr>
          <w:rFonts w:asciiTheme="minorHAnsi" w:hAnsiTheme="minorHAnsi"/>
          <w:sz w:val="22"/>
          <w:szCs w:val="22"/>
        </w:rPr>
        <w:t>lamb</w:t>
      </w:r>
      <w:proofErr w:type="gramEnd"/>
      <w:r w:rsidRPr="00146F52">
        <w:rPr>
          <w:rFonts w:asciiTheme="minorHAnsi" w:hAnsiTheme="minorHAnsi"/>
          <w:sz w:val="22"/>
          <w:szCs w:val="22"/>
        </w:rPr>
        <w:t>, dairy and vegetable growing industries.</w:t>
      </w:r>
    </w:p>
    <w:p w:rsidR="008C06C9" w:rsidRPr="003B7047" w:rsidRDefault="008C06C9" w:rsidP="008C06C9">
      <w:pPr>
        <w:pStyle w:val="Heading4"/>
      </w:pPr>
      <w:bookmarkStart w:id="18" w:name="_Toc428890644"/>
      <w:r w:rsidRPr="003B7047">
        <w:t xml:space="preserve">Farm performance </w:t>
      </w:r>
      <w:r w:rsidR="001A51F3">
        <w:t>and productivity</w:t>
      </w:r>
      <w:r w:rsidR="001A51F3" w:rsidRPr="003B7047">
        <w:t xml:space="preserve"> </w:t>
      </w:r>
      <w:r w:rsidRPr="003B7047">
        <w:t>analysis</w:t>
      </w:r>
    </w:p>
    <w:p w:rsidR="008C06C9" w:rsidRPr="00D10F9B" w:rsidRDefault="008C06C9" w:rsidP="008C06C9">
      <w:pPr>
        <w:rPr>
          <w:rFonts w:asciiTheme="minorHAnsi" w:hAnsiTheme="minorHAnsi"/>
          <w:color w:val="FF0000"/>
          <w:sz w:val="22"/>
          <w:szCs w:val="22"/>
        </w:rPr>
      </w:pPr>
      <w:r w:rsidRPr="003B3978">
        <w:rPr>
          <w:rFonts w:asciiTheme="minorHAnsi" w:hAnsiTheme="minorHAnsi"/>
          <w:sz w:val="22"/>
          <w:szCs w:val="22"/>
        </w:rPr>
        <w:t>The farm surveys are designed to provide a broad range of information on the current and historical economic performance, productivity and management practices of farm business units in the rural sector. These data are fundamental to tracking and reporting on industry performance. As the only dataset that contains sufficient detail to allow analysis of complex issues such as farm debt</w:t>
      </w:r>
      <w:r w:rsidR="0027497C">
        <w:rPr>
          <w:rFonts w:asciiTheme="minorHAnsi" w:hAnsiTheme="minorHAnsi"/>
          <w:sz w:val="22"/>
          <w:szCs w:val="22"/>
        </w:rPr>
        <w:t>,</w:t>
      </w:r>
      <w:r w:rsidRPr="003B3978">
        <w:rPr>
          <w:rFonts w:asciiTheme="minorHAnsi" w:hAnsiTheme="minorHAnsi"/>
          <w:sz w:val="22"/>
          <w:szCs w:val="22"/>
        </w:rPr>
        <w:t xml:space="preserve"> </w:t>
      </w:r>
      <w:r w:rsidR="0027497C">
        <w:rPr>
          <w:rFonts w:asciiTheme="minorHAnsi" w:hAnsiTheme="minorHAnsi"/>
          <w:sz w:val="22"/>
          <w:szCs w:val="22"/>
        </w:rPr>
        <w:t>these data are</w:t>
      </w:r>
      <w:r w:rsidRPr="003B3978">
        <w:rPr>
          <w:rFonts w:asciiTheme="minorHAnsi" w:hAnsiTheme="minorHAnsi"/>
          <w:sz w:val="22"/>
          <w:szCs w:val="22"/>
        </w:rPr>
        <w:t xml:space="preserve"> frequently used to support policy and programme development, including the in-drought support measures announced in the Agricultural Competitiveness White Paper. The data are also used to monitor trends in agricultural productivity in Australia</w:t>
      </w:r>
      <w:r w:rsidRPr="00D10F9B">
        <w:rPr>
          <w:rFonts w:asciiTheme="minorHAnsi" w:hAnsiTheme="minorHAnsi"/>
          <w:color w:val="FF0000"/>
          <w:sz w:val="22"/>
          <w:szCs w:val="22"/>
        </w:rPr>
        <w:t>.</w:t>
      </w:r>
    </w:p>
    <w:p w:rsidR="008C06C9" w:rsidRPr="003B3978" w:rsidRDefault="008C06C9" w:rsidP="008C06C9">
      <w:pPr>
        <w:rPr>
          <w:rFonts w:asciiTheme="minorHAnsi" w:hAnsiTheme="minorHAnsi"/>
          <w:sz w:val="22"/>
          <w:szCs w:val="22"/>
        </w:rPr>
      </w:pPr>
      <w:r w:rsidRPr="003B3978">
        <w:rPr>
          <w:rFonts w:asciiTheme="minorHAnsi" w:hAnsiTheme="minorHAnsi"/>
          <w:sz w:val="22"/>
          <w:szCs w:val="22"/>
        </w:rPr>
        <w:t>In 2016</w:t>
      </w:r>
      <w:r w:rsidR="0027497C">
        <w:rPr>
          <w:rFonts w:asciiTheme="minorHAnsi" w:hAnsiTheme="minorHAnsi"/>
          <w:sz w:val="22"/>
          <w:szCs w:val="22"/>
        </w:rPr>
        <w:t>–</w:t>
      </w:r>
      <w:r w:rsidRPr="003B3978">
        <w:rPr>
          <w:rFonts w:asciiTheme="minorHAnsi" w:hAnsiTheme="minorHAnsi"/>
          <w:sz w:val="22"/>
          <w:szCs w:val="22"/>
        </w:rPr>
        <w:t>17 ABARES will continue to monitor physical and financial farm performance based on information and data collected through the surveys of the broadacre, dairy, vegetable and irrigated agriculture sectors. Results from the farm survey program are published in a series of industry reports and are used extensively in presentations and briefings. Detailed data (by region and industry) are also available through the Ag</w:t>
      </w:r>
      <w:r w:rsidR="006A4A0E">
        <w:rPr>
          <w:rFonts w:asciiTheme="minorHAnsi" w:hAnsiTheme="minorHAnsi"/>
          <w:sz w:val="22"/>
          <w:szCs w:val="22"/>
        </w:rPr>
        <w:t>S</w:t>
      </w:r>
      <w:r w:rsidRPr="003B3978">
        <w:rPr>
          <w:rFonts w:asciiTheme="minorHAnsi" w:hAnsiTheme="minorHAnsi"/>
          <w:sz w:val="22"/>
          <w:szCs w:val="22"/>
        </w:rPr>
        <w:t>urf database on the ABARES website (http://www.agriculture.gov.au/abares/)</w:t>
      </w:r>
    </w:p>
    <w:p w:rsidR="008C06C9" w:rsidRDefault="008C06C9" w:rsidP="008C06C9">
      <w:pPr>
        <w:rPr>
          <w:rFonts w:asciiTheme="minorHAnsi" w:hAnsiTheme="minorHAnsi"/>
          <w:sz w:val="22"/>
          <w:szCs w:val="22"/>
        </w:rPr>
      </w:pPr>
      <w:r w:rsidRPr="00EF6C18">
        <w:rPr>
          <w:rFonts w:asciiTheme="minorHAnsi" w:hAnsiTheme="minorHAnsi"/>
          <w:sz w:val="22"/>
          <w:szCs w:val="22"/>
        </w:rPr>
        <w:t xml:space="preserve">ABARES will continue to analyse Australian agricultural productivity by monitoring productivity trends across farms, regions and industries and investigate underlying drivers. ABARES will also benchmark Australia’s agricultural productivity performance against trends in other OECD countries. By informing government and industry about the determinants and sources of productivity growth, ABARES aims to improve farm profitability and industry competitiveness and support strategic decision-making. </w:t>
      </w:r>
    </w:p>
    <w:p w:rsidR="008C06C9" w:rsidRPr="003B3978" w:rsidRDefault="008C06C9" w:rsidP="008C06C9">
      <w:pPr>
        <w:rPr>
          <w:rFonts w:asciiTheme="minorHAnsi" w:hAnsiTheme="minorHAnsi"/>
          <w:sz w:val="22"/>
          <w:szCs w:val="22"/>
        </w:rPr>
      </w:pPr>
      <w:r w:rsidRPr="003B3978">
        <w:rPr>
          <w:rFonts w:asciiTheme="minorHAnsi" w:hAnsiTheme="minorHAnsi"/>
          <w:sz w:val="22"/>
          <w:szCs w:val="22"/>
        </w:rPr>
        <w:t>ABARES will continue to combine its surveys data with the latest available information from the Australian Bureau of Statistics to generate 48 regional profiles and 8 state and territory profiles of the agriculture, fisheries and forestry industries across Australia each year.</w:t>
      </w:r>
    </w:p>
    <w:p w:rsidR="008C06C9" w:rsidRDefault="008C06C9" w:rsidP="008C06C9">
      <w:pPr>
        <w:rPr>
          <w:rFonts w:asciiTheme="minorHAnsi" w:hAnsiTheme="minorHAnsi"/>
          <w:sz w:val="22"/>
          <w:szCs w:val="22"/>
        </w:rPr>
      </w:pPr>
      <w:r w:rsidRPr="005004C7">
        <w:rPr>
          <w:rFonts w:asciiTheme="minorHAnsi" w:hAnsiTheme="minorHAnsi"/>
          <w:sz w:val="22"/>
          <w:szCs w:val="22"/>
        </w:rPr>
        <w:t xml:space="preserve">ABARES is undertaking a project </w:t>
      </w:r>
      <w:r w:rsidRPr="005004C7">
        <w:rPr>
          <w:rFonts w:asciiTheme="minorHAnsi" w:hAnsiTheme="minorHAnsi"/>
          <w:i/>
          <w:sz w:val="22"/>
          <w:szCs w:val="22"/>
        </w:rPr>
        <w:t xml:space="preserve">Investment in Australian Farms. </w:t>
      </w:r>
      <w:r w:rsidRPr="005004C7">
        <w:rPr>
          <w:rFonts w:asciiTheme="minorHAnsi" w:hAnsiTheme="minorHAnsi"/>
          <w:sz w:val="22"/>
          <w:szCs w:val="22"/>
        </w:rPr>
        <w:t>This report describes recent trends in investment on Australian farms with a particular focus on the role of corporate investors. The likelihood of an increase in corporate investment is considered, as are the implications of any increase that may occur. D</w:t>
      </w:r>
      <w:r w:rsidR="001A51F3">
        <w:rPr>
          <w:rFonts w:asciiTheme="minorHAnsi" w:hAnsiTheme="minorHAnsi"/>
          <w:sz w:val="22"/>
          <w:szCs w:val="22"/>
        </w:rPr>
        <w:t>ata are presented that describe</w:t>
      </w:r>
      <w:r w:rsidRPr="005004C7">
        <w:rPr>
          <w:rFonts w:asciiTheme="minorHAnsi" w:hAnsiTheme="minorHAnsi"/>
          <w:sz w:val="22"/>
          <w:szCs w:val="22"/>
        </w:rPr>
        <w:t xml:space="preserve"> the </w:t>
      </w:r>
      <w:r w:rsidR="001A51F3">
        <w:rPr>
          <w:rFonts w:asciiTheme="minorHAnsi" w:hAnsiTheme="minorHAnsi"/>
          <w:sz w:val="22"/>
          <w:szCs w:val="22"/>
        </w:rPr>
        <w:t xml:space="preserve">potential </w:t>
      </w:r>
      <w:r w:rsidRPr="005004C7">
        <w:rPr>
          <w:rFonts w:asciiTheme="minorHAnsi" w:hAnsiTheme="minorHAnsi"/>
          <w:sz w:val="22"/>
          <w:szCs w:val="22"/>
        </w:rPr>
        <w:t>return</w:t>
      </w:r>
      <w:r w:rsidR="001A51F3">
        <w:rPr>
          <w:rFonts w:asciiTheme="minorHAnsi" w:hAnsiTheme="minorHAnsi"/>
          <w:sz w:val="22"/>
          <w:szCs w:val="22"/>
        </w:rPr>
        <w:t>s</w:t>
      </w:r>
      <w:r w:rsidRPr="005004C7">
        <w:rPr>
          <w:rFonts w:asciiTheme="minorHAnsi" w:hAnsiTheme="minorHAnsi"/>
          <w:sz w:val="22"/>
          <w:szCs w:val="22"/>
        </w:rPr>
        <w:t xml:space="preserve"> and </w:t>
      </w:r>
      <w:r w:rsidR="001A51F3">
        <w:rPr>
          <w:rFonts w:asciiTheme="minorHAnsi" w:hAnsiTheme="minorHAnsi"/>
          <w:sz w:val="22"/>
          <w:szCs w:val="22"/>
        </w:rPr>
        <w:t xml:space="preserve">the </w:t>
      </w:r>
      <w:r w:rsidRPr="005004C7">
        <w:rPr>
          <w:rFonts w:asciiTheme="minorHAnsi" w:hAnsiTheme="minorHAnsi"/>
          <w:sz w:val="22"/>
          <w:szCs w:val="22"/>
        </w:rPr>
        <w:t>risk</w:t>
      </w:r>
      <w:r w:rsidR="001A51F3">
        <w:rPr>
          <w:rFonts w:asciiTheme="minorHAnsi" w:hAnsiTheme="minorHAnsi"/>
          <w:sz w:val="22"/>
          <w:szCs w:val="22"/>
        </w:rPr>
        <w:t>s</w:t>
      </w:r>
      <w:r w:rsidRPr="005004C7">
        <w:rPr>
          <w:rFonts w:asciiTheme="minorHAnsi" w:hAnsiTheme="minorHAnsi"/>
          <w:sz w:val="22"/>
          <w:szCs w:val="22"/>
        </w:rPr>
        <w:t xml:space="preserve"> associated with farm investments, and some of the reasons for the ongoing dominance of family-owned farms in A</w:t>
      </w:r>
      <w:r>
        <w:rPr>
          <w:rFonts w:asciiTheme="minorHAnsi" w:hAnsiTheme="minorHAnsi"/>
          <w:sz w:val="22"/>
          <w:szCs w:val="22"/>
        </w:rPr>
        <w:t>ustralia’</w:t>
      </w:r>
      <w:r w:rsidRPr="005004C7">
        <w:rPr>
          <w:rFonts w:asciiTheme="minorHAnsi" w:hAnsiTheme="minorHAnsi"/>
          <w:sz w:val="22"/>
          <w:szCs w:val="22"/>
        </w:rPr>
        <w:t>s agricultural sector are discussed.</w:t>
      </w:r>
    </w:p>
    <w:p w:rsidR="00DC51CF" w:rsidRPr="007A6FA9" w:rsidRDefault="00DC51CF" w:rsidP="00DC51CF">
      <w:pPr>
        <w:rPr>
          <w:rFonts w:asciiTheme="minorHAnsi" w:hAnsiTheme="minorHAnsi"/>
          <w:sz w:val="22"/>
          <w:szCs w:val="22"/>
        </w:rPr>
      </w:pPr>
      <w:r>
        <w:rPr>
          <w:rFonts w:asciiTheme="minorHAnsi" w:hAnsiTheme="minorHAnsi"/>
          <w:sz w:val="22"/>
          <w:szCs w:val="22"/>
        </w:rPr>
        <w:t xml:space="preserve">In 2016-17 ABARES will estimate the level of funding supporting rural research and development. </w:t>
      </w:r>
      <w:r w:rsidRPr="007A6FA9">
        <w:rPr>
          <w:rFonts w:asciiTheme="minorHAnsi" w:hAnsiTheme="minorHAnsi"/>
          <w:sz w:val="22"/>
          <w:szCs w:val="22"/>
        </w:rPr>
        <w:t>Innovations developed through research and development have been a key source of productivity improvement in Australian agriculture. Rural R&amp;D funding is obtained from a variety of sources, but it is difficult to be certain how much is being spent and how it has been trending. In 2016</w:t>
      </w:r>
      <w:r w:rsidR="0027497C">
        <w:rPr>
          <w:rFonts w:asciiTheme="minorHAnsi" w:hAnsiTheme="minorHAnsi"/>
          <w:sz w:val="22"/>
          <w:szCs w:val="22"/>
        </w:rPr>
        <w:t>–</w:t>
      </w:r>
      <w:r w:rsidRPr="007A6FA9">
        <w:rPr>
          <w:rFonts w:asciiTheme="minorHAnsi" w:hAnsiTheme="minorHAnsi"/>
          <w:sz w:val="22"/>
          <w:szCs w:val="22"/>
        </w:rPr>
        <w:t xml:space="preserve">17 ABARES will estimate the total amount of funding that supports Australia’s rural R&amp;D system. This will involve designing a model of funding flows, developing a measurement methodology and collecting data from </w:t>
      </w:r>
      <w:r w:rsidRPr="007A6FA9">
        <w:rPr>
          <w:rFonts w:asciiTheme="minorHAnsi" w:hAnsiTheme="minorHAnsi"/>
          <w:sz w:val="22"/>
          <w:szCs w:val="22"/>
        </w:rPr>
        <w:lastRenderedPageBreak/>
        <w:t>key stakeholders, including the Australian Government, State and Territory Governments, the rural R&amp;D corporations, cooperative research centres, CSIRO and Australia’s 40 universities. The results will enable stakeholders to better understand trends in investment in rural R&amp;D in Australia.</w:t>
      </w:r>
    </w:p>
    <w:p w:rsidR="00DC51CF" w:rsidRPr="005004C7" w:rsidRDefault="00DC51CF" w:rsidP="00DC51CF">
      <w:pPr>
        <w:rPr>
          <w:rFonts w:asciiTheme="minorHAnsi" w:hAnsiTheme="minorHAnsi"/>
          <w:sz w:val="22"/>
          <w:szCs w:val="22"/>
        </w:rPr>
      </w:pPr>
      <w:r w:rsidRPr="007A6FA9">
        <w:rPr>
          <w:rFonts w:asciiTheme="minorHAnsi" w:hAnsiTheme="minorHAnsi"/>
          <w:sz w:val="22"/>
          <w:szCs w:val="22"/>
        </w:rPr>
        <w:t xml:space="preserve">There has been considerable discussion in the media about labour shortages in Australian agriculture. However, there is no comprehensive information on the extent of the shortage and its impact on farm performance across industries. To gain a clearer understanding, ABARES will survey vegetable, irrigated horticulture, cotton and dairy farmers to analyse current and future labour requirements. More specifically, the survey </w:t>
      </w:r>
      <w:r w:rsidR="006A1A6B">
        <w:rPr>
          <w:rFonts w:asciiTheme="minorHAnsi" w:hAnsiTheme="minorHAnsi"/>
          <w:sz w:val="22"/>
          <w:szCs w:val="22"/>
        </w:rPr>
        <w:t xml:space="preserve">will </w:t>
      </w:r>
      <w:r w:rsidRPr="007A6FA9">
        <w:rPr>
          <w:rFonts w:asciiTheme="minorHAnsi" w:hAnsiTheme="minorHAnsi"/>
          <w:sz w:val="22"/>
          <w:szCs w:val="22"/>
        </w:rPr>
        <w:t>seek to establish employment profiles of farms, labour intensity, as well as recruitment experiences and expectations. This will provide a benchmark against which stakeholders can consider changes in supply and demand of workers in the future.</w:t>
      </w:r>
      <w:r w:rsidR="005C7090">
        <w:rPr>
          <w:rFonts w:asciiTheme="minorHAnsi" w:hAnsiTheme="minorHAnsi"/>
          <w:sz w:val="22"/>
          <w:szCs w:val="22"/>
        </w:rPr>
        <w:t xml:space="preserve"> </w:t>
      </w:r>
      <w:r w:rsidR="006A1A6B">
        <w:rPr>
          <w:rFonts w:asciiTheme="minorHAnsi" w:hAnsiTheme="minorHAnsi"/>
          <w:sz w:val="22"/>
          <w:szCs w:val="22"/>
        </w:rPr>
        <w:t xml:space="preserve"> </w:t>
      </w:r>
    </w:p>
    <w:p w:rsidR="00DC51CF" w:rsidRPr="005004C7" w:rsidRDefault="00DC51CF" w:rsidP="00DC51CF">
      <w:pPr>
        <w:keepNext/>
        <w:rPr>
          <w:rFonts w:asciiTheme="minorHAnsi" w:hAnsiTheme="minorHAnsi"/>
          <w:sz w:val="22"/>
          <w:szCs w:val="22"/>
        </w:rPr>
      </w:pPr>
      <w:r w:rsidRPr="005004C7">
        <w:rPr>
          <w:rFonts w:asciiTheme="minorHAnsi" w:hAnsiTheme="minorHAnsi"/>
          <w:sz w:val="22"/>
          <w:szCs w:val="22"/>
        </w:rPr>
        <w:t>Key publications in 2016</w:t>
      </w:r>
      <w:r w:rsidR="0027497C">
        <w:rPr>
          <w:rFonts w:asciiTheme="minorHAnsi" w:hAnsiTheme="minorHAnsi"/>
          <w:sz w:val="22"/>
          <w:szCs w:val="22"/>
        </w:rPr>
        <w:t>–</w:t>
      </w:r>
      <w:r w:rsidRPr="005004C7">
        <w:rPr>
          <w:rFonts w:asciiTheme="minorHAnsi" w:hAnsiTheme="minorHAnsi"/>
          <w:sz w:val="22"/>
          <w:szCs w:val="22"/>
        </w:rPr>
        <w:t>17 will include:</w:t>
      </w:r>
    </w:p>
    <w:p w:rsidR="00DC51CF" w:rsidRPr="003B3978" w:rsidRDefault="00DC51CF" w:rsidP="00DC51CF">
      <w:pPr>
        <w:pStyle w:val="ListBullet"/>
        <w:keepNext/>
      </w:pPr>
      <w:r w:rsidRPr="003B3978">
        <w:rPr>
          <w:rStyle w:val="Emphasis"/>
        </w:rPr>
        <w:t>Australian farm survey results 2014</w:t>
      </w:r>
      <w:r w:rsidR="0027497C">
        <w:rPr>
          <w:rStyle w:val="Emphasis"/>
        </w:rPr>
        <w:t>–</w:t>
      </w:r>
      <w:r w:rsidRPr="003B3978">
        <w:rPr>
          <w:rStyle w:val="Emphasis"/>
        </w:rPr>
        <w:t>15 to 2016</w:t>
      </w:r>
      <w:r w:rsidR="0027497C">
        <w:rPr>
          <w:rStyle w:val="Emphasis"/>
        </w:rPr>
        <w:t>–</w:t>
      </w:r>
      <w:r w:rsidRPr="003B3978">
        <w:rPr>
          <w:rStyle w:val="Emphasis"/>
        </w:rPr>
        <w:t>17</w:t>
      </w:r>
      <w:r w:rsidRPr="003B3978">
        <w:t xml:space="preserve"> </w:t>
      </w:r>
    </w:p>
    <w:p w:rsidR="00DC51CF" w:rsidRPr="003B3978" w:rsidRDefault="00DC51CF" w:rsidP="00DC51CF">
      <w:pPr>
        <w:pStyle w:val="ListBullet"/>
      </w:pPr>
      <w:r w:rsidRPr="003B3978">
        <w:rPr>
          <w:rStyle w:val="Emphasis"/>
        </w:rPr>
        <w:t>Farm performance: broadacre and dairy farms 2014</w:t>
      </w:r>
      <w:r w:rsidR="0027497C">
        <w:rPr>
          <w:rStyle w:val="Emphasis"/>
        </w:rPr>
        <w:t>–</w:t>
      </w:r>
      <w:r w:rsidRPr="003B3978">
        <w:rPr>
          <w:rStyle w:val="Emphasis"/>
        </w:rPr>
        <w:t>15 to 2016</w:t>
      </w:r>
      <w:r w:rsidR="0027497C">
        <w:rPr>
          <w:rStyle w:val="Emphasis"/>
        </w:rPr>
        <w:t>–</w:t>
      </w:r>
      <w:r w:rsidRPr="003B3978">
        <w:rPr>
          <w:rStyle w:val="Emphasis"/>
        </w:rPr>
        <w:t>17</w:t>
      </w:r>
      <w:r w:rsidR="00812C12">
        <w:rPr>
          <w:rStyle w:val="Emphasis"/>
        </w:rPr>
        <w:t xml:space="preserve"> </w:t>
      </w:r>
    </w:p>
    <w:p w:rsidR="00DC51CF" w:rsidRPr="003B3978" w:rsidRDefault="00DC51CF" w:rsidP="00DC51CF">
      <w:pPr>
        <w:pStyle w:val="ListBullet"/>
      </w:pPr>
      <w:r w:rsidRPr="003B3978">
        <w:t xml:space="preserve">Industry reports on beef, slaughter lamb, grains, dairy and vegetables </w:t>
      </w:r>
    </w:p>
    <w:p w:rsidR="00DC51CF" w:rsidRPr="003B3978" w:rsidRDefault="00DC51CF" w:rsidP="00DC51CF">
      <w:pPr>
        <w:pStyle w:val="ListBullet"/>
      </w:pPr>
      <w:r w:rsidRPr="003B3978">
        <w:t>Updated regional profiles and Ag</w:t>
      </w:r>
      <w:r w:rsidR="006A4A0E">
        <w:t>S</w:t>
      </w:r>
      <w:r w:rsidRPr="003B3978">
        <w:t>urf data base (available through http://www.agriculture.gov.au/abares/)</w:t>
      </w:r>
    </w:p>
    <w:p w:rsidR="00DC51CF" w:rsidRPr="005004C7" w:rsidRDefault="00DC51CF" w:rsidP="00DC51CF">
      <w:pPr>
        <w:pStyle w:val="ListBullet"/>
        <w:rPr>
          <w:rStyle w:val="Emphasis"/>
        </w:rPr>
      </w:pPr>
      <w:r w:rsidRPr="005004C7">
        <w:rPr>
          <w:rStyle w:val="Emphasis"/>
        </w:rPr>
        <w:t xml:space="preserve">Investment in Australian farms </w:t>
      </w:r>
    </w:p>
    <w:p w:rsidR="00DC51CF" w:rsidRDefault="00DC51CF" w:rsidP="00DC51CF">
      <w:pPr>
        <w:pStyle w:val="ListBullet"/>
      </w:pPr>
      <w:r w:rsidRPr="005004C7">
        <w:t>Productivity trends across farms and agricultural industries by region</w:t>
      </w:r>
    </w:p>
    <w:p w:rsidR="00DC51CF" w:rsidRPr="005004C7" w:rsidRDefault="00DC51CF" w:rsidP="00DC51CF">
      <w:pPr>
        <w:pStyle w:val="ListBullet"/>
        <w:rPr>
          <w:i/>
        </w:rPr>
      </w:pPr>
      <w:r w:rsidRPr="005004C7">
        <w:rPr>
          <w:i/>
        </w:rPr>
        <w:t>Productivity of Australia’s vegetable industry</w:t>
      </w:r>
    </w:p>
    <w:p w:rsidR="00DC51CF" w:rsidRPr="005004C7" w:rsidRDefault="00DC51CF" w:rsidP="00DC51CF">
      <w:pPr>
        <w:pStyle w:val="ListBullet"/>
        <w:rPr>
          <w:rStyle w:val="Emphasis"/>
        </w:rPr>
      </w:pPr>
      <w:r w:rsidRPr="005004C7">
        <w:rPr>
          <w:rStyle w:val="Emphasis"/>
        </w:rPr>
        <w:t>Resource reallocation and its contribution to productivity growth in Australia’s dairy industry</w:t>
      </w:r>
    </w:p>
    <w:p w:rsidR="00DC51CF" w:rsidRPr="005004C7" w:rsidRDefault="00DC51CF" w:rsidP="00DC51CF">
      <w:pPr>
        <w:pStyle w:val="ListBullet"/>
        <w:rPr>
          <w:rStyle w:val="Emphasis"/>
        </w:rPr>
      </w:pPr>
      <w:r w:rsidRPr="005004C7">
        <w:rPr>
          <w:rStyle w:val="Emphasis"/>
        </w:rPr>
        <w:t>Labour on Australian farms</w:t>
      </w:r>
    </w:p>
    <w:p w:rsidR="00DC51CF" w:rsidRDefault="00DC51CF" w:rsidP="00DC51CF">
      <w:pPr>
        <w:pStyle w:val="ListBullet"/>
        <w:rPr>
          <w:rStyle w:val="Emphasis"/>
        </w:rPr>
      </w:pPr>
      <w:r w:rsidRPr="005004C7">
        <w:rPr>
          <w:rStyle w:val="Emphasis"/>
        </w:rPr>
        <w:t>Measuring the funding of Australia’s rural R&amp;D and extension system</w:t>
      </w:r>
    </w:p>
    <w:p w:rsidR="00DC51CF" w:rsidRPr="00146F52" w:rsidRDefault="00DC51CF" w:rsidP="00DC51CF">
      <w:pPr>
        <w:pStyle w:val="ListBullet"/>
        <w:rPr>
          <w:rStyle w:val="Emphasis"/>
          <w:i w:val="0"/>
        </w:rPr>
      </w:pPr>
      <w:r>
        <w:rPr>
          <w:rStyle w:val="Emphasis"/>
          <w:i w:val="0"/>
        </w:rPr>
        <w:t>R</w:t>
      </w:r>
      <w:r w:rsidRPr="00146F52">
        <w:rPr>
          <w:rStyle w:val="Emphasis"/>
          <w:i w:val="0"/>
        </w:rPr>
        <w:t>elevant publications listed under Forestry and Fisheries sections below</w:t>
      </w:r>
      <w:r w:rsidR="00A86FF7">
        <w:rPr>
          <w:rStyle w:val="Emphasis"/>
          <w:i w:val="0"/>
        </w:rPr>
        <w:t>.</w:t>
      </w:r>
    </w:p>
    <w:p w:rsidR="002E1695" w:rsidRDefault="002E1695" w:rsidP="002E1695">
      <w:pPr>
        <w:pStyle w:val="Heading4"/>
        <w:rPr>
          <w:rFonts w:eastAsia="Times New Roman"/>
        </w:rPr>
      </w:pPr>
      <w:r>
        <w:rPr>
          <w:rFonts w:eastAsia="Times New Roman"/>
        </w:rPr>
        <w:t xml:space="preserve">Water </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 xml:space="preserve">ABARES assists the water division of the </w:t>
      </w:r>
      <w:r w:rsidR="005C7090">
        <w:rPr>
          <w:rFonts w:asciiTheme="minorHAnsi" w:hAnsiTheme="minorHAnsi"/>
          <w:sz w:val="22"/>
          <w:szCs w:val="22"/>
        </w:rPr>
        <w:t>department</w:t>
      </w:r>
      <w:r w:rsidRPr="002E1695">
        <w:rPr>
          <w:rFonts w:asciiTheme="minorHAnsi" w:hAnsiTheme="minorHAnsi"/>
          <w:sz w:val="22"/>
          <w:szCs w:val="22"/>
        </w:rPr>
        <w:t xml:space="preserve"> by providing data, analysis and advice on water market and water policy issues</w:t>
      </w:r>
      <w:r w:rsidR="001A51F3">
        <w:rPr>
          <w:rFonts w:asciiTheme="minorHAnsi" w:hAnsiTheme="minorHAnsi"/>
          <w:sz w:val="22"/>
          <w:szCs w:val="22"/>
        </w:rPr>
        <w:t>,</w:t>
      </w:r>
      <w:r w:rsidRPr="002E1695">
        <w:rPr>
          <w:rFonts w:asciiTheme="minorHAnsi" w:hAnsiTheme="minorHAnsi"/>
          <w:sz w:val="22"/>
          <w:szCs w:val="22"/>
        </w:rPr>
        <w:t xml:space="preserve"> particularly as they relate </w:t>
      </w:r>
      <w:r w:rsidR="001A51F3">
        <w:rPr>
          <w:rFonts w:asciiTheme="minorHAnsi" w:hAnsiTheme="minorHAnsi"/>
          <w:sz w:val="22"/>
          <w:szCs w:val="22"/>
        </w:rPr>
        <w:t xml:space="preserve">to </w:t>
      </w:r>
      <w:r w:rsidRPr="002E1695">
        <w:rPr>
          <w:rFonts w:asciiTheme="minorHAnsi" w:hAnsiTheme="minorHAnsi"/>
          <w:sz w:val="22"/>
          <w:szCs w:val="22"/>
        </w:rPr>
        <w:t xml:space="preserve">the irrigated agriculture sector. ABARES also provides ongoing advice and analysis on water availability and water market conditions. </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ABARES has responsibility for the annual Australian Water Markets Report. The report presents a comprehensive set of national statistics on water markets, including data on water access entitlement and water allocation trade, market performance and environmental water. This annual series began in 2007</w:t>
      </w:r>
      <w:r w:rsidR="0027497C">
        <w:rPr>
          <w:rFonts w:asciiTheme="minorHAnsi" w:hAnsiTheme="minorHAnsi"/>
          <w:sz w:val="22"/>
          <w:szCs w:val="22"/>
        </w:rPr>
        <w:t>–</w:t>
      </w:r>
      <w:r w:rsidRPr="002E1695">
        <w:rPr>
          <w:rFonts w:asciiTheme="minorHAnsi" w:hAnsiTheme="minorHAnsi"/>
          <w:sz w:val="22"/>
          <w:szCs w:val="22"/>
        </w:rPr>
        <w:t>08 under the former National Water Commission</w:t>
      </w:r>
      <w:r w:rsidR="001A51F3">
        <w:rPr>
          <w:rFonts w:asciiTheme="minorHAnsi" w:hAnsiTheme="minorHAnsi"/>
          <w:sz w:val="22"/>
          <w:szCs w:val="22"/>
        </w:rPr>
        <w:t>.</w:t>
      </w:r>
      <w:r w:rsidRPr="002E1695">
        <w:rPr>
          <w:rFonts w:asciiTheme="minorHAnsi" w:hAnsiTheme="minorHAnsi"/>
          <w:sz w:val="22"/>
          <w:szCs w:val="22"/>
        </w:rPr>
        <w:t xml:space="preserve"> ABARES took over responsibility for the report </w:t>
      </w:r>
      <w:r w:rsidR="001A51F3">
        <w:rPr>
          <w:rFonts w:asciiTheme="minorHAnsi" w:hAnsiTheme="minorHAnsi"/>
          <w:sz w:val="22"/>
          <w:szCs w:val="22"/>
        </w:rPr>
        <w:t>from the</w:t>
      </w:r>
      <w:r w:rsidRPr="002E1695">
        <w:rPr>
          <w:rFonts w:asciiTheme="minorHAnsi" w:hAnsiTheme="minorHAnsi"/>
          <w:sz w:val="22"/>
          <w:szCs w:val="22"/>
        </w:rPr>
        <w:t xml:space="preserve"> 2013</w:t>
      </w:r>
      <w:r w:rsidR="0027497C">
        <w:rPr>
          <w:rFonts w:asciiTheme="minorHAnsi" w:hAnsiTheme="minorHAnsi"/>
          <w:sz w:val="22"/>
          <w:szCs w:val="22"/>
        </w:rPr>
        <w:t>–</w:t>
      </w:r>
      <w:r w:rsidRPr="002E1695">
        <w:rPr>
          <w:rFonts w:asciiTheme="minorHAnsi" w:hAnsiTheme="minorHAnsi"/>
          <w:sz w:val="22"/>
          <w:szCs w:val="22"/>
        </w:rPr>
        <w:t>14 edition.</w:t>
      </w:r>
      <w:r w:rsidR="005C7090">
        <w:rPr>
          <w:rFonts w:asciiTheme="minorHAnsi" w:hAnsiTheme="minorHAnsi"/>
          <w:sz w:val="22"/>
          <w:szCs w:val="22"/>
        </w:rPr>
        <w:t xml:space="preserve"> </w:t>
      </w:r>
      <w:r w:rsidRPr="002E1695">
        <w:rPr>
          <w:rFonts w:asciiTheme="minorHAnsi" w:hAnsiTheme="minorHAnsi"/>
          <w:sz w:val="22"/>
          <w:szCs w:val="22"/>
        </w:rPr>
        <w:t>ABARES water work is also underpinned by ABARES survey of irrigation farms with</w:t>
      </w:r>
      <w:r w:rsidR="001A51F3">
        <w:rPr>
          <w:rFonts w:asciiTheme="minorHAnsi" w:hAnsiTheme="minorHAnsi"/>
          <w:sz w:val="22"/>
          <w:szCs w:val="22"/>
        </w:rPr>
        <w:t>in the Murray-Darling Basin. The</w:t>
      </w:r>
      <w:r w:rsidRPr="002E1695">
        <w:rPr>
          <w:rFonts w:asciiTheme="minorHAnsi" w:hAnsiTheme="minorHAnsi"/>
          <w:sz w:val="22"/>
          <w:szCs w:val="22"/>
        </w:rPr>
        <w:t>s</w:t>
      </w:r>
      <w:r w:rsidR="001A51F3">
        <w:rPr>
          <w:rFonts w:asciiTheme="minorHAnsi" w:hAnsiTheme="minorHAnsi"/>
          <w:sz w:val="22"/>
          <w:szCs w:val="22"/>
        </w:rPr>
        <w:t>e</w:t>
      </w:r>
      <w:r w:rsidRPr="002E1695">
        <w:rPr>
          <w:rFonts w:asciiTheme="minorHAnsi" w:hAnsiTheme="minorHAnsi"/>
          <w:sz w:val="22"/>
          <w:szCs w:val="22"/>
        </w:rPr>
        <w:t xml:space="preserve"> data provide information on the financial and economic perform</w:t>
      </w:r>
      <w:r w:rsidR="001A51F3">
        <w:rPr>
          <w:rFonts w:asciiTheme="minorHAnsi" w:hAnsiTheme="minorHAnsi"/>
          <w:sz w:val="22"/>
          <w:szCs w:val="22"/>
        </w:rPr>
        <w:t>ance of irrigators in the MDB.</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Key research activity in 2016</w:t>
      </w:r>
      <w:r w:rsidR="0027497C">
        <w:rPr>
          <w:rFonts w:asciiTheme="minorHAnsi" w:hAnsiTheme="minorHAnsi"/>
          <w:sz w:val="22"/>
          <w:szCs w:val="22"/>
        </w:rPr>
        <w:t>–</w:t>
      </w:r>
      <w:r w:rsidRPr="002E1695">
        <w:rPr>
          <w:rFonts w:asciiTheme="minorHAnsi" w:hAnsiTheme="minorHAnsi"/>
          <w:sz w:val="22"/>
          <w:szCs w:val="22"/>
        </w:rPr>
        <w:t>17 will include preparation of the Australian Water Markets Report for 2015</w:t>
      </w:r>
      <w:r w:rsidR="0027497C">
        <w:rPr>
          <w:rFonts w:asciiTheme="minorHAnsi" w:hAnsiTheme="minorHAnsi"/>
          <w:sz w:val="22"/>
          <w:szCs w:val="22"/>
        </w:rPr>
        <w:t>–</w:t>
      </w:r>
      <w:r w:rsidRPr="002E1695">
        <w:rPr>
          <w:rFonts w:asciiTheme="minorHAnsi" w:hAnsiTheme="minorHAnsi"/>
          <w:sz w:val="22"/>
          <w:szCs w:val="22"/>
        </w:rPr>
        <w:t xml:space="preserve">16 (the third </w:t>
      </w:r>
      <w:r w:rsidR="001A51F3">
        <w:rPr>
          <w:rFonts w:asciiTheme="minorHAnsi" w:hAnsiTheme="minorHAnsi"/>
          <w:sz w:val="22"/>
          <w:szCs w:val="22"/>
        </w:rPr>
        <w:t>e</w:t>
      </w:r>
      <w:r w:rsidRPr="002E1695">
        <w:rPr>
          <w:rFonts w:asciiTheme="minorHAnsi" w:hAnsiTheme="minorHAnsi"/>
          <w:sz w:val="22"/>
          <w:szCs w:val="22"/>
        </w:rPr>
        <w:t>dition of the report prepared by ABARES) and analysis of factors affecting water markets in the southern Murray-Darling basin.</w:t>
      </w:r>
    </w:p>
    <w:p w:rsidR="00DC51CF" w:rsidRPr="002E1695" w:rsidRDefault="00DC51CF" w:rsidP="00DC51CF">
      <w:pPr>
        <w:rPr>
          <w:rFonts w:asciiTheme="minorHAnsi" w:hAnsiTheme="minorHAnsi"/>
          <w:sz w:val="22"/>
          <w:szCs w:val="22"/>
        </w:rPr>
      </w:pPr>
      <w:r w:rsidRPr="002E1695">
        <w:rPr>
          <w:rFonts w:asciiTheme="minorHAnsi" w:hAnsiTheme="minorHAnsi"/>
          <w:sz w:val="22"/>
          <w:szCs w:val="22"/>
        </w:rPr>
        <w:t>Key publications in 2016</w:t>
      </w:r>
      <w:r w:rsidR="0027497C">
        <w:rPr>
          <w:rFonts w:asciiTheme="minorHAnsi" w:hAnsiTheme="minorHAnsi"/>
          <w:sz w:val="22"/>
          <w:szCs w:val="22"/>
        </w:rPr>
        <w:t>–</w:t>
      </w:r>
      <w:r w:rsidRPr="002E1695">
        <w:rPr>
          <w:rFonts w:asciiTheme="minorHAnsi" w:hAnsiTheme="minorHAnsi"/>
          <w:sz w:val="22"/>
          <w:szCs w:val="22"/>
        </w:rPr>
        <w:t>17 will include:</w:t>
      </w:r>
    </w:p>
    <w:p w:rsidR="00DC51CF" w:rsidRDefault="00DC51CF" w:rsidP="00DC51CF">
      <w:pPr>
        <w:pStyle w:val="ListBullet"/>
        <w:rPr>
          <w:rStyle w:val="Emphasis"/>
        </w:rPr>
      </w:pPr>
      <w:r w:rsidRPr="002E1695">
        <w:rPr>
          <w:rStyle w:val="Emphasis"/>
        </w:rPr>
        <w:t>Aust</w:t>
      </w:r>
      <w:r>
        <w:rPr>
          <w:rStyle w:val="Emphasis"/>
        </w:rPr>
        <w:t>ralian Water Markets Report 2014</w:t>
      </w:r>
      <w:r w:rsidR="0027497C">
        <w:rPr>
          <w:rStyle w:val="Emphasis"/>
        </w:rPr>
        <w:t>–</w:t>
      </w:r>
      <w:r>
        <w:rPr>
          <w:rStyle w:val="Emphasis"/>
        </w:rPr>
        <w:t>15</w:t>
      </w:r>
      <w:r w:rsidRPr="002E1695">
        <w:rPr>
          <w:rStyle w:val="Emphasis"/>
        </w:rPr>
        <w:t xml:space="preserve"> </w:t>
      </w:r>
    </w:p>
    <w:p w:rsidR="00DC51CF" w:rsidRPr="002E1695" w:rsidRDefault="00DC51CF" w:rsidP="00DC51CF">
      <w:pPr>
        <w:pStyle w:val="ListBullet"/>
        <w:rPr>
          <w:rStyle w:val="Emphasis"/>
        </w:rPr>
      </w:pPr>
      <w:r w:rsidRPr="002E1695">
        <w:rPr>
          <w:rStyle w:val="Emphasis"/>
        </w:rPr>
        <w:t xml:space="preserve">Factors affecting water markets in the </w:t>
      </w:r>
      <w:r>
        <w:rPr>
          <w:rStyle w:val="Emphasis"/>
        </w:rPr>
        <w:t xml:space="preserve">southern </w:t>
      </w:r>
      <w:r w:rsidRPr="002E1695">
        <w:rPr>
          <w:rStyle w:val="Emphasis"/>
        </w:rPr>
        <w:t>M</w:t>
      </w:r>
      <w:r>
        <w:rPr>
          <w:rStyle w:val="Emphasis"/>
        </w:rPr>
        <w:t>urray-</w:t>
      </w:r>
      <w:r w:rsidRPr="002E1695">
        <w:rPr>
          <w:rStyle w:val="Emphasis"/>
        </w:rPr>
        <w:t>D</w:t>
      </w:r>
      <w:r>
        <w:rPr>
          <w:rStyle w:val="Emphasis"/>
        </w:rPr>
        <w:t xml:space="preserve">arling </w:t>
      </w:r>
      <w:r w:rsidRPr="002E1695">
        <w:rPr>
          <w:rStyle w:val="Emphasis"/>
        </w:rPr>
        <w:t>B</w:t>
      </w:r>
      <w:r>
        <w:rPr>
          <w:rStyle w:val="Emphasis"/>
        </w:rPr>
        <w:t>asin</w:t>
      </w:r>
      <w:r w:rsidRPr="002E1695">
        <w:rPr>
          <w:rStyle w:val="Emphasis"/>
        </w:rPr>
        <w:t xml:space="preserve"> </w:t>
      </w:r>
    </w:p>
    <w:p w:rsidR="00DC51CF" w:rsidRPr="002E1695" w:rsidRDefault="00DC51CF" w:rsidP="00DC51CF">
      <w:pPr>
        <w:pStyle w:val="ListBullet"/>
        <w:rPr>
          <w:rStyle w:val="Emphasis"/>
        </w:rPr>
      </w:pPr>
      <w:r w:rsidRPr="002E1695">
        <w:rPr>
          <w:rStyle w:val="Emphasis"/>
        </w:rPr>
        <w:t>Australian Water Markets Report 2015</w:t>
      </w:r>
      <w:r w:rsidR="0027497C">
        <w:rPr>
          <w:rStyle w:val="Emphasis"/>
        </w:rPr>
        <w:t>–</w:t>
      </w:r>
      <w:r w:rsidRPr="002E1695">
        <w:rPr>
          <w:rStyle w:val="Emphasis"/>
        </w:rPr>
        <w:t>16</w:t>
      </w:r>
      <w:r w:rsidR="00A86FF7">
        <w:rPr>
          <w:rStyle w:val="Emphasis"/>
        </w:rPr>
        <w:t>.</w:t>
      </w:r>
    </w:p>
    <w:p w:rsidR="002E1695" w:rsidRPr="002E1695" w:rsidRDefault="002E1695" w:rsidP="006A1A6B">
      <w:pPr>
        <w:pStyle w:val="Heading4"/>
        <w:keepNext/>
        <w:rPr>
          <w:rFonts w:eastAsia="Times New Roman"/>
        </w:rPr>
      </w:pPr>
      <w:r w:rsidRPr="002E1695">
        <w:rPr>
          <w:rFonts w:eastAsia="Times New Roman"/>
        </w:rPr>
        <w:lastRenderedPageBreak/>
        <w:t>Climate</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ABARES climate related research is focused on understanding the effect of climate variability and related government policies on the agricultural sector. In 2016</w:t>
      </w:r>
      <w:r w:rsidR="0027497C">
        <w:rPr>
          <w:rFonts w:asciiTheme="minorHAnsi" w:hAnsiTheme="minorHAnsi"/>
          <w:sz w:val="22"/>
          <w:szCs w:val="22"/>
        </w:rPr>
        <w:t>–</w:t>
      </w:r>
      <w:r w:rsidRPr="002E1695">
        <w:rPr>
          <w:rFonts w:asciiTheme="minorHAnsi" w:hAnsiTheme="minorHAnsi"/>
          <w:sz w:val="22"/>
          <w:szCs w:val="22"/>
        </w:rPr>
        <w:t xml:space="preserve">17 ABARES will continue to support the </w:t>
      </w:r>
      <w:r w:rsidR="005C7090">
        <w:rPr>
          <w:rFonts w:asciiTheme="minorHAnsi" w:hAnsiTheme="minorHAnsi"/>
          <w:sz w:val="22"/>
          <w:szCs w:val="22"/>
        </w:rPr>
        <w:t>department</w:t>
      </w:r>
      <w:r w:rsidRPr="002E1695">
        <w:rPr>
          <w:rFonts w:asciiTheme="minorHAnsi" w:hAnsiTheme="minorHAnsi"/>
          <w:sz w:val="22"/>
          <w:szCs w:val="22"/>
        </w:rPr>
        <w:t>’s ongoing drought response activities through the provision of timely advice and analysis. ABARES will also provide portfolio relevant analysis and advice on Australia’s projected future climate to gain a better understanding of the</w:t>
      </w:r>
      <w:r w:rsidR="006D1721">
        <w:rPr>
          <w:rFonts w:asciiTheme="minorHAnsi" w:hAnsiTheme="minorHAnsi"/>
          <w:sz w:val="22"/>
          <w:szCs w:val="22"/>
        </w:rPr>
        <w:t xml:space="preserve"> possible</w:t>
      </w:r>
      <w:r w:rsidRPr="002E1695">
        <w:rPr>
          <w:rFonts w:asciiTheme="minorHAnsi" w:hAnsiTheme="minorHAnsi"/>
          <w:sz w:val="22"/>
          <w:szCs w:val="22"/>
        </w:rPr>
        <w:t xml:space="preserve"> longer term effects of climate change on agriculture and to provide an evidence base with which to consider future policy responses.</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 xml:space="preserve">A key focus </w:t>
      </w:r>
      <w:r w:rsidR="001A51F3">
        <w:rPr>
          <w:rFonts w:asciiTheme="minorHAnsi" w:hAnsiTheme="minorHAnsi"/>
          <w:sz w:val="22"/>
          <w:szCs w:val="22"/>
        </w:rPr>
        <w:t>in</w:t>
      </w:r>
      <w:r w:rsidRPr="002E1695">
        <w:rPr>
          <w:rFonts w:asciiTheme="minorHAnsi" w:hAnsiTheme="minorHAnsi"/>
          <w:sz w:val="22"/>
          <w:szCs w:val="22"/>
        </w:rPr>
        <w:t xml:space="preserve"> 2016</w:t>
      </w:r>
      <w:r w:rsidR="0027497C">
        <w:rPr>
          <w:rFonts w:asciiTheme="minorHAnsi" w:hAnsiTheme="minorHAnsi"/>
          <w:sz w:val="22"/>
          <w:szCs w:val="22"/>
        </w:rPr>
        <w:t>–</w:t>
      </w:r>
      <w:r w:rsidRPr="002E1695">
        <w:rPr>
          <w:rFonts w:asciiTheme="minorHAnsi" w:hAnsiTheme="minorHAnsi"/>
          <w:sz w:val="22"/>
          <w:szCs w:val="22"/>
        </w:rPr>
        <w:t xml:space="preserve">17 is to investigate the sensitivity of broadacre farm productivity and income to climate variability and how this has varied across industries, regions and time. The results </w:t>
      </w:r>
      <w:r w:rsidR="006D1721">
        <w:rPr>
          <w:rFonts w:asciiTheme="minorHAnsi" w:hAnsiTheme="minorHAnsi"/>
          <w:sz w:val="22"/>
          <w:szCs w:val="22"/>
        </w:rPr>
        <w:t>may inform</w:t>
      </w:r>
      <w:r w:rsidRPr="002E1695">
        <w:rPr>
          <w:rFonts w:asciiTheme="minorHAnsi" w:hAnsiTheme="minorHAnsi"/>
          <w:sz w:val="22"/>
          <w:szCs w:val="22"/>
        </w:rPr>
        <w:t xml:space="preserve"> climate change adaptation and drought policy. In addition, various ABARES and Australian Bureau of Statistics (ABS) farm data sets will be combined with climate data to better understand the complex relationsh</w:t>
      </w:r>
      <w:r w:rsidR="006A1A6B">
        <w:rPr>
          <w:rFonts w:asciiTheme="minorHAnsi" w:hAnsiTheme="minorHAnsi"/>
          <w:sz w:val="22"/>
          <w:szCs w:val="22"/>
        </w:rPr>
        <w:t>ips between farm outcomes (including</w:t>
      </w:r>
      <w:r w:rsidRPr="002E1695">
        <w:rPr>
          <w:rFonts w:asciiTheme="minorHAnsi" w:hAnsiTheme="minorHAnsi"/>
          <w:sz w:val="22"/>
          <w:szCs w:val="22"/>
        </w:rPr>
        <w:t xml:space="preserve"> productivity and profitability) and climate variability. This work is likely to involve close collaboration with the ABS and others.</w:t>
      </w:r>
      <w:r w:rsidR="005C7090">
        <w:rPr>
          <w:rFonts w:asciiTheme="minorHAnsi" w:hAnsiTheme="minorHAnsi"/>
          <w:sz w:val="22"/>
          <w:szCs w:val="22"/>
        </w:rPr>
        <w:t xml:space="preserve"> </w:t>
      </w:r>
    </w:p>
    <w:p w:rsidR="002E1695" w:rsidRPr="002E1695" w:rsidRDefault="002E1695" w:rsidP="002E1695">
      <w:pPr>
        <w:rPr>
          <w:rFonts w:asciiTheme="minorHAnsi" w:hAnsiTheme="minorHAnsi"/>
          <w:sz w:val="22"/>
          <w:szCs w:val="22"/>
        </w:rPr>
      </w:pPr>
      <w:r w:rsidRPr="002E1695">
        <w:rPr>
          <w:rFonts w:asciiTheme="minorHAnsi" w:hAnsiTheme="minorHAnsi"/>
          <w:sz w:val="22"/>
          <w:szCs w:val="22"/>
        </w:rPr>
        <w:t>Key publications in 2016</w:t>
      </w:r>
      <w:r w:rsidR="0027497C">
        <w:rPr>
          <w:rFonts w:asciiTheme="minorHAnsi" w:hAnsiTheme="minorHAnsi"/>
          <w:sz w:val="22"/>
          <w:szCs w:val="22"/>
        </w:rPr>
        <w:t>–</w:t>
      </w:r>
      <w:r w:rsidRPr="002E1695">
        <w:rPr>
          <w:rFonts w:asciiTheme="minorHAnsi" w:hAnsiTheme="minorHAnsi"/>
          <w:sz w:val="22"/>
          <w:szCs w:val="22"/>
        </w:rPr>
        <w:t>17 will include:</w:t>
      </w:r>
    </w:p>
    <w:p w:rsidR="002E1695" w:rsidRPr="002E1695" w:rsidRDefault="002E1695" w:rsidP="002E1695">
      <w:pPr>
        <w:pStyle w:val="ListBullet"/>
        <w:rPr>
          <w:rStyle w:val="Emphasis"/>
        </w:rPr>
      </w:pPr>
      <w:r w:rsidRPr="002E1695">
        <w:rPr>
          <w:rStyle w:val="Emphasis"/>
        </w:rPr>
        <w:t xml:space="preserve">Climate variability and broadacre farm incomes </w:t>
      </w:r>
    </w:p>
    <w:p w:rsidR="002E1695" w:rsidRPr="002E1695" w:rsidRDefault="006A1A6B" w:rsidP="002E1695">
      <w:pPr>
        <w:pStyle w:val="ListBullet"/>
        <w:rPr>
          <w:rStyle w:val="Emphasis"/>
        </w:rPr>
      </w:pPr>
      <w:r>
        <w:rPr>
          <w:rStyle w:val="Emphasis"/>
          <w:i w:val="0"/>
          <w:iCs w:val="0"/>
        </w:rPr>
        <w:t>A model of b</w:t>
      </w:r>
      <w:r w:rsidR="002E1695" w:rsidRPr="002E1695">
        <w:rPr>
          <w:rStyle w:val="Emphasis"/>
          <w:i w:val="0"/>
          <w:iCs w:val="0"/>
        </w:rPr>
        <w:t>roadacre farm crop yield</w:t>
      </w:r>
      <w:r w:rsidR="001C06B4">
        <w:rPr>
          <w:rStyle w:val="Emphasis"/>
          <w:i w:val="0"/>
          <w:iCs w:val="0"/>
        </w:rPr>
        <w:t>.</w:t>
      </w:r>
    </w:p>
    <w:p w:rsidR="001D182F" w:rsidRPr="003B7047" w:rsidRDefault="001D182F" w:rsidP="00494D22">
      <w:pPr>
        <w:pStyle w:val="Heading3"/>
        <w:rPr>
          <w:color w:val="auto"/>
        </w:rPr>
      </w:pPr>
      <w:bookmarkStart w:id="19" w:name="_Toc465156768"/>
      <w:r w:rsidRPr="003B7047">
        <w:rPr>
          <w:color w:val="auto"/>
        </w:rPr>
        <w:t>Expanding agricultural, fisheries and forestry exports</w:t>
      </w:r>
      <w:bookmarkEnd w:id="18"/>
      <w:bookmarkEnd w:id="19"/>
    </w:p>
    <w:p w:rsidR="001D182F" w:rsidRPr="00641B57" w:rsidRDefault="001D182F" w:rsidP="00494D22">
      <w:pPr>
        <w:pStyle w:val="Heading4"/>
      </w:pPr>
      <w:r w:rsidRPr="00641B57">
        <w:t>Trade and market access</w:t>
      </w:r>
    </w:p>
    <w:p w:rsidR="00641B57" w:rsidRDefault="001D182F" w:rsidP="00641B57">
      <w:pPr>
        <w:rPr>
          <w:rFonts w:asciiTheme="minorHAnsi" w:hAnsiTheme="minorHAnsi"/>
          <w:sz w:val="22"/>
          <w:szCs w:val="22"/>
        </w:rPr>
      </w:pPr>
      <w:r w:rsidRPr="00641B57">
        <w:rPr>
          <w:rFonts w:asciiTheme="minorHAnsi" w:hAnsiTheme="minorHAnsi"/>
          <w:sz w:val="22"/>
          <w:szCs w:val="22"/>
        </w:rPr>
        <w:t xml:space="preserve">ABARES provides analytical research and modelling to support the </w:t>
      </w:r>
      <w:r w:rsidR="00641B57" w:rsidRPr="00641B57">
        <w:rPr>
          <w:rFonts w:asciiTheme="minorHAnsi" w:hAnsiTheme="minorHAnsi"/>
          <w:sz w:val="22"/>
          <w:szCs w:val="22"/>
        </w:rPr>
        <w:t xml:space="preserve">Department of Agriculture and Water Resources </w:t>
      </w:r>
      <w:r w:rsidRPr="00641B57">
        <w:rPr>
          <w:rFonts w:asciiTheme="minorHAnsi" w:hAnsiTheme="minorHAnsi"/>
          <w:sz w:val="22"/>
          <w:szCs w:val="22"/>
        </w:rPr>
        <w:t xml:space="preserve">on key global policy issues of importance to Australian agriculture and Australia’s position in bilateral and multilateral trade agreement negotiations. Timely analyses are produced in the publication </w:t>
      </w:r>
      <w:r w:rsidRPr="00641B57">
        <w:rPr>
          <w:rFonts w:asciiTheme="minorHAnsi" w:hAnsiTheme="minorHAnsi"/>
          <w:i/>
          <w:sz w:val="22"/>
          <w:szCs w:val="22"/>
        </w:rPr>
        <w:t>Agricultural commodities.</w:t>
      </w:r>
      <w:r w:rsidRPr="00641B57">
        <w:rPr>
          <w:rFonts w:asciiTheme="minorHAnsi" w:hAnsiTheme="minorHAnsi"/>
          <w:sz w:val="22"/>
          <w:szCs w:val="22"/>
        </w:rPr>
        <w:t xml:space="preserve"> Previous examples include analysis </w:t>
      </w:r>
      <w:r w:rsidR="00641B57" w:rsidRPr="00641B57">
        <w:rPr>
          <w:rFonts w:asciiTheme="minorHAnsi" w:hAnsiTheme="minorHAnsi"/>
          <w:sz w:val="22"/>
          <w:szCs w:val="22"/>
        </w:rPr>
        <w:t xml:space="preserve">of the key agricultural outcomes of the </w:t>
      </w:r>
      <w:r w:rsidR="00641B57">
        <w:rPr>
          <w:rFonts w:asciiTheme="minorHAnsi" w:hAnsiTheme="minorHAnsi"/>
          <w:sz w:val="22"/>
          <w:szCs w:val="22"/>
        </w:rPr>
        <w:t>Trans-Pacific Partnership Agreement and of Argentina’s agricultural export policies</w:t>
      </w:r>
      <w:r w:rsidR="00641B57" w:rsidRPr="002F59D6">
        <w:rPr>
          <w:rFonts w:asciiTheme="minorHAnsi" w:hAnsiTheme="minorHAnsi"/>
          <w:sz w:val="22"/>
          <w:szCs w:val="22"/>
        </w:rPr>
        <w:t xml:space="preserve">. </w:t>
      </w:r>
      <w:r w:rsidR="00641B57">
        <w:rPr>
          <w:rFonts w:asciiTheme="minorHAnsi" w:hAnsiTheme="minorHAnsi"/>
          <w:sz w:val="22"/>
          <w:szCs w:val="22"/>
        </w:rPr>
        <w:t>In 2016</w:t>
      </w:r>
      <w:r w:rsidR="0027497C">
        <w:rPr>
          <w:rFonts w:asciiTheme="minorHAnsi" w:hAnsiTheme="minorHAnsi"/>
          <w:sz w:val="22"/>
          <w:szCs w:val="22"/>
        </w:rPr>
        <w:t>–</w:t>
      </w:r>
      <w:r w:rsidR="00641B57">
        <w:rPr>
          <w:rFonts w:asciiTheme="minorHAnsi" w:hAnsiTheme="minorHAnsi"/>
          <w:sz w:val="22"/>
          <w:szCs w:val="22"/>
        </w:rPr>
        <w:t>17, ABARES will continue to support the department’s preparations for free trade negotiations with the European Union.</w:t>
      </w:r>
    </w:p>
    <w:p w:rsidR="00641B57" w:rsidRDefault="00641B57" w:rsidP="00641B57">
      <w:pPr>
        <w:rPr>
          <w:rFonts w:asciiTheme="minorHAnsi" w:hAnsiTheme="minorHAnsi"/>
          <w:sz w:val="22"/>
          <w:szCs w:val="22"/>
        </w:rPr>
      </w:pPr>
      <w:r>
        <w:rPr>
          <w:rFonts w:asciiTheme="minorHAnsi" w:hAnsiTheme="minorHAnsi"/>
          <w:sz w:val="22"/>
          <w:szCs w:val="22"/>
        </w:rPr>
        <w:t xml:space="preserve">ABARES will continue </w:t>
      </w:r>
      <w:r w:rsidRPr="002F59D6">
        <w:rPr>
          <w:rFonts w:asciiTheme="minorHAnsi" w:hAnsiTheme="minorHAnsi"/>
          <w:sz w:val="22"/>
          <w:szCs w:val="22"/>
        </w:rPr>
        <w:t>to examine potential developments in the export capacity of</w:t>
      </w:r>
      <w:r>
        <w:rPr>
          <w:rFonts w:asciiTheme="minorHAnsi" w:hAnsiTheme="minorHAnsi"/>
          <w:sz w:val="22"/>
          <w:szCs w:val="22"/>
        </w:rPr>
        <w:t xml:space="preserve"> South American countries, an emerging competitor with Australia. It will also examine the potential impacts of changes to domestic agricultural policies in China, Australia’s principal export market. </w:t>
      </w:r>
      <w:r w:rsidRPr="002F59D6">
        <w:rPr>
          <w:rFonts w:asciiTheme="minorHAnsi" w:hAnsiTheme="minorHAnsi"/>
          <w:sz w:val="22"/>
          <w:szCs w:val="22"/>
        </w:rPr>
        <w:t xml:space="preserve">This research will contribute to understanding the opportunities </w:t>
      </w:r>
      <w:r>
        <w:rPr>
          <w:rFonts w:asciiTheme="minorHAnsi" w:hAnsiTheme="minorHAnsi"/>
          <w:sz w:val="22"/>
          <w:szCs w:val="22"/>
        </w:rPr>
        <w:t xml:space="preserve">and </w:t>
      </w:r>
      <w:r w:rsidRPr="002F59D6">
        <w:rPr>
          <w:rFonts w:asciiTheme="minorHAnsi" w:hAnsiTheme="minorHAnsi"/>
          <w:sz w:val="22"/>
          <w:szCs w:val="22"/>
        </w:rPr>
        <w:t>implications for Australian agriculture, e</w:t>
      </w:r>
      <w:r>
        <w:rPr>
          <w:rFonts w:asciiTheme="minorHAnsi" w:hAnsiTheme="minorHAnsi"/>
          <w:sz w:val="22"/>
          <w:szCs w:val="22"/>
        </w:rPr>
        <w:t>specially over the longer term.</w:t>
      </w:r>
    </w:p>
    <w:p w:rsidR="001D182F" w:rsidRPr="00641B57" w:rsidRDefault="00641B57" w:rsidP="001D182F">
      <w:pPr>
        <w:rPr>
          <w:rFonts w:asciiTheme="minorHAnsi" w:hAnsiTheme="minorHAnsi"/>
          <w:sz w:val="22"/>
          <w:szCs w:val="22"/>
        </w:rPr>
      </w:pPr>
      <w:r w:rsidRPr="00641B57">
        <w:rPr>
          <w:rFonts w:asciiTheme="minorHAnsi" w:hAnsiTheme="minorHAnsi"/>
          <w:sz w:val="22"/>
          <w:szCs w:val="22"/>
        </w:rPr>
        <w:t>Key publications in 2016</w:t>
      </w:r>
      <w:r w:rsidR="0027497C">
        <w:rPr>
          <w:rFonts w:asciiTheme="minorHAnsi" w:hAnsiTheme="minorHAnsi"/>
          <w:sz w:val="22"/>
          <w:szCs w:val="22"/>
        </w:rPr>
        <w:t>–</w:t>
      </w:r>
      <w:r w:rsidRPr="00641B57">
        <w:rPr>
          <w:rFonts w:asciiTheme="minorHAnsi" w:hAnsiTheme="minorHAnsi"/>
          <w:sz w:val="22"/>
          <w:szCs w:val="22"/>
        </w:rPr>
        <w:t>17</w:t>
      </w:r>
      <w:r w:rsidR="001D182F" w:rsidRPr="00641B57">
        <w:rPr>
          <w:rFonts w:asciiTheme="minorHAnsi" w:hAnsiTheme="minorHAnsi"/>
          <w:sz w:val="22"/>
          <w:szCs w:val="22"/>
        </w:rPr>
        <w:t xml:space="preserve"> will include:</w:t>
      </w:r>
    </w:p>
    <w:p w:rsidR="00641B57" w:rsidRDefault="00DC23D9" w:rsidP="00641B57">
      <w:pPr>
        <w:pStyle w:val="ListParagraph"/>
        <w:numPr>
          <w:ilvl w:val="0"/>
          <w:numId w:val="11"/>
        </w:numPr>
        <w:rPr>
          <w:rFonts w:asciiTheme="minorHAnsi" w:hAnsiTheme="minorHAnsi"/>
          <w:i/>
          <w:sz w:val="22"/>
          <w:szCs w:val="22"/>
        </w:rPr>
      </w:pPr>
      <w:r>
        <w:rPr>
          <w:rFonts w:asciiTheme="minorHAnsi" w:hAnsiTheme="minorHAnsi"/>
          <w:i/>
          <w:sz w:val="22"/>
          <w:szCs w:val="22"/>
        </w:rPr>
        <w:t>European agricultural policies</w:t>
      </w:r>
      <w:r w:rsidR="0027497C">
        <w:rPr>
          <w:rFonts w:asciiTheme="minorHAnsi" w:hAnsiTheme="minorHAnsi"/>
          <w:i/>
          <w:sz w:val="22"/>
          <w:szCs w:val="22"/>
        </w:rPr>
        <w:t>—</w:t>
      </w:r>
      <w:r>
        <w:rPr>
          <w:rFonts w:asciiTheme="minorHAnsi" w:hAnsiTheme="minorHAnsi"/>
          <w:i/>
          <w:sz w:val="22"/>
          <w:szCs w:val="22"/>
        </w:rPr>
        <w:t xml:space="preserve">beef, sugar, almonds </w:t>
      </w:r>
    </w:p>
    <w:p w:rsidR="00DC23D9" w:rsidRDefault="00DC23D9" w:rsidP="00641B57">
      <w:pPr>
        <w:pStyle w:val="ListParagraph"/>
        <w:numPr>
          <w:ilvl w:val="0"/>
          <w:numId w:val="11"/>
        </w:numPr>
        <w:rPr>
          <w:rFonts w:asciiTheme="minorHAnsi" w:hAnsiTheme="minorHAnsi"/>
          <w:i/>
          <w:sz w:val="22"/>
          <w:szCs w:val="22"/>
        </w:rPr>
      </w:pPr>
      <w:r>
        <w:rPr>
          <w:rFonts w:asciiTheme="minorHAnsi" w:hAnsiTheme="minorHAnsi"/>
          <w:i/>
          <w:sz w:val="22"/>
          <w:szCs w:val="22"/>
        </w:rPr>
        <w:t>South American agriculture</w:t>
      </w:r>
      <w:r w:rsidR="0027497C">
        <w:rPr>
          <w:rFonts w:asciiTheme="minorHAnsi" w:hAnsiTheme="minorHAnsi"/>
          <w:i/>
          <w:sz w:val="22"/>
          <w:szCs w:val="22"/>
        </w:rPr>
        <w:t>—</w:t>
      </w:r>
      <w:r>
        <w:rPr>
          <w:rFonts w:asciiTheme="minorHAnsi" w:hAnsiTheme="minorHAnsi"/>
          <w:i/>
          <w:sz w:val="22"/>
          <w:szCs w:val="22"/>
        </w:rPr>
        <w:t xml:space="preserve">dairy, wine </w:t>
      </w:r>
    </w:p>
    <w:p w:rsidR="002D2AEF" w:rsidRDefault="002D2AEF" w:rsidP="00641B57">
      <w:pPr>
        <w:pStyle w:val="ListParagraph"/>
        <w:numPr>
          <w:ilvl w:val="0"/>
          <w:numId w:val="11"/>
        </w:numPr>
        <w:rPr>
          <w:rFonts w:asciiTheme="minorHAnsi" w:hAnsiTheme="minorHAnsi"/>
          <w:i/>
          <w:sz w:val="22"/>
          <w:szCs w:val="22"/>
        </w:rPr>
      </w:pPr>
      <w:r>
        <w:rPr>
          <w:rFonts w:asciiTheme="minorHAnsi" w:hAnsiTheme="minorHAnsi"/>
          <w:i/>
          <w:sz w:val="22"/>
          <w:szCs w:val="22"/>
        </w:rPr>
        <w:t xml:space="preserve">Indonesia beef </w:t>
      </w:r>
    </w:p>
    <w:p w:rsidR="00DC23D9" w:rsidRDefault="00DC23D9" w:rsidP="00641B57">
      <w:pPr>
        <w:pStyle w:val="ListParagraph"/>
        <w:numPr>
          <w:ilvl w:val="0"/>
          <w:numId w:val="11"/>
        </w:numPr>
        <w:rPr>
          <w:rFonts w:asciiTheme="minorHAnsi" w:hAnsiTheme="minorHAnsi"/>
          <w:i/>
          <w:sz w:val="22"/>
          <w:szCs w:val="22"/>
        </w:rPr>
      </w:pPr>
      <w:r>
        <w:rPr>
          <w:rFonts w:asciiTheme="minorHAnsi" w:hAnsiTheme="minorHAnsi"/>
          <w:i/>
          <w:sz w:val="22"/>
          <w:szCs w:val="22"/>
        </w:rPr>
        <w:t>China domestic grains policy</w:t>
      </w:r>
      <w:r w:rsidR="00A86FF7">
        <w:rPr>
          <w:rFonts w:asciiTheme="minorHAnsi" w:hAnsiTheme="minorHAnsi"/>
          <w:i/>
          <w:sz w:val="22"/>
          <w:szCs w:val="22"/>
        </w:rPr>
        <w:t>.</w:t>
      </w:r>
    </w:p>
    <w:p w:rsidR="001D182F" w:rsidRPr="00146F52" w:rsidRDefault="001D182F" w:rsidP="00494D22">
      <w:pPr>
        <w:pStyle w:val="Heading3"/>
        <w:rPr>
          <w:color w:val="auto"/>
        </w:rPr>
      </w:pPr>
      <w:bookmarkStart w:id="20" w:name="_Toc428890645"/>
      <w:bookmarkStart w:id="21" w:name="_Toc465156769"/>
      <w:r w:rsidRPr="00146F52">
        <w:rPr>
          <w:color w:val="auto"/>
        </w:rPr>
        <w:t>Sustaining natural resources for longer</w:t>
      </w:r>
      <w:r w:rsidR="0027497C">
        <w:rPr>
          <w:color w:val="auto"/>
        </w:rPr>
        <w:t>-</w:t>
      </w:r>
      <w:r w:rsidRPr="00146F52">
        <w:rPr>
          <w:color w:val="auto"/>
        </w:rPr>
        <w:t>term productive primary industries</w:t>
      </w:r>
      <w:bookmarkEnd w:id="20"/>
      <w:bookmarkEnd w:id="21"/>
    </w:p>
    <w:p w:rsidR="001D182F" w:rsidRPr="00146F52" w:rsidRDefault="001D182F" w:rsidP="00960287">
      <w:pPr>
        <w:pStyle w:val="Heading4"/>
        <w:keepNext/>
      </w:pPr>
      <w:r w:rsidRPr="00146F52">
        <w:t>Fisheries</w:t>
      </w:r>
    </w:p>
    <w:p w:rsidR="00DC51CF" w:rsidRPr="00891272" w:rsidRDefault="00DC51CF" w:rsidP="00DC51CF">
      <w:pPr>
        <w:rPr>
          <w:rFonts w:asciiTheme="minorHAnsi" w:hAnsiTheme="minorHAnsi"/>
          <w:sz w:val="22"/>
          <w:szCs w:val="22"/>
        </w:rPr>
      </w:pPr>
      <w:r w:rsidRPr="00146F52">
        <w:rPr>
          <w:rFonts w:asciiTheme="minorHAnsi" w:hAnsiTheme="minorHAnsi"/>
          <w:sz w:val="22"/>
          <w:szCs w:val="22"/>
        </w:rPr>
        <w:t xml:space="preserve">ABARES assists the department in its role to support the fishing industries and sustain the natural resources that underpin fisheries by providing fisheries related data, advice and analyses. Since 1993, </w:t>
      </w:r>
      <w:r w:rsidRPr="00146F52">
        <w:rPr>
          <w:rFonts w:asciiTheme="minorHAnsi" w:hAnsiTheme="minorHAnsi"/>
          <w:sz w:val="22"/>
          <w:szCs w:val="22"/>
        </w:rPr>
        <w:lastRenderedPageBreak/>
        <w:t>ABARES has undertaken regular, independent assessments of the performance of Commonwealth fisheries management, against economic and sustainability objectives (</w:t>
      </w:r>
      <w:r w:rsidRPr="00146F52">
        <w:rPr>
          <w:rFonts w:asciiTheme="minorHAnsi" w:hAnsiTheme="minorHAnsi"/>
          <w:i/>
          <w:sz w:val="22"/>
          <w:szCs w:val="22"/>
        </w:rPr>
        <w:t>Fishery Status Reports</w:t>
      </w:r>
      <w:r w:rsidRPr="00146F52">
        <w:rPr>
          <w:rFonts w:asciiTheme="minorHAnsi" w:hAnsiTheme="minorHAnsi"/>
          <w:sz w:val="22"/>
          <w:szCs w:val="22"/>
        </w:rPr>
        <w:t xml:space="preserve">). This work is underpinned by </w:t>
      </w:r>
      <w:r>
        <w:rPr>
          <w:rFonts w:asciiTheme="minorHAnsi" w:hAnsiTheme="minorHAnsi"/>
          <w:sz w:val="22"/>
          <w:szCs w:val="22"/>
        </w:rPr>
        <w:t>ABARES fisheries data and information expertise</w:t>
      </w:r>
      <w:r w:rsidRPr="00146F52">
        <w:rPr>
          <w:rFonts w:asciiTheme="minorHAnsi" w:hAnsiTheme="minorHAnsi"/>
          <w:sz w:val="22"/>
          <w:szCs w:val="22"/>
        </w:rPr>
        <w:t>. It is also supported by regular economic surveys of key Commonwealth fisheries, to enable financial and economic performance monitoring, productivity analyses and evaluation of the impact of policy and management changes. ABARES generates and maintains long-term data series on fisheries commodities from all jurisdictions, which provide the basis for gross value of production (GVP) determination and forecasts.</w:t>
      </w:r>
    </w:p>
    <w:p w:rsidR="009C2237" w:rsidRPr="00146F52" w:rsidRDefault="00146F52" w:rsidP="001D182F">
      <w:pPr>
        <w:rPr>
          <w:rFonts w:asciiTheme="minorHAnsi" w:hAnsiTheme="minorHAnsi"/>
          <w:sz w:val="22"/>
          <w:szCs w:val="22"/>
        </w:rPr>
      </w:pPr>
      <w:r w:rsidRPr="00146F52">
        <w:rPr>
          <w:rFonts w:asciiTheme="minorHAnsi" w:hAnsiTheme="minorHAnsi"/>
          <w:sz w:val="22"/>
          <w:szCs w:val="22"/>
        </w:rPr>
        <w:t>In 2016</w:t>
      </w:r>
      <w:r w:rsidR="0027497C">
        <w:rPr>
          <w:rFonts w:asciiTheme="minorHAnsi" w:hAnsiTheme="minorHAnsi"/>
          <w:sz w:val="22"/>
          <w:szCs w:val="22"/>
        </w:rPr>
        <w:t>–</w:t>
      </w:r>
      <w:r w:rsidRPr="00146F52">
        <w:rPr>
          <w:rFonts w:asciiTheme="minorHAnsi" w:hAnsiTheme="minorHAnsi"/>
          <w:sz w:val="22"/>
          <w:szCs w:val="22"/>
        </w:rPr>
        <w:t>17</w:t>
      </w:r>
      <w:r w:rsidR="009C2237" w:rsidRPr="00146F52">
        <w:rPr>
          <w:rFonts w:asciiTheme="minorHAnsi" w:hAnsiTheme="minorHAnsi"/>
          <w:sz w:val="22"/>
          <w:szCs w:val="22"/>
        </w:rPr>
        <w:t xml:space="preserve"> ABARES will</w:t>
      </w:r>
      <w:r w:rsidRPr="00146F52">
        <w:rPr>
          <w:rFonts w:asciiTheme="minorHAnsi" w:hAnsiTheme="minorHAnsi"/>
          <w:sz w:val="22"/>
          <w:szCs w:val="22"/>
        </w:rPr>
        <w:t xml:space="preserve"> release reports on recent economic surveys </w:t>
      </w:r>
      <w:r w:rsidR="009C2237" w:rsidRPr="00146F52">
        <w:rPr>
          <w:rFonts w:asciiTheme="minorHAnsi" w:hAnsiTheme="minorHAnsi"/>
          <w:sz w:val="22"/>
          <w:szCs w:val="22"/>
        </w:rPr>
        <w:t>of the</w:t>
      </w:r>
      <w:r w:rsidRPr="00146F52">
        <w:rPr>
          <w:rFonts w:asciiTheme="minorHAnsi" w:hAnsiTheme="minorHAnsi"/>
          <w:sz w:val="22"/>
          <w:szCs w:val="22"/>
        </w:rPr>
        <w:t xml:space="preserve"> Northern Prawn Fishery, the</w:t>
      </w:r>
      <w:r w:rsidR="009C2237" w:rsidRPr="00146F52">
        <w:rPr>
          <w:rFonts w:asciiTheme="minorHAnsi" w:hAnsiTheme="minorHAnsi"/>
          <w:sz w:val="22"/>
          <w:szCs w:val="22"/>
        </w:rPr>
        <w:t xml:space="preserve"> Commonwealth Eastern Tuna and Billfish Fishery and the Commonwealth Gillnet, Hook and Trap Sector and the Commonwealth Trawl Sector of the Commonwealth Southern and Eastern Scalefish and Shark Fishery.</w:t>
      </w:r>
    </w:p>
    <w:p w:rsidR="001D182F" w:rsidRPr="004E5909" w:rsidRDefault="001D182F" w:rsidP="001D182F">
      <w:pPr>
        <w:rPr>
          <w:rFonts w:asciiTheme="minorHAnsi" w:hAnsiTheme="minorHAnsi"/>
          <w:sz w:val="22"/>
          <w:szCs w:val="22"/>
        </w:rPr>
      </w:pPr>
      <w:r w:rsidRPr="00146F52">
        <w:rPr>
          <w:rFonts w:asciiTheme="minorHAnsi" w:hAnsiTheme="minorHAnsi"/>
          <w:sz w:val="22"/>
          <w:szCs w:val="22"/>
        </w:rPr>
        <w:t xml:space="preserve">The </w:t>
      </w:r>
      <w:r w:rsidR="005C7090">
        <w:rPr>
          <w:rFonts w:asciiTheme="minorHAnsi" w:hAnsiTheme="minorHAnsi"/>
          <w:sz w:val="22"/>
          <w:szCs w:val="22"/>
        </w:rPr>
        <w:t>department</w:t>
      </w:r>
      <w:r w:rsidRPr="00146F52">
        <w:rPr>
          <w:rFonts w:asciiTheme="minorHAnsi" w:hAnsiTheme="minorHAnsi"/>
          <w:sz w:val="22"/>
          <w:szCs w:val="22"/>
        </w:rPr>
        <w:t xml:space="preserve"> leads Australia’s engagement in international and regional fisheries for</w:t>
      </w:r>
      <w:r w:rsidR="00A97AE1" w:rsidRPr="00146F52">
        <w:rPr>
          <w:rFonts w:asciiTheme="minorHAnsi" w:hAnsiTheme="minorHAnsi"/>
          <w:sz w:val="22"/>
          <w:szCs w:val="22"/>
        </w:rPr>
        <w:t>a</w:t>
      </w:r>
      <w:r w:rsidRPr="00146F52">
        <w:rPr>
          <w:rFonts w:asciiTheme="minorHAnsi" w:hAnsiTheme="minorHAnsi"/>
          <w:sz w:val="22"/>
          <w:szCs w:val="22"/>
        </w:rPr>
        <w:t xml:space="preserve">, </w:t>
      </w:r>
      <w:r w:rsidR="00A97AE1" w:rsidRPr="00146F52">
        <w:rPr>
          <w:rFonts w:asciiTheme="minorHAnsi" w:hAnsiTheme="minorHAnsi"/>
          <w:sz w:val="22"/>
          <w:szCs w:val="22"/>
        </w:rPr>
        <w:t>including</w:t>
      </w:r>
      <w:r w:rsidRPr="00146F52">
        <w:rPr>
          <w:rFonts w:asciiTheme="minorHAnsi" w:hAnsiTheme="minorHAnsi"/>
          <w:sz w:val="22"/>
          <w:szCs w:val="22"/>
        </w:rPr>
        <w:t xml:space="preserve"> the Commission for the Conservation of Southern Bluefin Tuna. ABARES supports this role by leading the scientific engagement to these forums and contributing to Australia’s reporting obligations. This ensures a robust, scientific basis for management decisions, the sustainability of fish stocks and maintaining access for Australian industry.</w:t>
      </w:r>
      <w:r w:rsidR="00146F52">
        <w:rPr>
          <w:rFonts w:asciiTheme="minorHAnsi" w:hAnsiTheme="minorHAnsi"/>
          <w:sz w:val="22"/>
          <w:szCs w:val="22"/>
        </w:rPr>
        <w:t xml:space="preserve"> In 2016</w:t>
      </w:r>
      <w:r w:rsidR="00A86FF7">
        <w:rPr>
          <w:rFonts w:asciiTheme="minorHAnsi" w:hAnsiTheme="minorHAnsi"/>
          <w:sz w:val="22"/>
          <w:szCs w:val="22"/>
        </w:rPr>
        <w:t>–</w:t>
      </w:r>
      <w:r w:rsidR="00146F52">
        <w:rPr>
          <w:rFonts w:asciiTheme="minorHAnsi" w:hAnsiTheme="minorHAnsi"/>
          <w:sz w:val="22"/>
          <w:szCs w:val="22"/>
        </w:rPr>
        <w:t xml:space="preserve">17, there will be a focus on work to support the development and implementation of harvest strategies in regional fisheries fora; the </w:t>
      </w:r>
      <w:r w:rsidR="004E5909">
        <w:rPr>
          <w:rFonts w:asciiTheme="minorHAnsi" w:hAnsiTheme="minorHAnsi"/>
          <w:sz w:val="22"/>
          <w:szCs w:val="22"/>
        </w:rPr>
        <w:t>scientific processes in the Southern Indian Ocean Fisheries Agreement and South Pacific Regional Fisheries Management Organisation</w:t>
      </w:r>
      <w:r w:rsidR="00891272">
        <w:rPr>
          <w:rFonts w:asciiTheme="minorHAnsi" w:hAnsiTheme="minorHAnsi"/>
          <w:sz w:val="22"/>
          <w:szCs w:val="22"/>
        </w:rPr>
        <w:t>;</w:t>
      </w:r>
      <w:r w:rsidR="004E5909">
        <w:rPr>
          <w:rFonts w:asciiTheme="minorHAnsi" w:hAnsiTheme="minorHAnsi"/>
          <w:sz w:val="22"/>
          <w:szCs w:val="22"/>
        </w:rPr>
        <w:t xml:space="preserve"> and </w:t>
      </w:r>
      <w:r w:rsidR="004E5909" w:rsidRPr="004E5909">
        <w:rPr>
          <w:rFonts w:asciiTheme="minorHAnsi" w:hAnsiTheme="minorHAnsi"/>
          <w:sz w:val="22"/>
          <w:szCs w:val="22"/>
        </w:rPr>
        <w:t>bilateral engagement with China on fisheries issues.</w:t>
      </w:r>
      <w:r w:rsidR="009C2237" w:rsidRPr="004E5909">
        <w:rPr>
          <w:rFonts w:asciiTheme="minorHAnsi" w:hAnsiTheme="minorHAnsi"/>
          <w:sz w:val="22"/>
          <w:szCs w:val="22"/>
        </w:rPr>
        <w:t xml:space="preserve"> </w:t>
      </w:r>
    </w:p>
    <w:p w:rsidR="001D182F" w:rsidRPr="004E5909" w:rsidRDefault="004E5909" w:rsidP="001D182F">
      <w:pPr>
        <w:rPr>
          <w:rFonts w:asciiTheme="minorHAnsi" w:hAnsiTheme="minorHAnsi"/>
          <w:sz w:val="22"/>
          <w:szCs w:val="22"/>
        </w:rPr>
      </w:pPr>
      <w:r w:rsidRPr="004E5909">
        <w:rPr>
          <w:rFonts w:asciiTheme="minorHAnsi" w:hAnsiTheme="minorHAnsi"/>
          <w:sz w:val="22"/>
          <w:szCs w:val="22"/>
        </w:rPr>
        <w:t>Key publications in 2016</w:t>
      </w:r>
      <w:r w:rsidR="00A86FF7">
        <w:rPr>
          <w:rFonts w:asciiTheme="minorHAnsi" w:hAnsiTheme="minorHAnsi"/>
          <w:sz w:val="22"/>
          <w:szCs w:val="22"/>
        </w:rPr>
        <w:t>–</w:t>
      </w:r>
      <w:r w:rsidR="001D182F" w:rsidRPr="004E5909">
        <w:rPr>
          <w:rFonts w:asciiTheme="minorHAnsi" w:hAnsiTheme="minorHAnsi"/>
          <w:sz w:val="22"/>
          <w:szCs w:val="22"/>
        </w:rPr>
        <w:t>1</w:t>
      </w:r>
      <w:r w:rsidRPr="004E5909">
        <w:rPr>
          <w:rFonts w:asciiTheme="minorHAnsi" w:hAnsiTheme="minorHAnsi"/>
          <w:sz w:val="22"/>
          <w:szCs w:val="22"/>
        </w:rPr>
        <w:t>7</w:t>
      </w:r>
      <w:r w:rsidR="001D182F" w:rsidRPr="004E5909">
        <w:rPr>
          <w:rFonts w:asciiTheme="minorHAnsi" w:hAnsiTheme="minorHAnsi"/>
          <w:sz w:val="22"/>
          <w:szCs w:val="22"/>
        </w:rPr>
        <w:t xml:space="preserve"> will include:</w:t>
      </w:r>
    </w:p>
    <w:p w:rsidR="001D182F" w:rsidRPr="004E5909" w:rsidRDefault="004E5909" w:rsidP="00620378">
      <w:pPr>
        <w:pStyle w:val="ListBullet"/>
      </w:pPr>
      <w:r w:rsidRPr="004E5909">
        <w:rPr>
          <w:rStyle w:val="Emphasis"/>
        </w:rPr>
        <w:t>Fishery Status Reports 2016</w:t>
      </w:r>
      <w:r w:rsidRPr="004E5909">
        <w:t xml:space="preserve"> </w:t>
      </w:r>
    </w:p>
    <w:p w:rsidR="001D182F" w:rsidRPr="004E5909" w:rsidRDefault="001D182F" w:rsidP="00620378">
      <w:pPr>
        <w:pStyle w:val="ListBullet"/>
      </w:pPr>
      <w:r w:rsidRPr="004E5909">
        <w:rPr>
          <w:rStyle w:val="Emphasis"/>
        </w:rPr>
        <w:t xml:space="preserve">Australian Fisheries and </w:t>
      </w:r>
      <w:r w:rsidR="004E5909" w:rsidRPr="004E5909">
        <w:rPr>
          <w:rStyle w:val="Emphasis"/>
        </w:rPr>
        <w:t>Aquaculture Statistics 2015</w:t>
      </w:r>
      <w:r w:rsidR="004E5909" w:rsidRPr="004E5909">
        <w:t xml:space="preserve"> </w:t>
      </w:r>
    </w:p>
    <w:p w:rsidR="001D182F" w:rsidRPr="00C45D05" w:rsidRDefault="001D182F" w:rsidP="00620378">
      <w:pPr>
        <w:pStyle w:val="ListBullet"/>
      </w:pPr>
      <w:r w:rsidRPr="00C45D05">
        <w:rPr>
          <w:rStyle w:val="Emphasis"/>
        </w:rPr>
        <w:t>Australian Fishery Economic Indicators Report</w:t>
      </w:r>
      <w:r w:rsidR="00620378" w:rsidRPr="00C45D05">
        <w:t xml:space="preserve"> </w:t>
      </w:r>
      <w:r w:rsidR="004E5909" w:rsidRPr="00C45D05">
        <w:t>2015</w:t>
      </w:r>
      <w:r w:rsidR="00A86FF7">
        <w:t>—</w:t>
      </w:r>
      <w:r w:rsidR="004E5909" w:rsidRPr="00C45D05">
        <w:t>Financial and economic</w:t>
      </w:r>
      <w:r w:rsidR="00C45D05" w:rsidRPr="00C45D05">
        <w:t xml:space="preserve"> performance of N</w:t>
      </w:r>
      <w:r w:rsidR="00891272">
        <w:t xml:space="preserve">orthern </w:t>
      </w:r>
      <w:r w:rsidR="00C45D05" w:rsidRPr="00C45D05">
        <w:t>P</w:t>
      </w:r>
      <w:r w:rsidR="00891272">
        <w:t xml:space="preserve">rawn </w:t>
      </w:r>
      <w:r w:rsidR="00C45D05" w:rsidRPr="00C45D05">
        <w:t>F</w:t>
      </w:r>
      <w:r w:rsidR="00891272">
        <w:t>ishery</w:t>
      </w:r>
      <w:r w:rsidR="00C45D05" w:rsidRPr="00C45D05">
        <w:t xml:space="preserve"> </w:t>
      </w:r>
    </w:p>
    <w:p w:rsidR="009C2237" w:rsidRDefault="00C45D05" w:rsidP="00620378">
      <w:pPr>
        <w:pStyle w:val="ListBullet"/>
      </w:pPr>
      <w:r w:rsidRPr="00C45D05">
        <w:rPr>
          <w:rStyle w:val="Emphasis"/>
        </w:rPr>
        <w:t>Australian Fisheries Economic Indicators R</w:t>
      </w:r>
      <w:r w:rsidR="009C2237" w:rsidRPr="00C45D05">
        <w:rPr>
          <w:rStyle w:val="Emphasis"/>
        </w:rPr>
        <w:t>eport 2015</w:t>
      </w:r>
      <w:r w:rsidR="00A86FF7">
        <w:rPr>
          <w:rStyle w:val="Emphasis"/>
        </w:rPr>
        <w:t>—</w:t>
      </w:r>
      <w:r w:rsidR="009C2237" w:rsidRPr="00C45D05">
        <w:rPr>
          <w:rStyle w:val="Emphasis"/>
        </w:rPr>
        <w:t xml:space="preserve">Financial and economic performance of the </w:t>
      </w:r>
      <w:r w:rsidRPr="00C45D05">
        <w:rPr>
          <w:rStyle w:val="Emphasis"/>
        </w:rPr>
        <w:t xml:space="preserve">Eastern Tuna and Billfish Fishery </w:t>
      </w:r>
    </w:p>
    <w:p w:rsidR="00C45D05" w:rsidRDefault="00C45D05" w:rsidP="00C45D05">
      <w:pPr>
        <w:pStyle w:val="ListBullet"/>
      </w:pPr>
      <w:r w:rsidRPr="00C45D05">
        <w:rPr>
          <w:rStyle w:val="Emphasis"/>
        </w:rPr>
        <w:t>Australian Fisheries Economic Indicators Report 2015</w:t>
      </w:r>
      <w:r w:rsidR="00A86FF7">
        <w:rPr>
          <w:rStyle w:val="Emphasis"/>
        </w:rPr>
        <w:t>—</w:t>
      </w:r>
      <w:r w:rsidRPr="00C45D05">
        <w:rPr>
          <w:rStyle w:val="Emphasis"/>
        </w:rPr>
        <w:t xml:space="preserve">Financial and economic performance of the </w:t>
      </w:r>
      <w:r>
        <w:rPr>
          <w:rStyle w:val="Emphasis"/>
        </w:rPr>
        <w:t xml:space="preserve">Commonwealth Trawl Sector and Gillnet Hook and Trap Sector of the Southern and Eastern </w:t>
      </w:r>
      <w:proofErr w:type="spellStart"/>
      <w:r>
        <w:rPr>
          <w:rStyle w:val="Emphasis"/>
        </w:rPr>
        <w:t>Scalefish</w:t>
      </w:r>
      <w:proofErr w:type="spellEnd"/>
      <w:r>
        <w:rPr>
          <w:rStyle w:val="Emphasis"/>
        </w:rPr>
        <w:t xml:space="preserve"> and Shark Fishery</w:t>
      </w:r>
      <w:r w:rsidR="00A86FF7">
        <w:t>.</w:t>
      </w:r>
    </w:p>
    <w:p w:rsidR="001D182F" w:rsidRPr="00260462" w:rsidRDefault="001D182F" w:rsidP="00494D22">
      <w:pPr>
        <w:pStyle w:val="Heading4"/>
      </w:pPr>
      <w:r w:rsidRPr="00260462">
        <w:t>Forestry</w:t>
      </w:r>
    </w:p>
    <w:p w:rsidR="00260462" w:rsidRPr="006311F7" w:rsidRDefault="00260462" w:rsidP="00260462">
      <w:pPr>
        <w:rPr>
          <w:rFonts w:asciiTheme="minorHAnsi" w:hAnsiTheme="minorHAnsi"/>
          <w:sz w:val="22"/>
          <w:szCs w:val="22"/>
        </w:rPr>
      </w:pPr>
      <w:r w:rsidRPr="006311F7">
        <w:rPr>
          <w:rFonts w:asciiTheme="minorHAnsi" w:hAnsiTheme="minorHAnsi"/>
          <w:sz w:val="22"/>
          <w:szCs w:val="22"/>
        </w:rPr>
        <w:t xml:space="preserve">ABARES provides data, analyses and advice on the forestry </w:t>
      </w:r>
      <w:r>
        <w:rPr>
          <w:rFonts w:asciiTheme="minorHAnsi" w:hAnsiTheme="minorHAnsi"/>
          <w:sz w:val="22"/>
          <w:szCs w:val="22"/>
        </w:rPr>
        <w:t xml:space="preserve">industry </w:t>
      </w:r>
      <w:r w:rsidRPr="006311F7">
        <w:rPr>
          <w:rFonts w:asciiTheme="minorHAnsi" w:hAnsiTheme="minorHAnsi"/>
          <w:sz w:val="22"/>
          <w:szCs w:val="22"/>
        </w:rPr>
        <w:t>and associated wood products processing and manufacturing industry</w:t>
      </w:r>
      <w:r>
        <w:rPr>
          <w:rFonts w:asciiTheme="minorHAnsi" w:hAnsiTheme="minorHAnsi"/>
          <w:sz w:val="22"/>
          <w:szCs w:val="22"/>
        </w:rPr>
        <w:t>,</w:t>
      </w:r>
      <w:r w:rsidRPr="006311F7">
        <w:rPr>
          <w:rFonts w:asciiTheme="minorHAnsi" w:hAnsiTheme="minorHAnsi"/>
          <w:sz w:val="22"/>
          <w:szCs w:val="22"/>
        </w:rPr>
        <w:t xml:space="preserve"> to support the </w:t>
      </w:r>
      <w:r w:rsidR="005C7090">
        <w:rPr>
          <w:rFonts w:asciiTheme="minorHAnsi" w:hAnsiTheme="minorHAnsi"/>
          <w:sz w:val="22"/>
          <w:szCs w:val="22"/>
        </w:rPr>
        <w:t>d</w:t>
      </w:r>
      <w:r w:rsidRPr="006311F7">
        <w:rPr>
          <w:rFonts w:asciiTheme="minorHAnsi" w:hAnsiTheme="minorHAnsi"/>
          <w:sz w:val="22"/>
          <w:szCs w:val="22"/>
        </w:rPr>
        <w:t>epartment’s role in forestry policy</w:t>
      </w:r>
      <w:r w:rsidR="00891272">
        <w:rPr>
          <w:rFonts w:asciiTheme="minorHAnsi" w:hAnsiTheme="minorHAnsi"/>
          <w:sz w:val="22"/>
          <w:szCs w:val="22"/>
        </w:rPr>
        <w:t>,</w:t>
      </w:r>
      <w:r w:rsidRPr="006311F7">
        <w:rPr>
          <w:rFonts w:asciiTheme="minorHAnsi" w:hAnsiTheme="minorHAnsi"/>
          <w:sz w:val="22"/>
          <w:szCs w:val="22"/>
        </w:rPr>
        <w:t xml:space="preserve"> </w:t>
      </w:r>
      <w:r>
        <w:rPr>
          <w:rFonts w:asciiTheme="minorHAnsi" w:hAnsiTheme="minorHAnsi"/>
          <w:sz w:val="22"/>
          <w:szCs w:val="22"/>
        </w:rPr>
        <w:t>as well as current priorities</w:t>
      </w:r>
      <w:r w:rsidRPr="006311F7">
        <w:rPr>
          <w:rFonts w:asciiTheme="minorHAnsi" w:hAnsiTheme="minorHAnsi"/>
          <w:sz w:val="22"/>
          <w:szCs w:val="22"/>
        </w:rPr>
        <w:t xml:space="preserve"> such as the review of regional forest agreements. ABARES maintains national data on Australia’s fo</w:t>
      </w:r>
      <w:r>
        <w:rPr>
          <w:rFonts w:asciiTheme="minorHAnsi" w:hAnsiTheme="minorHAnsi"/>
          <w:sz w:val="22"/>
          <w:szCs w:val="22"/>
        </w:rPr>
        <w:t xml:space="preserve">rests in the National Forest </w:t>
      </w:r>
      <w:r w:rsidRPr="006311F7">
        <w:rPr>
          <w:rFonts w:asciiTheme="minorHAnsi" w:hAnsiTheme="minorHAnsi"/>
          <w:sz w:val="22"/>
          <w:szCs w:val="22"/>
        </w:rPr>
        <w:t>Inventory</w:t>
      </w:r>
      <w:r>
        <w:rPr>
          <w:rFonts w:asciiTheme="minorHAnsi" w:hAnsiTheme="minorHAnsi"/>
          <w:sz w:val="22"/>
          <w:szCs w:val="22"/>
        </w:rPr>
        <w:t xml:space="preserve"> and National Plantation Inventory, which enable</w:t>
      </w:r>
      <w:r w:rsidRPr="006311F7">
        <w:rPr>
          <w:rFonts w:asciiTheme="minorHAnsi" w:hAnsiTheme="minorHAnsi"/>
          <w:sz w:val="22"/>
          <w:szCs w:val="22"/>
        </w:rPr>
        <w:t xml:space="preserve"> the characterisation of Australian forests and reporting on their sustainable management and use. ABARES publishes Australia’s </w:t>
      </w:r>
      <w:r w:rsidRPr="006311F7">
        <w:rPr>
          <w:rFonts w:asciiTheme="minorHAnsi" w:hAnsiTheme="minorHAnsi"/>
          <w:i/>
          <w:sz w:val="22"/>
          <w:szCs w:val="22"/>
        </w:rPr>
        <w:t>State of the Forests Report</w:t>
      </w:r>
      <w:r w:rsidRPr="006311F7">
        <w:rPr>
          <w:rFonts w:asciiTheme="minorHAnsi" w:hAnsiTheme="minorHAnsi"/>
          <w:sz w:val="22"/>
          <w:szCs w:val="22"/>
        </w:rPr>
        <w:t xml:space="preserve"> every five years </w:t>
      </w:r>
      <w:r>
        <w:rPr>
          <w:rFonts w:asciiTheme="minorHAnsi" w:hAnsiTheme="minorHAnsi"/>
          <w:sz w:val="22"/>
          <w:szCs w:val="22"/>
        </w:rPr>
        <w:t>i</w:t>
      </w:r>
      <w:r w:rsidRPr="006311F7">
        <w:rPr>
          <w:rFonts w:asciiTheme="minorHAnsi" w:hAnsiTheme="minorHAnsi"/>
          <w:sz w:val="22"/>
          <w:szCs w:val="22"/>
        </w:rPr>
        <w:t xml:space="preserve">n partnership with </w:t>
      </w:r>
      <w:r>
        <w:rPr>
          <w:rFonts w:asciiTheme="minorHAnsi" w:hAnsiTheme="minorHAnsi"/>
          <w:sz w:val="22"/>
          <w:szCs w:val="22"/>
        </w:rPr>
        <w:t xml:space="preserve">state and territory agencies through the </w:t>
      </w:r>
      <w:r w:rsidRPr="006311F7">
        <w:rPr>
          <w:rFonts w:asciiTheme="minorHAnsi" w:hAnsiTheme="minorHAnsi"/>
          <w:sz w:val="22"/>
          <w:szCs w:val="22"/>
        </w:rPr>
        <w:t>Montreal Process Implementation Group and the National Fore</w:t>
      </w:r>
      <w:r>
        <w:rPr>
          <w:rFonts w:asciiTheme="minorHAnsi" w:hAnsiTheme="minorHAnsi"/>
          <w:sz w:val="22"/>
          <w:szCs w:val="22"/>
        </w:rPr>
        <w:t>st Inventory Steering Committee</w:t>
      </w:r>
      <w:r w:rsidRPr="006311F7">
        <w:rPr>
          <w:rFonts w:asciiTheme="minorHAnsi" w:hAnsiTheme="minorHAnsi"/>
          <w:sz w:val="22"/>
          <w:szCs w:val="22"/>
        </w:rPr>
        <w:t xml:space="preserve">. This work </w:t>
      </w:r>
      <w:r>
        <w:rPr>
          <w:rFonts w:asciiTheme="minorHAnsi" w:hAnsiTheme="minorHAnsi"/>
          <w:sz w:val="22"/>
          <w:szCs w:val="22"/>
        </w:rPr>
        <w:t xml:space="preserve">meets national </w:t>
      </w:r>
      <w:r w:rsidRPr="006311F7">
        <w:rPr>
          <w:rFonts w:asciiTheme="minorHAnsi" w:hAnsiTheme="minorHAnsi"/>
          <w:sz w:val="22"/>
          <w:szCs w:val="22"/>
        </w:rPr>
        <w:t xml:space="preserve">reporting requirements </w:t>
      </w:r>
      <w:r>
        <w:rPr>
          <w:rFonts w:asciiTheme="minorHAnsi" w:hAnsiTheme="minorHAnsi"/>
          <w:sz w:val="22"/>
          <w:szCs w:val="22"/>
        </w:rPr>
        <w:t xml:space="preserve">on forest management and </w:t>
      </w:r>
      <w:r w:rsidRPr="006311F7">
        <w:rPr>
          <w:rFonts w:asciiTheme="minorHAnsi" w:hAnsiTheme="minorHAnsi"/>
          <w:sz w:val="22"/>
          <w:szCs w:val="22"/>
        </w:rPr>
        <w:t>contributes to meeting international reporting requirements, in particular the FAO Global F</w:t>
      </w:r>
      <w:r>
        <w:rPr>
          <w:rFonts w:asciiTheme="minorHAnsi" w:hAnsiTheme="minorHAnsi"/>
          <w:sz w:val="22"/>
          <w:szCs w:val="22"/>
        </w:rPr>
        <w:t xml:space="preserve">orest Resource Assessment. In partnership with Forest and Wood Products Australia, ABARES also </w:t>
      </w:r>
      <w:r w:rsidRPr="006311F7">
        <w:rPr>
          <w:rFonts w:asciiTheme="minorHAnsi" w:hAnsiTheme="minorHAnsi"/>
          <w:sz w:val="22"/>
          <w:szCs w:val="22"/>
        </w:rPr>
        <w:t>provides national economic data</w:t>
      </w:r>
      <w:r>
        <w:rPr>
          <w:rFonts w:asciiTheme="minorHAnsi" w:hAnsiTheme="minorHAnsi"/>
          <w:sz w:val="22"/>
          <w:szCs w:val="22"/>
        </w:rPr>
        <w:t xml:space="preserve">, </w:t>
      </w:r>
      <w:r w:rsidRPr="006311F7">
        <w:rPr>
          <w:rFonts w:asciiTheme="minorHAnsi" w:hAnsiTheme="minorHAnsi"/>
          <w:sz w:val="22"/>
          <w:szCs w:val="22"/>
        </w:rPr>
        <w:t>statistics</w:t>
      </w:r>
      <w:r>
        <w:rPr>
          <w:rFonts w:asciiTheme="minorHAnsi" w:hAnsiTheme="minorHAnsi"/>
          <w:sz w:val="22"/>
          <w:szCs w:val="22"/>
        </w:rPr>
        <w:t xml:space="preserve"> and analysis</w:t>
      </w:r>
      <w:r w:rsidRPr="006311F7">
        <w:rPr>
          <w:rFonts w:asciiTheme="minorHAnsi" w:hAnsiTheme="minorHAnsi"/>
          <w:sz w:val="22"/>
          <w:szCs w:val="22"/>
        </w:rPr>
        <w:t xml:space="preserve"> on production, consumption and trade of wood-based products (</w:t>
      </w:r>
      <w:r w:rsidRPr="006311F7">
        <w:rPr>
          <w:rFonts w:asciiTheme="minorHAnsi" w:hAnsiTheme="minorHAnsi"/>
          <w:i/>
          <w:sz w:val="22"/>
          <w:szCs w:val="22"/>
        </w:rPr>
        <w:t>Australian Forest and Wood Products Statistics</w:t>
      </w:r>
      <w:r>
        <w:rPr>
          <w:rFonts w:asciiTheme="minorHAnsi" w:hAnsiTheme="minorHAnsi"/>
          <w:sz w:val="22"/>
          <w:szCs w:val="22"/>
        </w:rPr>
        <w:t>) and</w:t>
      </w:r>
      <w:r w:rsidRPr="006311F7">
        <w:rPr>
          <w:rFonts w:asciiTheme="minorHAnsi" w:hAnsiTheme="minorHAnsi"/>
          <w:sz w:val="22"/>
          <w:szCs w:val="22"/>
        </w:rPr>
        <w:t xml:space="preserve"> maintains long-term industry surveys (</w:t>
      </w:r>
      <w:r>
        <w:rPr>
          <w:rFonts w:asciiTheme="minorHAnsi" w:hAnsiTheme="minorHAnsi"/>
          <w:sz w:val="22"/>
          <w:szCs w:val="22"/>
        </w:rPr>
        <w:t>gross value of production</w:t>
      </w:r>
      <w:r w:rsidRPr="006311F7">
        <w:rPr>
          <w:rFonts w:asciiTheme="minorHAnsi" w:hAnsiTheme="minorHAnsi"/>
          <w:sz w:val="22"/>
          <w:szCs w:val="22"/>
        </w:rPr>
        <w:t>, plantation and pulp and paper industry)</w:t>
      </w:r>
      <w:r>
        <w:rPr>
          <w:rFonts w:asciiTheme="minorHAnsi" w:hAnsiTheme="minorHAnsi"/>
          <w:sz w:val="22"/>
          <w:szCs w:val="22"/>
        </w:rPr>
        <w:t>.</w:t>
      </w:r>
    </w:p>
    <w:p w:rsidR="001D182F" w:rsidRPr="00260462" w:rsidRDefault="001D182F" w:rsidP="001D182F">
      <w:pPr>
        <w:rPr>
          <w:rFonts w:asciiTheme="minorHAnsi" w:hAnsiTheme="minorHAnsi"/>
          <w:sz w:val="22"/>
          <w:szCs w:val="22"/>
        </w:rPr>
      </w:pPr>
      <w:r w:rsidRPr="00260462">
        <w:rPr>
          <w:rFonts w:asciiTheme="minorHAnsi" w:hAnsiTheme="minorHAnsi"/>
          <w:sz w:val="22"/>
          <w:szCs w:val="22"/>
        </w:rPr>
        <w:lastRenderedPageBreak/>
        <w:t>Ke</w:t>
      </w:r>
      <w:r w:rsidR="00260462" w:rsidRPr="00260462">
        <w:rPr>
          <w:rFonts w:asciiTheme="minorHAnsi" w:hAnsiTheme="minorHAnsi"/>
          <w:sz w:val="22"/>
          <w:szCs w:val="22"/>
        </w:rPr>
        <w:t>y areas of forestry work in 2016</w:t>
      </w:r>
      <w:r w:rsidR="00E30CA6">
        <w:rPr>
          <w:rFonts w:asciiTheme="minorHAnsi" w:hAnsiTheme="minorHAnsi"/>
          <w:sz w:val="22"/>
          <w:szCs w:val="22"/>
        </w:rPr>
        <w:t>–</w:t>
      </w:r>
      <w:r w:rsidR="00260462" w:rsidRPr="00260462">
        <w:rPr>
          <w:rFonts w:asciiTheme="minorHAnsi" w:hAnsiTheme="minorHAnsi"/>
          <w:sz w:val="22"/>
          <w:szCs w:val="22"/>
        </w:rPr>
        <w:t>17</w:t>
      </w:r>
      <w:r w:rsidRPr="00260462">
        <w:rPr>
          <w:rFonts w:asciiTheme="minorHAnsi" w:hAnsiTheme="minorHAnsi"/>
          <w:sz w:val="22"/>
          <w:szCs w:val="22"/>
        </w:rPr>
        <w:t xml:space="preserve"> include </w:t>
      </w:r>
      <w:r w:rsidR="009C2237" w:rsidRPr="00260462">
        <w:rPr>
          <w:rFonts w:asciiTheme="minorHAnsi" w:hAnsiTheme="minorHAnsi"/>
          <w:sz w:val="22"/>
          <w:szCs w:val="22"/>
        </w:rPr>
        <w:t xml:space="preserve">surveys of forestry production, annual pulp and </w:t>
      </w:r>
      <w:r w:rsidR="00260462" w:rsidRPr="00260462">
        <w:rPr>
          <w:rFonts w:asciiTheme="minorHAnsi" w:hAnsiTheme="minorHAnsi"/>
          <w:sz w:val="22"/>
          <w:szCs w:val="22"/>
        </w:rPr>
        <w:t xml:space="preserve">paper </w:t>
      </w:r>
      <w:r w:rsidR="009C2237" w:rsidRPr="00260462">
        <w:rPr>
          <w:rFonts w:asciiTheme="minorHAnsi" w:hAnsiTheme="minorHAnsi"/>
          <w:sz w:val="22"/>
          <w:szCs w:val="22"/>
        </w:rPr>
        <w:t>production</w:t>
      </w:r>
      <w:r w:rsidR="00260462" w:rsidRPr="00260462">
        <w:rPr>
          <w:rFonts w:asciiTheme="minorHAnsi" w:hAnsiTheme="minorHAnsi"/>
          <w:sz w:val="22"/>
          <w:szCs w:val="22"/>
        </w:rPr>
        <w:t xml:space="preserve">, </w:t>
      </w:r>
      <w:r w:rsidR="00260462">
        <w:rPr>
          <w:rFonts w:asciiTheme="minorHAnsi" w:hAnsiTheme="minorHAnsi"/>
          <w:sz w:val="22"/>
          <w:szCs w:val="22"/>
        </w:rPr>
        <w:t xml:space="preserve">tea tree oil production and Australian plantations; </w:t>
      </w:r>
      <w:r w:rsidR="00260462" w:rsidRPr="006311F7">
        <w:rPr>
          <w:rFonts w:asciiTheme="minorHAnsi" w:hAnsiTheme="minorHAnsi"/>
          <w:sz w:val="22"/>
          <w:szCs w:val="22"/>
        </w:rPr>
        <w:t xml:space="preserve">analysis and advice on regional forestry agreements; estimating the </w:t>
      </w:r>
      <w:r w:rsidR="00260462">
        <w:rPr>
          <w:rFonts w:asciiTheme="minorHAnsi" w:hAnsiTheme="minorHAnsi"/>
          <w:sz w:val="22"/>
          <w:szCs w:val="22"/>
        </w:rPr>
        <w:t>gross value of production</w:t>
      </w:r>
      <w:r w:rsidR="00260462" w:rsidRPr="006311F7">
        <w:rPr>
          <w:rFonts w:asciiTheme="minorHAnsi" w:hAnsiTheme="minorHAnsi"/>
          <w:sz w:val="22"/>
          <w:szCs w:val="22"/>
        </w:rPr>
        <w:t xml:space="preserve"> of the wood products sector</w:t>
      </w:r>
      <w:r w:rsidR="00260462">
        <w:rPr>
          <w:rFonts w:asciiTheme="minorHAnsi" w:hAnsiTheme="minorHAnsi"/>
          <w:sz w:val="22"/>
          <w:szCs w:val="22"/>
        </w:rPr>
        <w:t xml:space="preserve"> and the tea tree oil industry</w:t>
      </w:r>
      <w:r w:rsidR="00260462" w:rsidRPr="006311F7">
        <w:rPr>
          <w:rFonts w:asciiTheme="minorHAnsi" w:hAnsiTheme="minorHAnsi"/>
          <w:sz w:val="22"/>
          <w:szCs w:val="22"/>
        </w:rPr>
        <w:t>; surveying softwood</w:t>
      </w:r>
      <w:r w:rsidR="00260462">
        <w:rPr>
          <w:rFonts w:asciiTheme="minorHAnsi" w:hAnsiTheme="minorHAnsi"/>
          <w:sz w:val="22"/>
          <w:szCs w:val="22"/>
        </w:rPr>
        <w:t xml:space="preserve">, </w:t>
      </w:r>
      <w:r w:rsidR="00260462" w:rsidRPr="006311F7">
        <w:rPr>
          <w:rFonts w:asciiTheme="minorHAnsi" w:hAnsiTheme="minorHAnsi"/>
          <w:sz w:val="22"/>
          <w:szCs w:val="22"/>
        </w:rPr>
        <w:t>hardwood</w:t>
      </w:r>
      <w:r w:rsidR="00260462">
        <w:rPr>
          <w:rFonts w:asciiTheme="minorHAnsi" w:hAnsiTheme="minorHAnsi"/>
          <w:sz w:val="22"/>
          <w:szCs w:val="22"/>
        </w:rPr>
        <w:t xml:space="preserve"> and sandalwood</w:t>
      </w:r>
      <w:r w:rsidR="00260462" w:rsidRPr="006311F7">
        <w:rPr>
          <w:rFonts w:asciiTheme="minorHAnsi" w:hAnsiTheme="minorHAnsi"/>
          <w:sz w:val="22"/>
          <w:szCs w:val="22"/>
        </w:rPr>
        <w:t xml:space="preserve"> plantation areas</w:t>
      </w:r>
      <w:r w:rsidR="00260462">
        <w:rPr>
          <w:rFonts w:asciiTheme="minorHAnsi" w:hAnsiTheme="minorHAnsi"/>
          <w:sz w:val="22"/>
          <w:szCs w:val="22"/>
        </w:rPr>
        <w:t>; undertaking further analysis to support implementation of t</w:t>
      </w:r>
      <w:r w:rsidR="00260462" w:rsidRPr="00781918">
        <w:rPr>
          <w:rFonts w:asciiTheme="minorHAnsi" w:hAnsiTheme="minorHAnsi"/>
          <w:sz w:val="22"/>
          <w:szCs w:val="22"/>
        </w:rPr>
        <w:t xml:space="preserve">he </w:t>
      </w:r>
      <w:r w:rsidR="00260462" w:rsidRPr="00781918">
        <w:rPr>
          <w:rFonts w:asciiTheme="minorHAnsi" w:hAnsiTheme="minorHAnsi"/>
          <w:i/>
          <w:sz w:val="22"/>
          <w:szCs w:val="22"/>
        </w:rPr>
        <w:t>Illegal Logging Prohibition Act 2012</w:t>
      </w:r>
      <w:r w:rsidR="00260462">
        <w:rPr>
          <w:rFonts w:asciiTheme="minorHAnsi" w:hAnsiTheme="minorHAnsi"/>
          <w:sz w:val="22"/>
          <w:szCs w:val="22"/>
        </w:rPr>
        <w:t xml:space="preserve">; updating key National Forest Inventory datasets; data collation and analysis </w:t>
      </w:r>
      <w:r w:rsidR="00260462" w:rsidRPr="006311F7">
        <w:rPr>
          <w:rFonts w:asciiTheme="minorHAnsi" w:hAnsiTheme="minorHAnsi"/>
          <w:sz w:val="22"/>
          <w:szCs w:val="22"/>
        </w:rPr>
        <w:t xml:space="preserve">for Australia’s </w:t>
      </w:r>
      <w:r w:rsidR="00260462" w:rsidRPr="006311F7">
        <w:rPr>
          <w:rFonts w:asciiTheme="minorHAnsi" w:hAnsiTheme="minorHAnsi"/>
          <w:i/>
          <w:sz w:val="22"/>
          <w:szCs w:val="22"/>
        </w:rPr>
        <w:t>State of the Forests Report 2018</w:t>
      </w:r>
      <w:r w:rsidR="00260462">
        <w:rPr>
          <w:rFonts w:asciiTheme="minorHAnsi" w:hAnsiTheme="minorHAnsi"/>
          <w:sz w:val="22"/>
          <w:szCs w:val="22"/>
        </w:rPr>
        <w:t xml:space="preserve">; and providing advice to the </w:t>
      </w:r>
      <w:r w:rsidR="00D147C4">
        <w:rPr>
          <w:rFonts w:asciiTheme="minorHAnsi" w:hAnsiTheme="minorHAnsi"/>
          <w:sz w:val="22"/>
          <w:szCs w:val="22"/>
        </w:rPr>
        <w:t xml:space="preserve">department </w:t>
      </w:r>
      <w:r w:rsidR="00260462">
        <w:rPr>
          <w:rFonts w:asciiTheme="minorHAnsi" w:hAnsiTheme="minorHAnsi"/>
          <w:sz w:val="22"/>
          <w:szCs w:val="22"/>
        </w:rPr>
        <w:t>as requested on regional forest agreements and other priority areas.</w:t>
      </w:r>
    </w:p>
    <w:p w:rsidR="001D182F" w:rsidRPr="00260462" w:rsidRDefault="00260462" w:rsidP="001D182F">
      <w:pPr>
        <w:rPr>
          <w:rFonts w:asciiTheme="minorHAnsi" w:hAnsiTheme="minorHAnsi"/>
          <w:sz w:val="22"/>
          <w:szCs w:val="22"/>
        </w:rPr>
      </w:pPr>
      <w:r w:rsidRPr="00260462">
        <w:rPr>
          <w:rFonts w:asciiTheme="minorHAnsi" w:hAnsiTheme="minorHAnsi"/>
          <w:sz w:val="22"/>
          <w:szCs w:val="22"/>
        </w:rPr>
        <w:t>Key publications in 2016</w:t>
      </w:r>
      <w:r w:rsidR="00E30CA6">
        <w:rPr>
          <w:rFonts w:asciiTheme="minorHAnsi" w:hAnsiTheme="minorHAnsi"/>
          <w:sz w:val="22"/>
          <w:szCs w:val="22"/>
        </w:rPr>
        <w:t>–</w:t>
      </w:r>
      <w:r w:rsidRPr="00260462">
        <w:rPr>
          <w:rFonts w:asciiTheme="minorHAnsi" w:hAnsiTheme="minorHAnsi"/>
          <w:sz w:val="22"/>
          <w:szCs w:val="22"/>
        </w:rPr>
        <w:t>17</w:t>
      </w:r>
      <w:r w:rsidR="001D182F" w:rsidRPr="00260462">
        <w:rPr>
          <w:rFonts w:asciiTheme="minorHAnsi" w:hAnsiTheme="minorHAnsi"/>
          <w:sz w:val="22"/>
          <w:szCs w:val="22"/>
        </w:rPr>
        <w:t xml:space="preserve"> will include:</w:t>
      </w:r>
    </w:p>
    <w:p w:rsidR="00260462" w:rsidRDefault="00260462" w:rsidP="00260462">
      <w:pPr>
        <w:pStyle w:val="ListBullet"/>
      </w:pPr>
      <w:r w:rsidRPr="00285EFC">
        <w:rPr>
          <w:i/>
        </w:rPr>
        <w:t>Climatic suitability of Australia’s production forests for myrtle rust</w:t>
      </w:r>
      <w:r w:rsidRPr="00E64876">
        <w:t xml:space="preserve"> </w:t>
      </w:r>
    </w:p>
    <w:p w:rsidR="00260462" w:rsidRPr="00D27887" w:rsidRDefault="00260462" w:rsidP="00260462">
      <w:pPr>
        <w:pStyle w:val="ListBullet"/>
      </w:pPr>
      <w:r w:rsidRPr="008902E8">
        <w:rPr>
          <w:i/>
        </w:rPr>
        <w:t>Reporting Australian forest biodiversity</w:t>
      </w:r>
      <w:r>
        <w:t xml:space="preserve"> </w:t>
      </w:r>
    </w:p>
    <w:p w:rsidR="00260462" w:rsidRPr="006311F7" w:rsidRDefault="00260462" w:rsidP="00260462">
      <w:pPr>
        <w:pStyle w:val="ListBullet"/>
      </w:pPr>
      <w:r w:rsidRPr="00620378">
        <w:rPr>
          <w:rStyle w:val="Emphasis"/>
        </w:rPr>
        <w:t>Australia’s forests at a glance 201</w:t>
      </w:r>
      <w:r>
        <w:rPr>
          <w:rStyle w:val="Emphasis"/>
        </w:rPr>
        <w:t>6</w:t>
      </w:r>
      <w:r w:rsidRPr="006311F7">
        <w:t xml:space="preserve"> </w:t>
      </w:r>
    </w:p>
    <w:p w:rsidR="00260462" w:rsidRPr="006311F7" w:rsidRDefault="00260462" w:rsidP="00260462">
      <w:pPr>
        <w:pStyle w:val="ListBullet"/>
      </w:pPr>
      <w:r w:rsidRPr="00620378">
        <w:rPr>
          <w:rStyle w:val="Emphasis"/>
        </w:rPr>
        <w:t>Australian Forest and Wood Products Statistics</w:t>
      </w:r>
      <w:r w:rsidRPr="006311F7">
        <w:t xml:space="preserve"> </w:t>
      </w:r>
    </w:p>
    <w:p w:rsidR="00260462" w:rsidRDefault="00260462" w:rsidP="00260462">
      <w:pPr>
        <w:pStyle w:val="ListBullet"/>
      </w:pPr>
      <w:r w:rsidRPr="00620378">
        <w:rPr>
          <w:rStyle w:val="Emphasis"/>
        </w:rPr>
        <w:t>Australia’s plantation statistics 201</w:t>
      </w:r>
      <w:r>
        <w:rPr>
          <w:rStyle w:val="Emphasis"/>
        </w:rPr>
        <w:t>7</w:t>
      </w:r>
      <w:r w:rsidRPr="00620378">
        <w:rPr>
          <w:rStyle w:val="Emphasis"/>
        </w:rPr>
        <w:t xml:space="preserve"> update</w:t>
      </w:r>
      <w:r w:rsidRPr="006311F7">
        <w:t xml:space="preserve"> </w:t>
      </w:r>
    </w:p>
    <w:p w:rsidR="001D182F" w:rsidRPr="00082220" w:rsidRDefault="001D182F" w:rsidP="00494D22">
      <w:pPr>
        <w:pStyle w:val="Heading4"/>
      </w:pPr>
      <w:r w:rsidRPr="00082220">
        <w:t>Land use and management information</w:t>
      </w:r>
    </w:p>
    <w:p w:rsidR="001D182F" w:rsidRPr="00891272" w:rsidRDefault="001D182F" w:rsidP="001D182F">
      <w:pPr>
        <w:shd w:val="clear" w:color="auto" w:fill="FFFFFF"/>
        <w:spacing w:after="150"/>
        <w:ind w:right="225"/>
        <w:rPr>
          <w:rFonts w:asciiTheme="minorHAnsi" w:hAnsiTheme="minorHAnsi"/>
          <w:sz w:val="22"/>
          <w:szCs w:val="22"/>
        </w:rPr>
      </w:pPr>
      <w:r w:rsidRPr="00082220">
        <w:rPr>
          <w:rFonts w:asciiTheme="minorHAnsi" w:hAnsiTheme="minorHAnsi"/>
          <w:sz w:val="22"/>
          <w:szCs w:val="22"/>
        </w:rPr>
        <w:t xml:space="preserve">ABARES maintains spatial analytical capability and data to provide national land use information and advice to the </w:t>
      </w:r>
      <w:r w:rsidR="00D147C4">
        <w:rPr>
          <w:rFonts w:asciiTheme="minorHAnsi" w:hAnsiTheme="minorHAnsi"/>
          <w:sz w:val="22"/>
          <w:szCs w:val="22"/>
        </w:rPr>
        <w:t>d</w:t>
      </w:r>
      <w:r w:rsidR="00D147C4" w:rsidRPr="00082220">
        <w:rPr>
          <w:rFonts w:asciiTheme="minorHAnsi" w:hAnsiTheme="minorHAnsi"/>
          <w:sz w:val="22"/>
          <w:szCs w:val="22"/>
        </w:rPr>
        <w:t xml:space="preserve">epartment </w:t>
      </w:r>
      <w:r w:rsidRPr="00082220">
        <w:rPr>
          <w:rFonts w:asciiTheme="minorHAnsi" w:hAnsiTheme="minorHAnsi"/>
          <w:sz w:val="22"/>
          <w:szCs w:val="22"/>
        </w:rPr>
        <w:t xml:space="preserve">and stakeholders. This information contributes to securing the sustainable and productive use of soil, water and vegetation resources, by monitoring </w:t>
      </w:r>
      <w:r w:rsidR="00891272">
        <w:rPr>
          <w:rFonts w:asciiTheme="minorHAnsi" w:hAnsiTheme="minorHAnsi"/>
          <w:sz w:val="22"/>
          <w:szCs w:val="22"/>
        </w:rPr>
        <w:t xml:space="preserve">land use and </w:t>
      </w:r>
      <w:r w:rsidRPr="00082220">
        <w:rPr>
          <w:rFonts w:asciiTheme="minorHAnsi" w:hAnsiTheme="minorHAnsi"/>
          <w:sz w:val="22"/>
          <w:szCs w:val="22"/>
        </w:rPr>
        <w:t>the adoption and impact of land management practices.</w:t>
      </w:r>
      <w:r w:rsidR="005C7090">
        <w:rPr>
          <w:rFonts w:asciiTheme="minorHAnsi" w:hAnsiTheme="minorHAnsi"/>
          <w:sz w:val="22"/>
          <w:szCs w:val="22"/>
        </w:rPr>
        <w:t xml:space="preserve"> </w:t>
      </w:r>
      <w:r w:rsidRPr="00082220">
        <w:rPr>
          <w:rFonts w:asciiTheme="minorHAnsi" w:hAnsiTheme="minorHAnsi"/>
          <w:sz w:val="22"/>
          <w:szCs w:val="22"/>
        </w:rPr>
        <w:t xml:space="preserve">Spatial land use and management information also contributes to the </w:t>
      </w:r>
      <w:r w:rsidR="00082220" w:rsidRPr="00082220">
        <w:rPr>
          <w:rFonts w:asciiTheme="minorHAnsi" w:hAnsiTheme="minorHAnsi"/>
          <w:sz w:val="22"/>
          <w:szCs w:val="22"/>
        </w:rPr>
        <w:t>government’s Stronger B</w:t>
      </w:r>
      <w:r w:rsidRPr="00082220">
        <w:rPr>
          <w:rFonts w:asciiTheme="minorHAnsi" w:hAnsiTheme="minorHAnsi"/>
          <w:sz w:val="22"/>
          <w:szCs w:val="22"/>
        </w:rPr>
        <w:t>iosecurity</w:t>
      </w:r>
      <w:r w:rsidR="00082220" w:rsidRPr="00082220">
        <w:rPr>
          <w:rFonts w:asciiTheme="minorHAnsi" w:hAnsiTheme="minorHAnsi"/>
          <w:sz w:val="22"/>
          <w:szCs w:val="22"/>
        </w:rPr>
        <w:t xml:space="preserve"> and Quarantine Initiative and the objectives of the National Landcare Programme. Other government processes</w:t>
      </w:r>
      <w:r w:rsidRPr="00082220">
        <w:rPr>
          <w:rFonts w:asciiTheme="minorHAnsi" w:hAnsiTheme="minorHAnsi"/>
          <w:sz w:val="22"/>
          <w:szCs w:val="22"/>
        </w:rPr>
        <w:t xml:space="preserve"> such as Australian State of the Environment reporting </w:t>
      </w:r>
      <w:r w:rsidR="00082220" w:rsidRPr="00082220">
        <w:rPr>
          <w:rFonts w:asciiTheme="minorHAnsi" w:hAnsiTheme="minorHAnsi"/>
          <w:sz w:val="22"/>
          <w:szCs w:val="22"/>
        </w:rPr>
        <w:t>also use ABARES spatial land information.</w:t>
      </w:r>
      <w:r w:rsidR="005C7090">
        <w:rPr>
          <w:rFonts w:asciiTheme="minorHAnsi" w:hAnsiTheme="minorHAnsi"/>
          <w:sz w:val="22"/>
          <w:szCs w:val="22"/>
        </w:rPr>
        <w:t xml:space="preserve"> </w:t>
      </w:r>
      <w:r w:rsidRPr="00082220">
        <w:rPr>
          <w:rFonts w:asciiTheme="minorHAnsi" w:hAnsiTheme="minorHAnsi"/>
          <w:sz w:val="22"/>
          <w:szCs w:val="22"/>
        </w:rPr>
        <w:t xml:space="preserve">The work is primarily undertaken by contributing to the Australian Collaborative Land Use and Management Program (ACLUMP), a consortium of Australian and state/territory government partners </w:t>
      </w:r>
      <w:r w:rsidR="00891272">
        <w:rPr>
          <w:rFonts w:asciiTheme="minorHAnsi" w:hAnsiTheme="minorHAnsi"/>
          <w:sz w:val="22"/>
          <w:szCs w:val="22"/>
        </w:rPr>
        <w:t>with the objective of developing</w:t>
      </w:r>
      <w:r w:rsidRPr="00082220">
        <w:rPr>
          <w:rFonts w:asciiTheme="minorHAnsi" w:hAnsiTheme="minorHAnsi"/>
          <w:sz w:val="22"/>
          <w:szCs w:val="22"/>
        </w:rPr>
        <w:t xml:space="preserve"> nationally consistent land use and land management practices information. ABARES also delivers</w:t>
      </w:r>
      <w:r w:rsidR="00082220" w:rsidRPr="00082220">
        <w:rPr>
          <w:rFonts w:asciiTheme="minorHAnsi" w:hAnsiTheme="minorHAnsi"/>
          <w:sz w:val="22"/>
          <w:szCs w:val="22"/>
        </w:rPr>
        <w:t xml:space="preserve"> </w:t>
      </w:r>
      <w:r w:rsidRPr="00082220">
        <w:rPr>
          <w:rFonts w:asciiTheme="minorHAnsi" w:hAnsiTheme="minorHAnsi"/>
          <w:sz w:val="22"/>
          <w:szCs w:val="22"/>
        </w:rPr>
        <w:t>up to date information on land management practi</w:t>
      </w:r>
      <w:r w:rsidR="001A4DC2">
        <w:rPr>
          <w:rFonts w:asciiTheme="minorHAnsi" w:hAnsiTheme="minorHAnsi"/>
          <w:sz w:val="22"/>
          <w:szCs w:val="22"/>
        </w:rPr>
        <w:t>c</w:t>
      </w:r>
      <w:r w:rsidRPr="00082220">
        <w:rPr>
          <w:rFonts w:asciiTheme="minorHAnsi" w:hAnsiTheme="minorHAnsi"/>
          <w:sz w:val="22"/>
          <w:szCs w:val="22"/>
        </w:rPr>
        <w:t>e trends through the online Monitor tool.</w:t>
      </w:r>
    </w:p>
    <w:p w:rsidR="00082220" w:rsidRPr="00082220" w:rsidRDefault="00082220" w:rsidP="00082220">
      <w:pPr>
        <w:spacing w:after="150"/>
        <w:rPr>
          <w:rFonts w:asciiTheme="minorHAnsi" w:hAnsiTheme="minorHAnsi"/>
          <w:sz w:val="22"/>
          <w:szCs w:val="22"/>
        </w:rPr>
      </w:pPr>
      <w:r w:rsidRPr="00082220">
        <w:rPr>
          <w:rFonts w:asciiTheme="minorHAnsi" w:hAnsiTheme="minorHAnsi"/>
          <w:sz w:val="22"/>
          <w:szCs w:val="22"/>
        </w:rPr>
        <w:t>In 2016</w:t>
      </w:r>
      <w:r w:rsidR="001A4DC2">
        <w:rPr>
          <w:rFonts w:asciiTheme="minorHAnsi" w:hAnsiTheme="minorHAnsi"/>
          <w:sz w:val="22"/>
          <w:szCs w:val="22"/>
        </w:rPr>
        <w:t>–</w:t>
      </w:r>
      <w:r w:rsidRPr="00082220">
        <w:rPr>
          <w:rFonts w:asciiTheme="minorHAnsi" w:hAnsiTheme="minorHAnsi"/>
          <w:sz w:val="22"/>
          <w:szCs w:val="22"/>
        </w:rPr>
        <w:t xml:space="preserve">17 key areas of work include land use and management information and analyses to support emerging issues, such as biosecurity risk management and emergency disease preparedness through coordination of detailed land use mapping of horticulture and intensive animal production; maintaining national collaboration </w:t>
      </w:r>
      <w:r w:rsidR="00891272">
        <w:rPr>
          <w:rFonts w:asciiTheme="minorHAnsi" w:hAnsiTheme="minorHAnsi"/>
          <w:sz w:val="22"/>
          <w:szCs w:val="22"/>
        </w:rPr>
        <w:t xml:space="preserve">on land use and management information through our role </w:t>
      </w:r>
      <w:r w:rsidRPr="00082220">
        <w:rPr>
          <w:rFonts w:asciiTheme="minorHAnsi" w:hAnsiTheme="minorHAnsi"/>
          <w:sz w:val="22"/>
          <w:szCs w:val="22"/>
        </w:rPr>
        <w:t>as the ACLUMP secretariat; publishing summaries o</w:t>
      </w:r>
      <w:r w:rsidR="00891272">
        <w:rPr>
          <w:rFonts w:asciiTheme="minorHAnsi" w:hAnsiTheme="minorHAnsi"/>
          <w:sz w:val="22"/>
          <w:szCs w:val="22"/>
        </w:rPr>
        <w:t>f</w:t>
      </w:r>
      <w:r w:rsidR="00956CAC">
        <w:rPr>
          <w:rFonts w:asciiTheme="minorHAnsi" w:hAnsiTheme="minorHAnsi"/>
          <w:sz w:val="22"/>
          <w:szCs w:val="22"/>
        </w:rPr>
        <w:t xml:space="preserve"> change in land use and the location of</w:t>
      </w:r>
      <w:r w:rsidRPr="00082220">
        <w:rPr>
          <w:rFonts w:asciiTheme="minorHAnsi" w:hAnsiTheme="minorHAnsi"/>
          <w:sz w:val="22"/>
          <w:szCs w:val="22"/>
        </w:rPr>
        <w:t xml:space="preserve"> Australia’s agricultural industr</w:t>
      </w:r>
      <w:r w:rsidR="00956CAC">
        <w:rPr>
          <w:rFonts w:asciiTheme="minorHAnsi" w:hAnsiTheme="minorHAnsi"/>
          <w:sz w:val="22"/>
          <w:szCs w:val="22"/>
        </w:rPr>
        <w:t>ies</w:t>
      </w:r>
      <w:r w:rsidRPr="00082220">
        <w:rPr>
          <w:rFonts w:asciiTheme="minorHAnsi" w:hAnsiTheme="minorHAnsi"/>
          <w:sz w:val="22"/>
          <w:szCs w:val="22"/>
        </w:rPr>
        <w:t>; releasing a new version of the Multi-Criteria Analysis Shell for Spatial Decision Support tool; updating the Catchment Scale Land Use of Australia</w:t>
      </w:r>
      <w:r w:rsidR="00956CAC">
        <w:rPr>
          <w:rFonts w:asciiTheme="minorHAnsi" w:hAnsiTheme="minorHAnsi"/>
          <w:sz w:val="22"/>
          <w:szCs w:val="22"/>
        </w:rPr>
        <w:t xml:space="preserve"> map</w:t>
      </w:r>
      <w:r w:rsidRPr="00082220">
        <w:rPr>
          <w:rFonts w:asciiTheme="minorHAnsi" w:hAnsiTheme="minorHAnsi"/>
          <w:sz w:val="22"/>
          <w:szCs w:val="22"/>
        </w:rPr>
        <w:t>; and collaboratin</w:t>
      </w:r>
      <w:r w:rsidR="00956CAC">
        <w:rPr>
          <w:rFonts w:asciiTheme="minorHAnsi" w:hAnsiTheme="minorHAnsi"/>
          <w:sz w:val="22"/>
          <w:szCs w:val="22"/>
        </w:rPr>
        <w:t>g</w:t>
      </w:r>
      <w:r w:rsidRPr="00082220">
        <w:rPr>
          <w:rFonts w:asciiTheme="minorHAnsi" w:hAnsiTheme="minorHAnsi"/>
          <w:sz w:val="22"/>
          <w:szCs w:val="22"/>
        </w:rPr>
        <w:t xml:space="preserve"> with the Australian Bureau of Statistics on future delivery of national scale land use information.</w:t>
      </w:r>
    </w:p>
    <w:p w:rsidR="001D182F" w:rsidRPr="00082220" w:rsidRDefault="00082220" w:rsidP="001D182F">
      <w:pPr>
        <w:rPr>
          <w:rFonts w:asciiTheme="minorHAnsi" w:hAnsiTheme="minorHAnsi"/>
          <w:sz w:val="22"/>
          <w:szCs w:val="22"/>
        </w:rPr>
      </w:pPr>
      <w:r w:rsidRPr="00082220">
        <w:rPr>
          <w:rFonts w:asciiTheme="minorHAnsi" w:hAnsiTheme="minorHAnsi"/>
          <w:sz w:val="22"/>
          <w:szCs w:val="22"/>
        </w:rPr>
        <w:t>Key publications in 2016</w:t>
      </w:r>
      <w:r w:rsidR="001A4DC2">
        <w:rPr>
          <w:rFonts w:asciiTheme="minorHAnsi" w:hAnsiTheme="minorHAnsi"/>
          <w:sz w:val="22"/>
          <w:szCs w:val="22"/>
        </w:rPr>
        <w:t>–</w:t>
      </w:r>
      <w:r w:rsidRPr="00082220">
        <w:rPr>
          <w:rFonts w:asciiTheme="minorHAnsi" w:hAnsiTheme="minorHAnsi"/>
          <w:sz w:val="22"/>
          <w:szCs w:val="22"/>
        </w:rPr>
        <w:t>17</w:t>
      </w:r>
      <w:r w:rsidR="001D182F" w:rsidRPr="00082220">
        <w:rPr>
          <w:rFonts w:asciiTheme="minorHAnsi" w:hAnsiTheme="minorHAnsi"/>
          <w:sz w:val="22"/>
          <w:szCs w:val="22"/>
        </w:rPr>
        <w:t xml:space="preserve"> will include:</w:t>
      </w:r>
    </w:p>
    <w:p w:rsidR="00082220" w:rsidRPr="00082220" w:rsidRDefault="00082220" w:rsidP="00082220">
      <w:pPr>
        <w:pStyle w:val="ListBullet"/>
        <w:rPr>
          <w:i/>
        </w:rPr>
      </w:pPr>
      <w:bookmarkStart w:id="22" w:name="_Toc428890646"/>
      <w:r w:rsidRPr="00082220">
        <w:rPr>
          <w:i/>
        </w:rPr>
        <w:t>Australia’s Agricultural Industry 2016</w:t>
      </w:r>
      <w:r w:rsidR="00FD1A1B">
        <w:rPr>
          <w:i/>
        </w:rPr>
        <w:t xml:space="preserve"> map</w:t>
      </w:r>
      <w:r w:rsidRPr="00082220">
        <w:rPr>
          <w:i/>
        </w:rPr>
        <w:t xml:space="preserve"> </w:t>
      </w:r>
    </w:p>
    <w:p w:rsidR="00082220" w:rsidRPr="00082220" w:rsidRDefault="00082220" w:rsidP="00082220">
      <w:pPr>
        <w:pStyle w:val="ListBullet"/>
        <w:rPr>
          <w:i/>
        </w:rPr>
      </w:pPr>
      <w:r w:rsidRPr="00082220">
        <w:rPr>
          <w:i/>
        </w:rPr>
        <w:t xml:space="preserve">Change in Australia’s Land Use </w:t>
      </w:r>
    </w:p>
    <w:p w:rsidR="00082220" w:rsidRPr="00082220" w:rsidRDefault="00082220" w:rsidP="00082220">
      <w:pPr>
        <w:pStyle w:val="ListBullet"/>
        <w:rPr>
          <w:i/>
        </w:rPr>
      </w:pPr>
      <w:r w:rsidRPr="00082220">
        <w:rPr>
          <w:i/>
        </w:rPr>
        <w:t xml:space="preserve">Multi-Criteria Analysis Shell for Spatial Decision Support Version 3.2 </w:t>
      </w:r>
    </w:p>
    <w:p w:rsidR="00082220" w:rsidRPr="00082220" w:rsidRDefault="00082220" w:rsidP="00082220">
      <w:pPr>
        <w:pStyle w:val="ListBullet"/>
        <w:rPr>
          <w:i/>
        </w:rPr>
      </w:pPr>
      <w:r w:rsidRPr="00082220">
        <w:rPr>
          <w:i/>
        </w:rPr>
        <w:t xml:space="preserve">Catchment Scale Land Use of Australia </w:t>
      </w:r>
      <w:r w:rsidR="00FD1A1B">
        <w:rPr>
          <w:i/>
        </w:rPr>
        <w:t>map</w:t>
      </w:r>
      <w:r w:rsidR="001A4DC2">
        <w:rPr>
          <w:i/>
        </w:rPr>
        <w:t>.</w:t>
      </w:r>
    </w:p>
    <w:p w:rsidR="001D182F" w:rsidRPr="00FB4D67" w:rsidRDefault="001D182F" w:rsidP="00494D22">
      <w:pPr>
        <w:pStyle w:val="Heading3"/>
        <w:rPr>
          <w:color w:val="auto"/>
        </w:rPr>
      </w:pPr>
      <w:bookmarkStart w:id="23" w:name="_Toc465156770"/>
      <w:r w:rsidRPr="00FB4D67">
        <w:rPr>
          <w:color w:val="auto"/>
        </w:rPr>
        <w:t>Managing biosecurity and imported food risk</w:t>
      </w:r>
      <w:bookmarkEnd w:id="22"/>
      <w:bookmarkEnd w:id="23"/>
    </w:p>
    <w:p w:rsidR="005A3DC7" w:rsidRDefault="005A3DC7" w:rsidP="005A3DC7">
      <w:pPr>
        <w:pStyle w:val="Heading4"/>
        <w:rPr>
          <w:rFonts w:eastAsia="Times New Roman"/>
        </w:rPr>
      </w:pPr>
      <w:r>
        <w:rPr>
          <w:rFonts w:eastAsia="Times New Roman"/>
        </w:rPr>
        <w:t>Biosecurity research and analysis</w:t>
      </w:r>
    </w:p>
    <w:p w:rsidR="005A3DC7" w:rsidRDefault="005A3DC7" w:rsidP="005A3DC7">
      <w:pPr>
        <w:rPr>
          <w:rFonts w:ascii="Calibri" w:eastAsiaTheme="minorHAnsi" w:hAnsi="Calibri"/>
          <w:sz w:val="22"/>
          <w:szCs w:val="22"/>
        </w:rPr>
      </w:pPr>
      <w:r>
        <w:rPr>
          <w:rFonts w:ascii="Calibri" w:hAnsi="Calibri"/>
          <w:sz w:val="22"/>
          <w:szCs w:val="22"/>
        </w:rPr>
        <w:t xml:space="preserve">ABARES undertakes economic and scientific research and analysis to support the department’s biosecurity and export programmes and the implementation of the biosecurity reform agenda across all </w:t>
      </w:r>
      <w:r>
        <w:rPr>
          <w:rFonts w:ascii="Calibri" w:hAnsi="Calibri"/>
          <w:sz w:val="22"/>
          <w:szCs w:val="22"/>
        </w:rPr>
        <w:lastRenderedPageBreak/>
        <w:t>levels of activity, from operational activities to high level policy development.  ABARES biosecurity research and analysis supports the department’s evidence and risk based approach to resource allocation across the biosecurity continuum, using a range of methods</w:t>
      </w:r>
      <w:r w:rsidR="00956CAC">
        <w:rPr>
          <w:rFonts w:ascii="Calibri" w:hAnsi="Calibri"/>
          <w:sz w:val="22"/>
          <w:szCs w:val="22"/>
        </w:rPr>
        <w:t>,</w:t>
      </w:r>
      <w:r>
        <w:rPr>
          <w:rFonts w:ascii="Calibri" w:hAnsi="Calibri"/>
          <w:sz w:val="22"/>
          <w:szCs w:val="22"/>
        </w:rPr>
        <w:t xml:space="preserve"> including risk assessments, economic modelling, social science</w:t>
      </w:r>
      <w:r w:rsidR="00956CAC">
        <w:rPr>
          <w:rFonts w:ascii="Calibri" w:hAnsi="Calibri"/>
          <w:sz w:val="22"/>
          <w:szCs w:val="22"/>
        </w:rPr>
        <w:t xml:space="preserve"> analysis</w:t>
      </w:r>
      <w:r>
        <w:rPr>
          <w:rFonts w:ascii="Calibri" w:hAnsi="Calibri"/>
          <w:sz w:val="22"/>
          <w:szCs w:val="22"/>
        </w:rPr>
        <w:t xml:space="preserve">, spatial modelling, ecological/epidemiological modelling, mathematics and statistics. Integrated </w:t>
      </w:r>
      <w:r w:rsidR="00956CAC">
        <w:rPr>
          <w:rFonts w:ascii="Calibri" w:hAnsi="Calibri"/>
          <w:sz w:val="22"/>
          <w:szCs w:val="22"/>
        </w:rPr>
        <w:t xml:space="preserve">economic, scientific and social science </w:t>
      </w:r>
      <w:r>
        <w:rPr>
          <w:rFonts w:ascii="Calibri" w:hAnsi="Calibri"/>
          <w:sz w:val="22"/>
          <w:szCs w:val="22"/>
        </w:rPr>
        <w:t>research and analysis is employed when required. ABARES provides research and analysis support to Sectoral Committees (Invasive Plant and Animal Committee and Marine Pest Sectoral Committee), emergency response consultative committees and pest and weed technical advisory groups.</w:t>
      </w:r>
    </w:p>
    <w:p w:rsidR="00DC51CF" w:rsidRDefault="00DC51CF" w:rsidP="00DC51CF">
      <w:pPr>
        <w:rPr>
          <w:rFonts w:ascii="Calibri" w:hAnsi="Calibri"/>
          <w:sz w:val="22"/>
          <w:szCs w:val="22"/>
        </w:rPr>
      </w:pPr>
      <w:r>
        <w:rPr>
          <w:rFonts w:ascii="Calibri" w:hAnsi="Calibri"/>
          <w:sz w:val="22"/>
          <w:szCs w:val="22"/>
        </w:rPr>
        <w:t>In 2016</w:t>
      </w:r>
      <w:r w:rsidR="001A4DC2">
        <w:rPr>
          <w:rFonts w:ascii="Calibri" w:hAnsi="Calibri"/>
          <w:sz w:val="22"/>
          <w:szCs w:val="22"/>
        </w:rPr>
        <w:t>–</w:t>
      </w:r>
      <w:r>
        <w:rPr>
          <w:rFonts w:ascii="Calibri" w:hAnsi="Calibri"/>
          <w:sz w:val="22"/>
          <w:szCs w:val="22"/>
        </w:rPr>
        <w:t>17 ABARES will continue to provide research, analysis and advice about the risks and impacts of on-shore and off-shore biosecurity threats to Australia’s agricultural industries, environment and economy and the approaches to manage these risks. ABARES will support the department to build a stronger biosecurity system as part of the commitments made in the Agricultural Competitiveness White Paper. This will include developing methods for designing more efficient surveillance systems; estimating economic impacts of biosecurity policies and proposed reforms; analysing farm-level impacts of government programs; improving techniques for modelling pest and disease spread; modelling border inspection processes;</w:t>
      </w:r>
      <w:r w:rsidR="005C7090">
        <w:rPr>
          <w:rFonts w:ascii="Calibri" w:hAnsi="Calibri"/>
          <w:sz w:val="22"/>
          <w:szCs w:val="22"/>
        </w:rPr>
        <w:t xml:space="preserve"> </w:t>
      </w:r>
      <w:r>
        <w:rPr>
          <w:rFonts w:ascii="Calibri" w:hAnsi="Calibri"/>
          <w:sz w:val="22"/>
          <w:szCs w:val="22"/>
        </w:rPr>
        <w:t xml:space="preserve">continued development of processes to assist with the prioritisation of exotic invasive species of concern. ABARES will collaborate with the </w:t>
      </w:r>
      <w:r w:rsidRPr="00D36FF5">
        <w:rPr>
          <w:rFonts w:ascii="Calibri" w:hAnsi="Calibri"/>
          <w:sz w:val="22"/>
          <w:szCs w:val="22"/>
        </w:rPr>
        <w:t xml:space="preserve">Centre of Excellence for Biosecurity Risk Analysis </w:t>
      </w:r>
      <w:r>
        <w:rPr>
          <w:rFonts w:ascii="Calibri" w:hAnsi="Calibri"/>
          <w:sz w:val="22"/>
          <w:szCs w:val="22"/>
        </w:rPr>
        <w:t>to better understand Australia’s biosecurity system and identify where improvements can be made. This will involve assessing the health of the biosecurity system and estimating its value, from which the future performance of the system can be compared.</w:t>
      </w:r>
    </w:p>
    <w:p w:rsidR="005A3DC7" w:rsidRPr="005A3DC7" w:rsidRDefault="005A3DC7" w:rsidP="005A3DC7">
      <w:pPr>
        <w:rPr>
          <w:rFonts w:ascii="Calibri" w:hAnsi="Calibri"/>
          <w:sz w:val="22"/>
          <w:szCs w:val="22"/>
        </w:rPr>
      </w:pPr>
      <w:r w:rsidRPr="005A3DC7">
        <w:rPr>
          <w:rFonts w:ascii="Calibri" w:hAnsi="Calibri"/>
          <w:sz w:val="22"/>
          <w:szCs w:val="22"/>
        </w:rPr>
        <w:t>ABARES invasive species research and analysis continues to contribute to Australia’s preparedness for the incursion of exotic species and their potential impacts on our economy, society and environment. In 2016</w:t>
      </w:r>
      <w:r w:rsidR="001A4DC2">
        <w:rPr>
          <w:rFonts w:ascii="Calibri" w:hAnsi="Calibri"/>
          <w:sz w:val="22"/>
          <w:szCs w:val="22"/>
        </w:rPr>
        <w:t>–</w:t>
      </w:r>
      <w:r w:rsidRPr="005A3DC7">
        <w:rPr>
          <w:rFonts w:ascii="Calibri" w:hAnsi="Calibri"/>
          <w:sz w:val="22"/>
          <w:szCs w:val="22"/>
        </w:rPr>
        <w:t>17, the bureau will establish an invasive species inventory to enable a clear understanding of the overall invasive species situation and the resulting threats to Australia’s agriculture production systems and environment.</w:t>
      </w:r>
    </w:p>
    <w:p w:rsidR="005A3DC7" w:rsidRDefault="005A3DC7" w:rsidP="005A3DC7">
      <w:pPr>
        <w:rPr>
          <w:rFonts w:ascii="Calibri" w:hAnsi="Calibri"/>
          <w:sz w:val="22"/>
          <w:szCs w:val="22"/>
        </w:rPr>
      </w:pPr>
      <w:r>
        <w:rPr>
          <w:rFonts w:ascii="Calibri" w:hAnsi="Calibri"/>
          <w:sz w:val="22"/>
          <w:szCs w:val="22"/>
        </w:rPr>
        <w:t>Research to strengthen Australia’s marine pest biosecurity arrangements will investigate behaviours of vessel owners/operators of domestic and international vessels. This will include investigating movement patterns, the current standard of biofouling management activities and the level of awareness of biofouling marine pests. A project will also assess the non-market impacts of marine pests.</w:t>
      </w:r>
    </w:p>
    <w:p w:rsidR="00DC51CF" w:rsidRDefault="00DC51CF" w:rsidP="00DC51CF">
      <w:pPr>
        <w:rPr>
          <w:rFonts w:ascii="Calibri" w:hAnsi="Calibri"/>
          <w:sz w:val="22"/>
          <w:szCs w:val="22"/>
        </w:rPr>
      </w:pPr>
      <w:r>
        <w:rPr>
          <w:rFonts w:ascii="Calibri" w:hAnsi="Calibri"/>
          <w:sz w:val="22"/>
          <w:szCs w:val="22"/>
        </w:rPr>
        <w:t>Key publications in 2016</w:t>
      </w:r>
      <w:r w:rsidR="001A4DC2">
        <w:rPr>
          <w:rFonts w:ascii="Calibri" w:hAnsi="Calibri"/>
          <w:sz w:val="22"/>
          <w:szCs w:val="22"/>
        </w:rPr>
        <w:t>–</w:t>
      </w:r>
      <w:r>
        <w:rPr>
          <w:rFonts w:ascii="Calibri" w:hAnsi="Calibri"/>
          <w:sz w:val="22"/>
          <w:szCs w:val="22"/>
        </w:rPr>
        <w:t>17 will include:</w:t>
      </w:r>
    </w:p>
    <w:p w:rsidR="00DC51CF" w:rsidRDefault="00DC51CF" w:rsidP="00DC51CF">
      <w:pPr>
        <w:pStyle w:val="ListBullet"/>
        <w:rPr>
          <w:rStyle w:val="Emphasis"/>
        </w:rPr>
      </w:pPr>
      <w:r>
        <w:rPr>
          <w:rStyle w:val="Emphasis"/>
        </w:rPr>
        <w:t>Health and value of Australia’s Biosecurity System</w:t>
      </w:r>
    </w:p>
    <w:p w:rsidR="00DC51CF" w:rsidRDefault="00DC51CF" w:rsidP="00DC51CF">
      <w:pPr>
        <w:pStyle w:val="ListBullet"/>
        <w:rPr>
          <w:rStyle w:val="Emphasis"/>
        </w:rPr>
      </w:pPr>
      <w:r>
        <w:rPr>
          <w:rStyle w:val="Emphasis"/>
        </w:rPr>
        <w:t>Estimated impact of maximum spread of potential biosecurity incursions in Australia: economic and scientific assessment</w:t>
      </w:r>
    </w:p>
    <w:p w:rsidR="00DC51CF" w:rsidRDefault="00DC51CF" w:rsidP="00DC51CF">
      <w:pPr>
        <w:pStyle w:val="ListBullet"/>
        <w:rPr>
          <w:rStyle w:val="Emphasis"/>
        </w:rPr>
      </w:pPr>
      <w:r>
        <w:rPr>
          <w:rStyle w:val="Emphasis"/>
        </w:rPr>
        <w:t>Potential economic impacts of exotic wheat stem rust in Australia</w:t>
      </w:r>
    </w:p>
    <w:p w:rsidR="00DC51CF" w:rsidRDefault="00DC51CF" w:rsidP="00DC51CF">
      <w:pPr>
        <w:pStyle w:val="ListBullet"/>
        <w:rPr>
          <w:rStyle w:val="Emphasis"/>
        </w:rPr>
      </w:pPr>
      <w:r>
        <w:rPr>
          <w:rStyle w:val="Emphasis"/>
        </w:rPr>
        <w:t>Economics of meeting phytosanitary requirements in exporting horticulture produce: pest area freedom vs product disinfestation</w:t>
      </w:r>
    </w:p>
    <w:p w:rsidR="00DC51CF" w:rsidRDefault="00DC51CF" w:rsidP="00DC51CF">
      <w:pPr>
        <w:pStyle w:val="ListBullet"/>
        <w:rPr>
          <w:rStyle w:val="Emphasis"/>
        </w:rPr>
      </w:pPr>
      <w:r>
        <w:rPr>
          <w:rStyle w:val="Emphasis"/>
        </w:rPr>
        <w:t>Assessing the threat of invasive species exotic to Australia</w:t>
      </w:r>
    </w:p>
    <w:p w:rsidR="00DC51CF" w:rsidRDefault="00DC51CF" w:rsidP="00DC51CF">
      <w:pPr>
        <w:pStyle w:val="ListBullet"/>
        <w:rPr>
          <w:rStyle w:val="Emphasis"/>
        </w:rPr>
      </w:pPr>
      <w:r>
        <w:rPr>
          <w:rStyle w:val="Emphasis"/>
        </w:rPr>
        <w:t>Invasive species inventory</w:t>
      </w:r>
    </w:p>
    <w:p w:rsidR="00DC51CF" w:rsidRDefault="00DC51CF" w:rsidP="00DC51CF">
      <w:pPr>
        <w:pStyle w:val="ListBullet"/>
        <w:rPr>
          <w:rStyle w:val="Emphasis"/>
        </w:rPr>
      </w:pPr>
      <w:r>
        <w:rPr>
          <w:rStyle w:val="Emphasis"/>
        </w:rPr>
        <w:t xml:space="preserve">Evaluating the drivers of biological control in Australia </w:t>
      </w:r>
    </w:p>
    <w:p w:rsidR="00DC51CF" w:rsidRDefault="00DC51CF" w:rsidP="00DC51CF">
      <w:pPr>
        <w:pStyle w:val="ListBullet"/>
      </w:pPr>
      <w:r>
        <w:rPr>
          <w:i/>
          <w:iCs/>
        </w:rPr>
        <w:t>A national survey of agricultural landholders on common established pest animals and weeds</w:t>
      </w:r>
    </w:p>
    <w:p w:rsidR="00DC51CF" w:rsidRPr="005A3DC7" w:rsidRDefault="00DC51CF" w:rsidP="00DC51CF">
      <w:pPr>
        <w:pStyle w:val="ListBullet"/>
        <w:rPr>
          <w:i/>
          <w:iCs/>
        </w:rPr>
      </w:pPr>
      <w:r w:rsidRPr="005A3DC7">
        <w:rPr>
          <w:i/>
          <w:iCs/>
        </w:rPr>
        <w:t xml:space="preserve">Potential economic impact of </w:t>
      </w:r>
      <w:proofErr w:type="spellStart"/>
      <w:r w:rsidRPr="005A3DC7">
        <w:rPr>
          <w:i/>
          <w:iCs/>
        </w:rPr>
        <w:t>Xylella</w:t>
      </w:r>
      <w:proofErr w:type="spellEnd"/>
      <w:r w:rsidRPr="005A3DC7">
        <w:rPr>
          <w:i/>
          <w:iCs/>
        </w:rPr>
        <w:t xml:space="preserve"> </w:t>
      </w:r>
      <w:proofErr w:type="spellStart"/>
      <w:r w:rsidRPr="005A3DC7">
        <w:rPr>
          <w:i/>
          <w:iCs/>
        </w:rPr>
        <w:t>fastidiosa</w:t>
      </w:r>
      <w:proofErr w:type="spellEnd"/>
      <w:r w:rsidRPr="005A3DC7">
        <w:rPr>
          <w:i/>
          <w:iCs/>
        </w:rPr>
        <w:t xml:space="preserve"> in Australia </w:t>
      </w:r>
    </w:p>
    <w:p w:rsidR="00DC51CF" w:rsidRDefault="00DC51CF" w:rsidP="00DC51CF">
      <w:pPr>
        <w:pStyle w:val="ListBullet"/>
        <w:rPr>
          <w:i/>
          <w:iCs/>
        </w:rPr>
      </w:pPr>
      <w:r>
        <w:rPr>
          <w:i/>
          <w:iCs/>
        </w:rPr>
        <w:t>A framework for allocating limited resources to plant pest surveillance</w:t>
      </w:r>
    </w:p>
    <w:p w:rsidR="00DC51CF" w:rsidRPr="00642628" w:rsidRDefault="00DC51CF" w:rsidP="00DC51CF">
      <w:pPr>
        <w:pStyle w:val="ListBullet"/>
      </w:pPr>
      <w:r>
        <w:rPr>
          <w:i/>
          <w:iCs/>
        </w:rPr>
        <w:t xml:space="preserve">Improving the risk-return outcomes from border inspections </w:t>
      </w:r>
    </w:p>
    <w:p w:rsidR="00642628" w:rsidRPr="00642628" w:rsidRDefault="00642628" w:rsidP="00642628">
      <w:pPr>
        <w:pStyle w:val="ListBullet"/>
        <w:rPr>
          <w:i/>
          <w:iCs/>
        </w:rPr>
      </w:pPr>
      <w:r w:rsidRPr="00642628">
        <w:rPr>
          <w:i/>
          <w:iCs/>
        </w:rPr>
        <w:t>Assessing the non-market impacts of marine pests</w:t>
      </w:r>
    </w:p>
    <w:p w:rsidR="00642628" w:rsidRPr="00642628" w:rsidRDefault="00642628" w:rsidP="00642628">
      <w:pPr>
        <w:pStyle w:val="ListBullet"/>
        <w:rPr>
          <w:i/>
          <w:iCs/>
        </w:rPr>
      </w:pPr>
      <w:r w:rsidRPr="00642628">
        <w:rPr>
          <w:i/>
          <w:iCs/>
        </w:rPr>
        <w:t>Sampling strategies to estimate biofouling risk</w:t>
      </w:r>
    </w:p>
    <w:p w:rsidR="00642628" w:rsidRPr="00642628" w:rsidRDefault="00642628" w:rsidP="00642628">
      <w:pPr>
        <w:pStyle w:val="ListBullet"/>
        <w:rPr>
          <w:i/>
          <w:iCs/>
        </w:rPr>
      </w:pPr>
      <w:r w:rsidRPr="00642628">
        <w:rPr>
          <w:i/>
          <w:iCs/>
        </w:rPr>
        <w:lastRenderedPageBreak/>
        <w:t>Implications of increasing free-range poultry production for avian influenza outbreaks</w:t>
      </w:r>
      <w:r w:rsidR="001A4DC2">
        <w:rPr>
          <w:i/>
          <w:iCs/>
        </w:rPr>
        <w:t>.</w:t>
      </w:r>
    </w:p>
    <w:p w:rsidR="00BF6FE1" w:rsidRPr="00562CD0" w:rsidRDefault="00BF6FE1" w:rsidP="00494D22">
      <w:pPr>
        <w:pStyle w:val="Heading3"/>
        <w:rPr>
          <w:color w:val="auto"/>
        </w:rPr>
      </w:pPr>
      <w:bookmarkStart w:id="24" w:name="_Toc428890647"/>
      <w:bookmarkStart w:id="25" w:name="_Toc465156771"/>
      <w:r w:rsidRPr="00562CD0">
        <w:rPr>
          <w:color w:val="auto"/>
        </w:rPr>
        <w:t>Best practice regulator</w:t>
      </w:r>
      <w:bookmarkEnd w:id="24"/>
      <w:bookmarkEnd w:id="25"/>
    </w:p>
    <w:p w:rsidR="00BF6FE1" w:rsidRPr="00562CD0" w:rsidRDefault="00BF6FE1" w:rsidP="00494D22">
      <w:pPr>
        <w:pStyle w:val="Heading4"/>
      </w:pPr>
      <w:r w:rsidRPr="00562CD0">
        <w:t>Regulatory reform and performance measurement</w:t>
      </w:r>
    </w:p>
    <w:p w:rsidR="00562CD0" w:rsidRPr="00562CD0" w:rsidRDefault="00562CD0" w:rsidP="00562CD0">
      <w:pPr>
        <w:rPr>
          <w:rFonts w:asciiTheme="minorHAnsi" w:hAnsiTheme="minorHAnsi"/>
          <w:sz w:val="22"/>
          <w:szCs w:val="22"/>
        </w:rPr>
      </w:pPr>
      <w:r w:rsidRPr="00562CD0">
        <w:rPr>
          <w:rFonts w:asciiTheme="minorHAnsi" w:hAnsiTheme="minorHAnsi"/>
          <w:sz w:val="22"/>
          <w:szCs w:val="22"/>
        </w:rPr>
        <w:t>The government’s regulatory reform agenda focuses</w:t>
      </w:r>
      <w:r w:rsidR="00956CAC">
        <w:rPr>
          <w:rFonts w:asciiTheme="minorHAnsi" w:hAnsiTheme="minorHAnsi"/>
          <w:sz w:val="22"/>
          <w:szCs w:val="22"/>
        </w:rPr>
        <w:t xml:space="preserve"> on</w:t>
      </w:r>
      <w:r w:rsidRPr="00562CD0">
        <w:rPr>
          <w:rFonts w:asciiTheme="minorHAnsi" w:hAnsiTheme="minorHAnsi"/>
          <w:sz w:val="22"/>
          <w:szCs w:val="22"/>
        </w:rPr>
        <w:t xml:space="preserve"> changes that increase innovation and productivity and </w:t>
      </w:r>
      <w:r w:rsidR="001A4DC2">
        <w:rPr>
          <w:rFonts w:asciiTheme="minorHAnsi" w:hAnsiTheme="minorHAnsi"/>
          <w:sz w:val="22"/>
          <w:szCs w:val="22"/>
        </w:rPr>
        <w:t xml:space="preserve">that </w:t>
      </w:r>
      <w:r w:rsidRPr="00562CD0">
        <w:rPr>
          <w:rFonts w:asciiTheme="minorHAnsi" w:hAnsiTheme="minorHAnsi"/>
          <w:sz w:val="22"/>
          <w:szCs w:val="22"/>
        </w:rPr>
        <w:t xml:space="preserve">increase efforts to engage the states and territories in reducing the burden of duplicative and unnecessary regulation across multiple jurisdictions. This approach continues to drive the ‘cutting red tape’ approach that underpinned the original deregulation agenda introduced in October 2013 but frames it within a broader economic narrative. The department’s regulatory reform unit is located in ABARES and has responsibility for ensuring </w:t>
      </w:r>
      <w:r w:rsidR="00956CAC">
        <w:rPr>
          <w:rFonts w:asciiTheme="minorHAnsi" w:hAnsiTheme="minorHAnsi"/>
          <w:sz w:val="22"/>
          <w:szCs w:val="22"/>
        </w:rPr>
        <w:t xml:space="preserve">that </w:t>
      </w:r>
      <w:r w:rsidRPr="00562CD0">
        <w:rPr>
          <w:rFonts w:asciiTheme="minorHAnsi" w:hAnsiTheme="minorHAnsi"/>
          <w:sz w:val="22"/>
          <w:szCs w:val="22"/>
        </w:rPr>
        <w:t xml:space="preserve">the Department of Agriculture </w:t>
      </w:r>
      <w:r w:rsidR="001A4DC2">
        <w:rPr>
          <w:rFonts w:asciiTheme="minorHAnsi" w:hAnsiTheme="minorHAnsi"/>
          <w:sz w:val="22"/>
          <w:szCs w:val="22"/>
        </w:rPr>
        <w:t xml:space="preserve">and Water Resources </w:t>
      </w:r>
      <w:r w:rsidRPr="00562CD0">
        <w:rPr>
          <w:rFonts w:asciiTheme="minorHAnsi" w:hAnsiTheme="minorHAnsi"/>
          <w:sz w:val="22"/>
          <w:szCs w:val="22"/>
        </w:rPr>
        <w:t xml:space="preserve">implements the government’s regulatory reform agenda. </w:t>
      </w:r>
      <w:r w:rsidRPr="001B7A14">
        <w:rPr>
          <w:rFonts w:asciiTheme="minorHAnsi" w:hAnsiTheme="minorHAnsi"/>
          <w:sz w:val="22"/>
          <w:szCs w:val="22"/>
        </w:rPr>
        <w:t>Priorities in 2016</w:t>
      </w:r>
      <w:r w:rsidR="001A4DC2" w:rsidRPr="001B7A14">
        <w:rPr>
          <w:rFonts w:asciiTheme="minorHAnsi" w:hAnsiTheme="minorHAnsi"/>
          <w:sz w:val="22"/>
          <w:szCs w:val="22"/>
        </w:rPr>
        <w:t>–</w:t>
      </w:r>
      <w:r w:rsidRPr="001B7A14">
        <w:rPr>
          <w:rFonts w:asciiTheme="minorHAnsi" w:hAnsiTheme="minorHAnsi"/>
          <w:sz w:val="22"/>
          <w:szCs w:val="22"/>
        </w:rPr>
        <w:t>17 include</w:t>
      </w:r>
      <w:r w:rsidR="001B7A14" w:rsidRPr="001B7A14">
        <w:rPr>
          <w:rFonts w:asciiTheme="minorHAnsi" w:hAnsiTheme="minorHAnsi"/>
          <w:sz w:val="22"/>
          <w:szCs w:val="22"/>
        </w:rPr>
        <w:t xml:space="preserve"> assisting the department in providing input into two Productivity Commission inquires: Regulation of Agriculture; and Marine Fisheries and Aquaculture.</w:t>
      </w:r>
      <w:r w:rsidRPr="001B7A14">
        <w:rPr>
          <w:rFonts w:asciiTheme="minorHAnsi" w:hAnsiTheme="minorHAnsi"/>
          <w:sz w:val="22"/>
          <w:szCs w:val="22"/>
        </w:rPr>
        <w:t xml:space="preserve"> </w:t>
      </w:r>
      <w:r w:rsidR="00956CAC" w:rsidRPr="001B7A14">
        <w:rPr>
          <w:rFonts w:asciiTheme="minorHAnsi" w:hAnsiTheme="minorHAnsi"/>
          <w:sz w:val="22"/>
          <w:szCs w:val="22"/>
        </w:rPr>
        <w:t xml:space="preserve">There will also be a focus on </w:t>
      </w:r>
      <w:r w:rsidR="008C2960" w:rsidRPr="001B7A14">
        <w:rPr>
          <w:rFonts w:asciiTheme="minorHAnsi" w:hAnsiTheme="minorHAnsi"/>
          <w:sz w:val="22"/>
          <w:szCs w:val="22"/>
        </w:rPr>
        <w:t>further development of</w:t>
      </w:r>
      <w:r w:rsidR="008C2960">
        <w:rPr>
          <w:rFonts w:asciiTheme="minorHAnsi" w:hAnsiTheme="minorHAnsi"/>
          <w:sz w:val="22"/>
          <w:szCs w:val="22"/>
        </w:rPr>
        <w:t xml:space="preserve"> regulatory policy capability across the department, including assisting staff with regulatory impact assessment and the calculation of regulatory burden in accordance with the government’s agreed framework and methodology</w:t>
      </w:r>
      <w:r w:rsidRPr="00562CD0">
        <w:rPr>
          <w:rFonts w:asciiTheme="minorHAnsi" w:hAnsiTheme="minorHAnsi"/>
          <w:sz w:val="22"/>
          <w:szCs w:val="22"/>
        </w:rPr>
        <w:t>.</w:t>
      </w:r>
    </w:p>
    <w:p w:rsidR="00562CD0" w:rsidRPr="00562CD0" w:rsidRDefault="00562CD0" w:rsidP="00562CD0">
      <w:pPr>
        <w:rPr>
          <w:rFonts w:asciiTheme="minorHAnsi" w:hAnsiTheme="minorHAnsi"/>
          <w:sz w:val="22"/>
          <w:szCs w:val="22"/>
        </w:rPr>
      </w:pPr>
      <w:r w:rsidRPr="00562CD0">
        <w:rPr>
          <w:rFonts w:asciiTheme="minorHAnsi" w:hAnsiTheme="minorHAnsi"/>
          <w:sz w:val="22"/>
          <w:szCs w:val="22"/>
        </w:rPr>
        <w:t>ABARES is responsible for implementing the regulator performance framework across the department, with the aim of improving the administration of regulation within the department. In 2016</w:t>
      </w:r>
      <w:r w:rsidR="001A4DC2">
        <w:rPr>
          <w:rFonts w:asciiTheme="minorHAnsi" w:hAnsiTheme="minorHAnsi"/>
          <w:sz w:val="22"/>
          <w:szCs w:val="22"/>
        </w:rPr>
        <w:t>–</w:t>
      </w:r>
      <w:r w:rsidRPr="00562CD0">
        <w:rPr>
          <w:rFonts w:asciiTheme="minorHAnsi" w:hAnsiTheme="minorHAnsi"/>
          <w:sz w:val="22"/>
          <w:szCs w:val="22"/>
        </w:rPr>
        <w:t xml:space="preserve">17, ABARES </w:t>
      </w:r>
      <w:r w:rsidR="008C2960">
        <w:rPr>
          <w:rFonts w:asciiTheme="minorHAnsi" w:hAnsiTheme="minorHAnsi"/>
          <w:sz w:val="22"/>
          <w:szCs w:val="22"/>
        </w:rPr>
        <w:t xml:space="preserve">will </w:t>
      </w:r>
      <w:r w:rsidRPr="00562CD0">
        <w:rPr>
          <w:rFonts w:asciiTheme="minorHAnsi" w:hAnsiTheme="minorHAnsi"/>
          <w:sz w:val="22"/>
          <w:szCs w:val="22"/>
        </w:rPr>
        <w:t xml:space="preserve">undertake the </w:t>
      </w:r>
      <w:r w:rsidR="008C2960">
        <w:rPr>
          <w:rFonts w:asciiTheme="minorHAnsi" w:hAnsiTheme="minorHAnsi"/>
          <w:sz w:val="22"/>
          <w:szCs w:val="22"/>
        </w:rPr>
        <w:t xml:space="preserve">department’s </w:t>
      </w:r>
      <w:r w:rsidRPr="00562CD0">
        <w:rPr>
          <w:rFonts w:asciiTheme="minorHAnsi" w:hAnsiTheme="minorHAnsi"/>
          <w:sz w:val="22"/>
          <w:szCs w:val="22"/>
        </w:rPr>
        <w:t>first annual assessment of regulator performance against six key performance indicators and will continue to work closely with other divisions in the department to improve performance metrics.</w:t>
      </w:r>
    </w:p>
    <w:p w:rsidR="00BF6FE1" w:rsidRPr="00562CD0" w:rsidRDefault="00562CD0" w:rsidP="00BF6FE1">
      <w:pPr>
        <w:rPr>
          <w:rFonts w:asciiTheme="minorHAnsi" w:hAnsiTheme="minorHAnsi"/>
          <w:sz w:val="22"/>
          <w:szCs w:val="22"/>
        </w:rPr>
      </w:pPr>
      <w:r w:rsidRPr="00562CD0">
        <w:rPr>
          <w:rFonts w:asciiTheme="minorHAnsi" w:hAnsiTheme="minorHAnsi"/>
          <w:sz w:val="22"/>
          <w:szCs w:val="22"/>
        </w:rPr>
        <w:t>Key publications for 2016</w:t>
      </w:r>
      <w:r w:rsidR="001A4DC2">
        <w:rPr>
          <w:rFonts w:asciiTheme="minorHAnsi" w:hAnsiTheme="minorHAnsi"/>
          <w:sz w:val="22"/>
          <w:szCs w:val="22"/>
        </w:rPr>
        <w:t>–</w:t>
      </w:r>
      <w:r w:rsidRPr="00562CD0">
        <w:rPr>
          <w:rFonts w:asciiTheme="minorHAnsi" w:hAnsiTheme="minorHAnsi"/>
          <w:sz w:val="22"/>
          <w:szCs w:val="22"/>
        </w:rPr>
        <w:t>17</w:t>
      </w:r>
      <w:r w:rsidR="00BF6FE1" w:rsidRPr="00562CD0">
        <w:rPr>
          <w:rFonts w:asciiTheme="minorHAnsi" w:hAnsiTheme="minorHAnsi"/>
          <w:sz w:val="22"/>
          <w:szCs w:val="22"/>
        </w:rPr>
        <w:t xml:space="preserve"> will include:</w:t>
      </w:r>
    </w:p>
    <w:p w:rsidR="00BF6FE1" w:rsidRPr="00562CD0" w:rsidRDefault="00BF6FE1" w:rsidP="00114B67">
      <w:pPr>
        <w:pStyle w:val="ListBullet"/>
      </w:pPr>
      <w:r w:rsidRPr="00562CD0">
        <w:rPr>
          <w:rStyle w:val="Emphasis"/>
        </w:rPr>
        <w:t>Regu</w:t>
      </w:r>
      <w:r w:rsidR="00562CD0" w:rsidRPr="00562CD0">
        <w:rPr>
          <w:rStyle w:val="Emphasis"/>
        </w:rPr>
        <w:t>lator Performance Framework 2016</w:t>
      </w:r>
      <w:r w:rsidR="001A4DC2">
        <w:rPr>
          <w:rStyle w:val="Emphasis"/>
        </w:rPr>
        <w:t>–</w:t>
      </w:r>
      <w:r w:rsidR="00562CD0" w:rsidRPr="00562CD0">
        <w:rPr>
          <w:rStyle w:val="Emphasis"/>
        </w:rPr>
        <w:t>17</w:t>
      </w:r>
      <w:r w:rsidR="001A4DC2">
        <w:rPr>
          <w:rStyle w:val="Emphasis"/>
        </w:rPr>
        <w:t>:</w:t>
      </w:r>
      <w:r w:rsidRPr="00562CD0">
        <w:rPr>
          <w:rStyle w:val="Emphasis"/>
        </w:rPr>
        <w:t xml:space="preserve"> performance measures and frameworks</w:t>
      </w:r>
      <w:r w:rsidR="00562CD0" w:rsidRPr="00562CD0">
        <w:t xml:space="preserve"> </w:t>
      </w:r>
    </w:p>
    <w:p w:rsidR="00562CD0" w:rsidRDefault="00562CD0" w:rsidP="00562CD0">
      <w:pPr>
        <w:pStyle w:val="ListBullet"/>
      </w:pPr>
      <w:bookmarkStart w:id="26" w:name="_Toc428890648"/>
      <w:r>
        <w:rPr>
          <w:rStyle w:val="Emphasis"/>
        </w:rPr>
        <w:t>Regulator Performance Framework 2015</w:t>
      </w:r>
      <w:r w:rsidR="001A4DC2">
        <w:rPr>
          <w:rStyle w:val="Emphasis"/>
        </w:rPr>
        <w:t>–</w:t>
      </w:r>
      <w:r>
        <w:rPr>
          <w:rStyle w:val="Emphasis"/>
        </w:rPr>
        <w:t>16</w:t>
      </w:r>
      <w:r w:rsidR="001A4DC2">
        <w:rPr>
          <w:rStyle w:val="Emphasis"/>
        </w:rPr>
        <w:t>:</w:t>
      </w:r>
      <w:r>
        <w:rPr>
          <w:rStyle w:val="Emphasis"/>
        </w:rPr>
        <w:t xml:space="preserve"> self</w:t>
      </w:r>
      <w:r w:rsidR="001A4DC2">
        <w:rPr>
          <w:rStyle w:val="Emphasis"/>
        </w:rPr>
        <w:t>-</w:t>
      </w:r>
      <w:r>
        <w:rPr>
          <w:rStyle w:val="Emphasis"/>
        </w:rPr>
        <w:t>assessment</w:t>
      </w:r>
      <w:r w:rsidR="001A4DC2">
        <w:rPr>
          <w:rStyle w:val="Emphasis"/>
        </w:rPr>
        <w:t>.</w:t>
      </w:r>
    </w:p>
    <w:p w:rsidR="001D182F" w:rsidRPr="00645385" w:rsidRDefault="00F93047" w:rsidP="00494D22">
      <w:pPr>
        <w:pStyle w:val="Heading3"/>
        <w:rPr>
          <w:color w:val="auto"/>
        </w:rPr>
      </w:pPr>
      <w:bookmarkStart w:id="27" w:name="_Toc465156772"/>
      <w:r w:rsidRPr="00645385">
        <w:rPr>
          <w:color w:val="auto"/>
        </w:rPr>
        <w:t>Efficient and capable organisation</w:t>
      </w:r>
      <w:bookmarkEnd w:id="26"/>
      <w:bookmarkEnd w:id="27"/>
    </w:p>
    <w:p w:rsidR="000722F7" w:rsidRDefault="000722F7" w:rsidP="000722F7">
      <w:pPr>
        <w:pStyle w:val="Heading4"/>
      </w:pPr>
      <w:r w:rsidRPr="000722F7">
        <w:t>Information Management and Public Data taskforce</w:t>
      </w:r>
    </w:p>
    <w:p w:rsidR="000722F7" w:rsidRPr="000722F7" w:rsidRDefault="000722F7" w:rsidP="00685947">
      <w:pPr>
        <w:rPr>
          <w:rFonts w:asciiTheme="minorHAnsi" w:hAnsiTheme="minorHAnsi"/>
          <w:sz w:val="22"/>
          <w:szCs w:val="22"/>
        </w:rPr>
      </w:pPr>
      <w:r w:rsidRPr="000722F7">
        <w:rPr>
          <w:rFonts w:asciiTheme="minorHAnsi" w:hAnsiTheme="minorHAnsi"/>
          <w:sz w:val="22"/>
          <w:szCs w:val="22"/>
        </w:rPr>
        <w:t xml:space="preserve">On 7 December 2015 the Australian Government released its policy on public data—centred on the notion that public sector data </w:t>
      </w:r>
      <w:r w:rsidR="00910880">
        <w:rPr>
          <w:rFonts w:asciiTheme="minorHAnsi" w:hAnsiTheme="minorHAnsi"/>
          <w:sz w:val="22"/>
          <w:szCs w:val="22"/>
        </w:rPr>
        <w:t>are</w:t>
      </w:r>
      <w:r w:rsidR="00910880" w:rsidRPr="000722F7">
        <w:rPr>
          <w:rFonts w:asciiTheme="minorHAnsi" w:hAnsiTheme="minorHAnsi"/>
          <w:sz w:val="22"/>
          <w:szCs w:val="22"/>
        </w:rPr>
        <w:t xml:space="preserve"> </w:t>
      </w:r>
      <w:r w:rsidRPr="000722F7">
        <w:rPr>
          <w:rFonts w:asciiTheme="minorHAnsi" w:hAnsiTheme="minorHAnsi"/>
          <w:sz w:val="22"/>
          <w:szCs w:val="22"/>
        </w:rPr>
        <w:t xml:space="preserve">a valuable, but underutilised national resource. Championed by the Prime Minister, the public data agenda sets an ambitious and valuable agenda for Australian Government agencies on public data. </w:t>
      </w:r>
    </w:p>
    <w:p w:rsidR="000722F7" w:rsidRPr="000722F7" w:rsidRDefault="000722F7" w:rsidP="00685947">
      <w:pPr>
        <w:rPr>
          <w:rFonts w:asciiTheme="minorHAnsi" w:hAnsiTheme="minorHAnsi"/>
          <w:sz w:val="22"/>
          <w:szCs w:val="22"/>
        </w:rPr>
      </w:pPr>
      <w:r w:rsidRPr="000722F7">
        <w:rPr>
          <w:rFonts w:asciiTheme="minorHAnsi" w:hAnsiTheme="minorHAnsi"/>
          <w:sz w:val="22"/>
          <w:szCs w:val="22"/>
        </w:rPr>
        <w:t xml:space="preserve">The department has recognised that implementing the public data agenda will require changes to the way information and data </w:t>
      </w:r>
      <w:r w:rsidR="00910880">
        <w:rPr>
          <w:rFonts w:asciiTheme="minorHAnsi" w:hAnsiTheme="minorHAnsi"/>
          <w:sz w:val="22"/>
          <w:szCs w:val="22"/>
        </w:rPr>
        <w:t>are</w:t>
      </w:r>
      <w:r w:rsidR="00910880" w:rsidRPr="000722F7">
        <w:rPr>
          <w:rFonts w:asciiTheme="minorHAnsi" w:hAnsiTheme="minorHAnsi"/>
          <w:sz w:val="22"/>
          <w:szCs w:val="22"/>
        </w:rPr>
        <w:t xml:space="preserve"> </w:t>
      </w:r>
      <w:r w:rsidRPr="000722F7">
        <w:rPr>
          <w:rFonts w:asciiTheme="minorHAnsi" w:hAnsiTheme="minorHAnsi"/>
          <w:sz w:val="22"/>
          <w:szCs w:val="22"/>
        </w:rPr>
        <w:t xml:space="preserve">managed across the department. To support this reform, the Information Management and Public Data Taskforce was established within ABARES in February 2016. </w:t>
      </w:r>
    </w:p>
    <w:p w:rsidR="000722F7" w:rsidRPr="000722F7" w:rsidRDefault="000722F7" w:rsidP="00685947">
      <w:pPr>
        <w:rPr>
          <w:rFonts w:asciiTheme="minorHAnsi" w:hAnsiTheme="minorHAnsi"/>
          <w:sz w:val="22"/>
          <w:szCs w:val="22"/>
        </w:rPr>
      </w:pPr>
      <w:r w:rsidRPr="000722F7">
        <w:rPr>
          <w:rFonts w:asciiTheme="minorHAnsi" w:hAnsiTheme="minorHAnsi"/>
          <w:sz w:val="22"/>
          <w:szCs w:val="22"/>
        </w:rPr>
        <w:t xml:space="preserve">During 2016–17 the taskforce will progress work to position the department to support information management and public data access through the development of a comprehensive framework. This framework will provide the detail necessary to collect, use, share and publish information and data; support more open access to and use of data and information within the department; and provide guidance on issues such as data and information quality and governance, legislative responsibilities and requirements, information and communication technology barriers and performance metrics. </w:t>
      </w:r>
    </w:p>
    <w:p w:rsidR="000722F7" w:rsidRPr="000722F7" w:rsidRDefault="000722F7" w:rsidP="00685947">
      <w:pPr>
        <w:rPr>
          <w:rFonts w:asciiTheme="minorHAnsi" w:hAnsiTheme="minorHAnsi"/>
          <w:sz w:val="22"/>
          <w:szCs w:val="22"/>
        </w:rPr>
      </w:pPr>
      <w:r w:rsidRPr="000722F7">
        <w:rPr>
          <w:rFonts w:asciiTheme="minorHAnsi" w:hAnsiTheme="minorHAnsi"/>
          <w:sz w:val="22"/>
          <w:szCs w:val="22"/>
        </w:rPr>
        <w:t xml:space="preserve">The taskforce </w:t>
      </w:r>
      <w:r w:rsidR="00BC4B09">
        <w:rPr>
          <w:rFonts w:asciiTheme="minorHAnsi" w:hAnsiTheme="minorHAnsi"/>
          <w:sz w:val="22"/>
          <w:szCs w:val="22"/>
        </w:rPr>
        <w:t xml:space="preserve">in ABARES </w:t>
      </w:r>
      <w:r w:rsidRPr="000722F7">
        <w:rPr>
          <w:rFonts w:asciiTheme="minorHAnsi" w:hAnsiTheme="minorHAnsi"/>
          <w:sz w:val="22"/>
          <w:szCs w:val="22"/>
        </w:rPr>
        <w:t xml:space="preserve">will develop a catalogue of the department’s data assets, with a view to making more of the department’s non-sensitive data available publically. An assessment of the department’s </w:t>
      </w:r>
      <w:r w:rsidRPr="000722F7">
        <w:rPr>
          <w:rFonts w:asciiTheme="minorHAnsi" w:hAnsiTheme="minorHAnsi"/>
          <w:sz w:val="22"/>
          <w:szCs w:val="22"/>
        </w:rPr>
        <w:lastRenderedPageBreak/>
        <w:t xml:space="preserve">public data ICT capability and the development of a roadmap to progress the implementation of reform will support </w:t>
      </w:r>
      <w:r w:rsidR="00956CAC">
        <w:rPr>
          <w:rFonts w:asciiTheme="minorHAnsi" w:hAnsiTheme="minorHAnsi"/>
          <w:sz w:val="22"/>
          <w:szCs w:val="22"/>
        </w:rPr>
        <w:t xml:space="preserve">and </w:t>
      </w:r>
      <w:r w:rsidRPr="000722F7">
        <w:rPr>
          <w:rFonts w:asciiTheme="minorHAnsi" w:hAnsiTheme="minorHAnsi"/>
          <w:sz w:val="22"/>
          <w:szCs w:val="22"/>
        </w:rPr>
        <w:t xml:space="preserve">guide the progress of the public data agenda within the department over the coming years. Engagement with stakeholders and communication with staff will be undertaken on an ongoing basis to inform the development of the framework and to communicate the importance of the public data agenda. </w:t>
      </w:r>
    </w:p>
    <w:p w:rsidR="000722F7" w:rsidRPr="000722F7" w:rsidRDefault="000722F7" w:rsidP="00685947">
      <w:pPr>
        <w:rPr>
          <w:rFonts w:asciiTheme="minorHAnsi" w:hAnsiTheme="minorHAnsi"/>
          <w:sz w:val="22"/>
          <w:szCs w:val="22"/>
        </w:rPr>
      </w:pPr>
      <w:r w:rsidRPr="000722F7">
        <w:rPr>
          <w:rFonts w:asciiTheme="minorHAnsi" w:hAnsiTheme="minorHAnsi"/>
          <w:sz w:val="22"/>
          <w:szCs w:val="22"/>
        </w:rPr>
        <w:t xml:space="preserve">The taskforce will also work closely with the sponsors of departmental projects that have a strong data and information management focus, which are complementary to the taskforce’s activities. Projects include the ABARES Agricultural Intelligence Transformation Project, the Biosecurity Integrated Information System, developing advanced analytics capability, </w:t>
      </w:r>
      <w:r w:rsidR="00956CAC">
        <w:rPr>
          <w:rFonts w:asciiTheme="minorHAnsi" w:hAnsiTheme="minorHAnsi"/>
          <w:sz w:val="22"/>
          <w:szCs w:val="22"/>
        </w:rPr>
        <w:t xml:space="preserve">and </w:t>
      </w:r>
      <w:r w:rsidRPr="000722F7">
        <w:rPr>
          <w:rFonts w:asciiTheme="minorHAnsi" w:hAnsiTheme="minorHAnsi"/>
          <w:sz w:val="22"/>
          <w:szCs w:val="22"/>
        </w:rPr>
        <w:t xml:space="preserve">the enterprise surveillance system project. These projects and the work of the taskforce give the department an opportunity to demonstrate how it is taking the public data agenda into account during the design phases. </w:t>
      </w:r>
    </w:p>
    <w:p w:rsidR="002C3B07" w:rsidRPr="00052661" w:rsidRDefault="002C3B07" w:rsidP="002C3B07">
      <w:pPr>
        <w:rPr>
          <w:rFonts w:asciiTheme="minorHAnsi" w:hAnsiTheme="minorHAnsi"/>
          <w:b/>
          <w:sz w:val="22"/>
          <w:szCs w:val="22"/>
        </w:rPr>
      </w:pPr>
      <w:r w:rsidRPr="00052661">
        <w:rPr>
          <w:rFonts w:asciiTheme="minorHAnsi" w:hAnsiTheme="minorHAnsi"/>
          <w:b/>
          <w:sz w:val="22"/>
          <w:szCs w:val="22"/>
        </w:rPr>
        <w:t xml:space="preserve">Data management and Intelligence transformation </w:t>
      </w:r>
    </w:p>
    <w:p w:rsidR="002C3B07" w:rsidRPr="00052661" w:rsidRDefault="002C3B07" w:rsidP="002C3B07">
      <w:pPr>
        <w:rPr>
          <w:rFonts w:asciiTheme="minorHAnsi" w:hAnsiTheme="minorHAnsi"/>
          <w:sz w:val="22"/>
          <w:szCs w:val="22"/>
        </w:rPr>
      </w:pPr>
      <w:r w:rsidRPr="00052661">
        <w:rPr>
          <w:rFonts w:asciiTheme="minorHAnsi" w:hAnsiTheme="minorHAnsi"/>
          <w:sz w:val="22"/>
          <w:szCs w:val="22"/>
        </w:rPr>
        <w:t>ABARES maintains several datasets that are Essential Statistical Assets for Australia, in the areas of land statistics, water supply and use, and agriculture, fisheries and forestry statistics. ABARES is collaborating with the department’s Information Services Division to take advantage of the department’s investment in enterprise capabilities, such as the enterprise data warehouse, to make information management, access and dissemination more effective. In the long term, this will facilitate more effective sharing of information within the department and with external stakeholders through open data and intelligence services. The agricultural intelligence transformation project will gradually roll out across all of ABARES business activities over the next few years.</w:t>
      </w:r>
    </w:p>
    <w:p w:rsidR="002C3B07" w:rsidRPr="00052661" w:rsidRDefault="002C3B07" w:rsidP="002C3B07">
      <w:pPr>
        <w:rPr>
          <w:rFonts w:asciiTheme="minorHAnsi" w:hAnsiTheme="minorHAnsi"/>
          <w:sz w:val="22"/>
          <w:szCs w:val="22"/>
        </w:rPr>
      </w:pPr>
      <w:r w:rsidRPr="00052661">
        <w:rPr>
          <w:rFonts w:asciiTheme="minorHAnsi" w:hAnsiTheme="minorHAnsi"/>
          <w:sz w:val="22"/>
          <w:szCs w:val="22"/>
        </w:rPr>
        <w:t>The National Agricultural Statistic</w:t>
      </w:r>
      <w:r w:rsidR="00956CAC">
        <w:rPr>
          <w:rFonts w:asciiTheme="minorHAnsi" w:hAnsiTheme="minorHAnsi"/>
          <w:sz w:val="22"/>
          <w:szCs w:val="22"/>
        </w:rPr>
        <w:t>s</w:t>
      </w:r>
      <w:r w:rsidRPr="00052661">
        <w:rPr>
          <w:rFonts w:asciiTheme="minorHAnsi" w:hAnsiTheme="minorHAnsi"/>
          <w:sz w:val="22"/>
          <w:szCs w:val="22"/>
        </w:rPr>
        <w:t xml:space="preserve"> Review </w:t>
      </w:r>
      <w:r w:rsidR="00956CAC">
        <w:rPr>
          <w:rFonts w:asciiTheme="minorHAnsi" w:hAnsiTheme="minorHAnsi"/>
          <w:sz w:val="22"/>
          <w:szCs w:val="22"/>
        </w:rPr>
        <w:t xml:space="preserve">(2014) undertaken by ABARES and the Australian Bureau of Statistics, </w:t>
      </w:r>
      <w:r w:rsidRPr="00052661">
        <w:rPr>
          <w:rFonts w:asciiTheme="minorHAnsi" w:hAnsiTheme="minorHAnsi"/>
          <w:sz w:val="22"/>
          <w:szCs w:val="22"/>
        </w:rPr>
        <w:t>identified a set of actions and initiatives for improving the agricultural statistical system</w:t>
      </w:r>
      <w:r w:rsidR="00956CAC">
        <w:rPr>
          <w:rFonts w:asciiTheme="minorHAnsi" w:hAnsiTheme="minorHAnsi"/>
          <w:sz w:val="22"/>
          <w:szCs w:val="22"/>
        </w:rPr>
        <w:t>.</w:t>
      </w:r>
      <w:r w:rsidRPr="00052661">
        <w:rPr>
          <w:rFonts w:asciiTheme="minorHAnsi" w:hAnsiTheme="minorHAnsi"/>
          <w:sz w:val="22"/>
          <w:szCs w:val="22"/>
        </w:rPr>
        <w:t xml:space="preserve"> </w:t>
      </w:r>
      <w:r w:rsidR="00956CAC">
        <w:rPr>
          <w:rFonts w:asciiTheme="minorHAnsi" w:hAnsiTheme="minorHAnsi"/>
          <w:sz w:val="22"/>
          <w:szCs w:val="22"/>
        </w:rPr>
        <w:t xml:space="preserve">These </w:t>
      </w:r>
      <w:r w:rsidRPr="00052661">
        <w:rPr>
          <w:rFonts w:asciiTheme="minorHAnsi" w:hAnsiTheme="minorHAnsi"/>
          <w:sz w:val="22"/>
          <w:szCs w:val="22"/>
        </w:rPr>
        <w:t>includ</w:t>
      </w:r>
      <w:r w:rsidR="00956CAC">
        <w:rPr>
          <w:rFonts w:asciiTheme="minorHAnsi" w:hAnsiTheme="minorHAnsi"/>
          <w:sz w:val="22"/>
          <w:szCs w:val="22"/>
        </w:rPr>
        <w:t>e</w:t>
      </w:r>
      <w:r w:rsidRPr="00052661">
        <w:rPr>
          <w:rFonts w:asciiTheme="minorHAnsi" w:hAnsiTheme="minorHAnsi"/>
          <w:sz w:val="22"/>
          <w:szCs w:val="22"/>
        </w:rPr>
        <w:t xml:space="preserve"> better coordinating government statistical collection activities; encouraging the exploration of alternative data sources; making better use of electronic forms; improving the integration of existing statistical collections; improving the value for respondents of participation in survey programs through partnerships with industry and returning results to participants in a usable and useful format. The bureau will continue to collaborate with the ABS to implement the actions and initiative from the review.</w:t>
      </w:r>
    </w:p>
    <w:p w:rsidR="002C3B07" w:rsidRPr="002C3B07" w:rsidRDefault="002C3B07" w:rsidP="002C3B07">
      <w:pPr>
        <w:rPr>
          <w:rFonts w:asciiTheme="minorHAnsi" w:hAnsiTheme="minorHAnsi"/>
          <w:sz w:val="22"/>
          <w:szCs w:val="22"/>
        </w:rPr>
      </w:pPr>
      <w:r w:rsidRPr="00052661">
        <w:rPr>
          <w:rFonts w:asciiTheme="minorHAnsi" w:hAnsiTheme="minorHAnsi"/>
          <w:sz w:val="22"/>
          <w:szCs w:val="22"/>
        </w:rPr>
        <w:t>In 2016</w:t>
      </w:r>
      <w:r w:rsidR="00724A5D">
        <w:rPr>
          <w:rFonts w:asciiTheme="minorHAnsi" w:hAnsiTheme="minorHAnsi"/>
          <w:sz w:val="22"/>
          <w:szCs w:val="22"/>
        </w:rPr>
        <w:t>–</w:t>
      </w:r>
      <w:r w:rsidRPr="00052661">
        <w:rPr>
          <w:rFonts w:asciiTheme="minorHAnsi" w:hAnsiTheme="minorHAnsi"/>
          <w:sz w:val="22"/>
          <w:szCs w:val="22"/>
        </w:rPr>
        <w:t>17 ABARES will focus on finalising transformation of the ABARES Farm Survey System in line with the recommendations of the National Agricultural Statistics Review. The data collected from farm surveys provide a unique and comprehensive picture of the performance of much of the agriculture sector. The consistent collection of data since 1977 provides a rich evidence base that underpins policy development across the department. Transformation of the farm survey system will improve the collection, storage and analysis of farm survey data, simplify ongoing maintenance of the system and data, improve our ability to collaborate with the ABS, and facilitate improved access for departmental staff and external stakeholders over time to aggregated data and analyses.</w:t>
      </w:r>
      <w:r w:rsidR="005C7090">
        <w:rPr>
          <w:rFonts w:asciiTheme="minorHAnsi" w:hAnsiTheme="minorHAnsi"/>
          <w:sz w:val="22"/>
          <w:szCs w:val="22"/>
        </w:rPr>
        <w:t xml:space="preserve"> </w:t>
      </w:r>
    </w:p>
    <w:p w:rsidR="008C2960" w:rsidRPr="00791F5B" w:rsidRDefault="008C2960" w:rsidP="008C2960">
      <w:pPr>
        <w:rPr>
          <w:rFonts w:asciiTheme="minorHAnsi" w:hAnsiTheme="minorHAnsi"/>
          <w:b/>
          <w:sz w:val="22"/>
          <w:szCs w:val="22"/>
        </w:rPr>
      </w:pPr>
      <w:r w:rsidRPr="00791F5B">
        <w:rPr>
          <w:rFonts w:asciiTheme="minorHAnsi" w:hAnsiTheme="minorHAnsi"/>
          <w:b/>
          <w:sz w:val="22"/>
          <w:szCs w:val="22"/>
        </w:rPr>
        <w:t>Non-financial performance reporting</w:t>
      </w:r>
    </w:p>
    <w:p w:rsidR="008C2960" w:rsidRPr="00562CD0" w:rsidRDefault="008C2960" w:rsidP="008C2960">
      <w:pPr>
        <w:rPr>
          <w:rFonts w:asciiTheme="minorHAnsi" w:hAnsiTheme="minorHAnsi"/>
          <w:sz w:val="22"/>
          <w:szCs w:val="22"/>
        </w:rPr>
      </w:pPr>
      <w:r w:rsidRPr="00562CD0">
        <w:rPr>
          <w:rFonts w:asciiTheme="minorHAnsi" w:hAnsiTheme="minorHAnsi"/>
          <w:sz w:val="22"/>
          <w:szCs w:val="22"/>
        </w:rPr>
        <w:t>As part of the</w:t>
      </w:r>
      <w:r>
        <w:rPr>
          <w:rFonts w:asciiTheme="minorHAnsi" w:hAnsiTheme="minorHAnsi"/>
          <w:sz w:val="22"/>
          <w:szCs w:val="22"/>
        </w:rPr>
        <w:t xml:space="preserve"> department’s compliance with the</w:t>
      </w:r>
      <w:r w:rsidRPr="00562CD0">
        <w:rPr>
          <w:rFonts w:asciiTheme="minorHAnsi" w:hAnsiTheme="minorHAnsi"/>
          <w:sz w:val="22"/>
          <w:szCs w:val="22"/>
        </w:rPr>
        <w:t xml:space="preserve"> </w:t>
      </w:r>
      <w:r w:rsidRPr="00562CD0">
        <w:rPr>
          <w:rFonts w:asciiTheme="minorHAnsi" w:hAnsiTheme="minorHAnsi"/>
          <w:i/>
          <w:sz w:val="22"/>
          <w:szCs w:val="22"/>
        </w:rPr>
        <w:t>Public Governance, Performance and Accountability Act 2013</w:t>
      </w:r>
      <w:r w:rsidRPr="00562CD0">
        <w:rPr>
          <w:rFonts w:asciiTheme="minorHAnsi" w:hAnsiTheme="minorHAnsi"/>
          <w:sz w:val="22"/>
          <w:szCs w:val="22"/>
        </w:rPr>
        <w:t>, ABARES plays a significant role in overseeing the development of systems and processes to improve non-financial performance reporting across the department</w:t>
      </w:r>
      <w:r>
        <w:rPr>
          <w:rFonts w:asciiTheme="minorHAnsi" w:hAnsiTheme="minorHAnsi"/>
          <w:sz w:val="22"/>
          <w:szCs w:val="22"/>
        </w:rPr>
        <w:t>.</w:t>
      </w:r>
      <w:r w:rsidRPr="00562CD0">
        <w:rPr>
          <w:rFonts w:asciiTheme="minorHAnsi" w:hAnsiTheme="minorHAnsi"/>
          <w:sz w:val="22"/>
          <w:szCs w:val="22"/>
        </w:rPr>
        <w:t xml:space="preserve"> </w:t>
      </w:r>
      <w:r>
        <w:rPr>
          <w:rFonts w:asciiTheme="minorHAnsi" w:hAnsiTheme="minorHAnsi"/>
          <w:sz w:val="22"/>
          <w:szCs w:val="22"/>
        </w:rPr>
        <w:t xml:space="preserve">This </w:t>
      </w:r>
      <w:r w:rsidRPr="00562CD0">
        <w:rPr>
          <w:rFonts w:asciiTheme="minorHAnsi" w:hAnsiTheme="minorHAnsi"/>
          <w:sz w:val="22"/>
          <w:szCs w:val="22"/>
        </w:rPr>
        <w:t>includ</w:t>
      </w:r>
      <w:r>
        <w:rPr>
          <w:rFonts w:asciiTheme="minorHAnsi" w:hAnsiTheme="minorHAnsi"/>
          <w:sz w:val="22"/>
          <w:szCs w:val="22"/>
        </w:rPr>
        <w:t>es</w:t>
      </w:r>
      <w:r w:rsidRPr="00562CD0">
        <w:rPr>
          <w:rFonts w:asciiTheme="minorHAnsi" w:hAnsiTheme="minorHAnsi"/>
          <w:sz w:val="22"/>
          <w:szCs w:val="22"/>
        </w:rPr>
        <w:t xml:space="preserve"> measuring and reporting against key performance indicators </w:t>
      </w:r>
      <w:r>
        <w:rPr>
          <w:rFonts w:asciiTheme="minorHAnsi" w:hAnsiTheme="minorHAnsi"/>
          <w:sz w:val="22"/>
          <w:szCs w:val="22"/>
        </w:rPr>
        <w:t xml:space="preserve">published </w:t>
      </w:r>
      <w:r w:rsidRPr="00562CD0">
        <w:rPr>
          <w:rFonts w:asciiTheme="minorHAnsi" w:hAnsiTheme="minorHAnsi"/>
          <w:sz w:val="22"/>
          <w:szCs w:val="22"/>
        </w:rPr>
        <w:t>in the Portfolio Budget Statements and the Corporate Plan</w:t>
      </w:r>
      <w:r>
        <w:rPr>
          <w:rFonts w:asciiTheme="minorHAnsi" w:hAnsiTheme="minorHAnsi"/>
          <w:sz w:val="22"/>
          <w:szCs w:val="22"/>
        </w:rPr>
        <w:t>. ABARES</w:t>
      </w:r>
      <w:r w:rsidRPr="00562CD0">
        <w:rPr>
          <w:rFonts w:asciiTheme="minorHAnsi" w:hAnsiTheme="minorHAnsi"/>
          <w:sz w:val="22"/>
          <w:szCs w:val="22"/>
        </w:rPr>
        <w:t xml:space="preserve"> will continue to </w:t>
      </w:r>
      <w:r>
        <w:rPr>
          <w:rFonts w:asciiTheme="minorHAnsi" w:hAnsiTheme="minorHAnsi"/>
          <w:sz w:val="22"/>
          <w:szCs w:val="22"/>
        </w:rPr>
        <w:t xml:space="preserve">refine and </w:t>
      </w:r>
      <w:r w:rsidR="002C3B07">
        <w:rPr>
          <w:rFonts w:asciiTheme="minorHAnsi" w:hAnsiTheme="minorHAnsi"/>
          <w:sz w:val="22"/>
          <w:szCs w:val="22"/>
        </w:rPr>
        <w:t>i</w:t>
      </w:r>
      <w:r w:rsidRPr="00562CD0">
        <w:rPr>
          <w:rFonts w:asciiTheme="minorHAnsi" w:hAnsiTheme="minorHAnsi"/>
          <w:sz w:val="22"/>
          <w:szCs w:val="22"/>
        </w:rPr>
        <w:t xml:space="preserve">mprove the department’s performance framework </w:t>
      </w:r>
      <w:r>
        <w:rPr>
          <w:rFonts w:asciiTheme="minorHAnsi" w:hAnsiTheme="minorHAnsi"/>
          <w:sz w:val="22"/>
          <w:szCs w:val="22"/>
        </w:rPr>
        <w:t>for future years</w:t>
      </w:r>
      <w:r w:rsidRPr="00562CD0">
        <w:rPr>
          <w:rFonts w:asciiTheme="minorHAnsi" w:hAnsiTheme="minorHAnsi"/>
          <w:sz w:val="22"/>
          <w:szCs w:val="22"/>
        </w:rPr>
        <w:t>.</w:t>
      </w:r>
    </w:p>
    <w:p w:rsidR="00BF6FE1" w:rsidRPr="00057679" w:rsidRDefault="00BF6FE1" w:rsidP="00494D22">
      <w:pPr>
        <w:pStyle w:val="Heading3"/>
        <w:rPr>
          <w:color w:val="auto"/>
        </w:rPr>
      </w:pPr>
      <w:bookmarkStart w:id="28" w:name="_Toc428890649"/>
      <w:bookmarkStart w:id="29" w:name="_Toc465156773"/>
      <w:r w:rsidRPr="00057679">
        <w:rPr>
          <w:color w:val="auto"/>
        </w:rPr>
        <w:lastRenderedPageBreak/>
        <w:t>Engagement</w:t>
      </w:r>
      <w:bookmarkEnd w:id="28"/>
      <w:bookmarkEnd w:id="29"/>
    </w:p>
    <w:p w:rsidR="00506E29" w:rsidRPr="00052661" w:rsidRDefault="00506E29" w:rsidP="00506E29">
      <w:pPr>
        <w:pStyle w:val="Heading4"/>
      </w:pPr>
      <w:r w:rsidRPr="00052661">
        <w:t>Communication Strategy implementation</w:t>
      </w:r>
    </w:p>
    <w:p w:rsidR="00506E29" w:rsidRPr="00052661" w:rsidRDefault="00506E29" w:rsidP="00506E29">
      <w:pPr>
        <w:rPr>
          <w:rFonts w:asciiTheme="minorHAnsi" w:hAnsiTheme="minorHAnsi"/>
          <w:sz w:val="22"/>
          <w:szCs w:val="22"/>
        </w:rPr>
      </w:pPr>
      <w:r w:rsidRPr="00052661">
        <w:rPr>
          <w:rFonts w:asciiTheme="minorHAnsi" w:hAnsiTheme="minorHAnsi"/>
          <w:sz w:val="22"/>
          <w:szCs w:val="22"/>
        </w:rPr>
        <w:t xml:space="preserve">ABARES </w:t>
      </w:r>
      <w:r w:rsidR="00F870BB">
        <w:rPr>
          <w:rFonts w:asciiTheme="minorHAnsi" w:hAnsiTheme="minorHAnsi"/>
          <w:sz w:val="22"/>
          <w:szCs w:val="22"/>
        </w:rPr>
        <w:t>is</w:t>
      </w:r>
      <w:r w:rsidRPr="00052661">
        <w:rPr>
          <w:rFonts w:asciiTheme="minorHAnsi" w:hAnsiTheme="minorHAnsi"/>
          <w:sz w:val="22"/>
          <w:szCs w:val="22"/>
        </w:rPr>
        <w:t xml:space="preserve"> revitalis</w:t>
      </w:r>
      <w:r w:rsidR="00F870BB">
        <w:rPr>
          <w:rFonts w:asciiTheme="minorHAnsi" w:hAnsiTheme="minorHAnsi"/>
          <w:sz w:val="22"/>
          <w:szCs w:val="22"/>
        </w:rPr>
        <w:t xml:space="preserve">ing </w:t>
      </w:r>
      <w:r w:rsidRPr="00052661">
        <w:rPr>
          <w:rFonts w:asciiTheme="minorHAnsi" w:hAnsiTheme="minorHAnsi"/>
          <w:sz w:val="22"/>
          <w:szCs w:val="22"/>
        </w:rPr>
        <w:t xml:space="preserve">its approach to communication through the 2016 Communication Strategy. </w:t>
      </w:r>
    </w:p>
    <w:p w:rsidR="00506E29" w:rsidRPr="00052661" w:rsidRDefault="00506E29" w:rsidP="00506E29">
      <w:pPr>
        <w:rPr>
          <w:rFonts w:asciiTheme="minorHAnsi" w:hAnsiTheme="minorHAnsi"/>
          <w:sz w:val="22"/>
          <w:szCs w:val="22"/>
        </w:rPr>
      </w:pPr>
      <w:r w:rsidRPr="00052661">
        <w:rPr>
          <w:rFonts w:asciiTheme="minorHAnsi" w:hAnsiTheme="minorHAnsi"/>
          <w:sz w:val="22"/>
          <w:szCs w:val="22"/>
        </w:rPr>
        <w:t>The overarching aim of th</w:t>
      </w:r>
      <w:r w:rsidR="00F870BB">
        <w:rPr>
          <w:rFonts w:asciiTheme="minorHAnsi" w:hAnsiTheme="minorHAnsi"/>
          <w:sz w:val="22"/>
          <w:szCs w:val="22"/>
        </w:rPr>
        <w:t>e</w:t>
      </w:r>
      <w:r w:rsidRPr="00052661">
        <w:rPr>
          <w:rFonts w:asciiTheme="minorHAnsi" w:hAnsiTheme="minorHAnsi"/>
          <w:sz w:val="22"/>
          <w:szCs w:val="22"/>
        </w:rPr>
        <w:t xml:space="preserve"> strategy is for ABARES to deliver integrated, contemporary and effective communication through engaging its staff and revitalising its services and products. The strategy provides a framework for achieving these objectives and a practical implementation plan that outlines the way forward.</w:t>
      </w:r>
    </w:p>
    <w:p w:rsidR="00506E29" w:rsidRPr="00052661" w:rsidRDefault="00506E29" w:rsidP="00F870BB">
      <w:pPr>
        <w:rPr>
          <w:rFonts w:asciiTheme="minorHAnsi" w:hAnsiTheme="minorHAnsi"/>
          <w:sz w:val="22"/>
          <w:szCs w:val="22"/>
        </w:rPr>
      </w:pPr>
      <w:r w:rsidRPr="00052661">
        <w:rPr>
          <w:rFonts w:asciiTheme="minorHAnsi" w:hAnsiTheme="minorHAnsi"/>
          <w:sz w:val="22"/>
          <w:szCs w:val="22"/>
        </w:rPr>
        <w:t>The implementation plan will</w:t>
      </w:r>
      <w:r w:rsidR="00F870BB">
        <w:rPr>
          <w:rFonts w:asciiTheme="minorHAnsi" w:hAnsiTheme="minorHAnsi"/>
          <w:sz w:val="22"/>
          <w:szCs w:val="22"/>
        </w:rPr>
        <w:t xml:space="preserve"> refresh </w:t>
      </w:r>
      <w:r w:rsidRPr="00052661">
        <w:rPr>
          <w:rFonts w:asciiTheme="minorHAnsi" w:hAnsiTheme="minorHAnsi"/>
          <w:sz w:val="22"/>
          <w:szCs w:val="22"/>
        </w:rPr>
        <w:t>ABARES external communication to provide information in more user-friendly, engaging and contemporary format</w:t>
      </w:r>
      <w:r w:rsidR="00F870BB">
        <w:rPr>
          <w:rFonts w:asciiTheme="minorHAnsi" w:hAnsiTheme="minorHAnsi"/>
          <w:sz w:val="22"/>
          <w:szCs w:val="22"/>
        </w:rPr>
        <w:t>s</w:t>
      </w:r>
      <w:r w:rsidRPr="00052661">
        <w:rPr>
          <w:rFonts w:asciiTheme="minorHAnsi" w:hAnsiTheme="minorHAnsi"/>
          <w:sz w:val="22"/>
          <w:szCs w:val="22"/>
        </w:rPr>
        <w:t xml:space="preserve">, including website pages, publications, data </w:t>
      </w:r>
      <w:r w:rsidR="00F870BB">
        <w:rPr>
          <w:rFonts w:asciiTheme="minorHAnsi" w:hAnsiTheme="minorHAnsi"/>
          <w:sz w:val="22"/>
          <w:szCs w:val="22"/>
        </w:rPr>
        <w:t>releases and use of social media</w:t>
      </w:r>
      <w:r w:rsidR="006A1A6B">
        <w:rPr>
          <w:rFonts w:asciiTheme="minorHAnsi" w:hAnsiTheme="minorHAnsi"/>
          <w:sz w:val="22"/>
          <w:szCs w:val="22"/>
        </w:rPr>
        <w:t xml:space="preserve"> to</w:t>
      </w:r>
      <w:r w:rsidR="00F870BB">
        <w:rPr>
          <w:rFonts w:asciiTheme="minorHAnsi" w:hAnsiTheme="minorHAnsi"/>
          <w:sz w:val="22"/>
          <w:szCs w:val="22"/>
        </w:rPr>
        <w:t xml:space="preserve"> </w:t>
      </w:r>
      <w:r w:rsidRPr="00052661">
        <w:rPr>
          <w:rFonts w:asciiTheme="minorHAnsi" w:hAnsiTheme="minorHAnsi"/>
          <w:sz w:val="22"/>
          <w:szCs w:val="22"/>
        </w:rPr>
        <w:t>improve awareness of ABARES data and services</w:t>
      </w:r>
      <w:r w:rsidR="00F870BB">
        <w:rPr>
          <w:rFonts w:asciiTheme="minorHAnsi" w:hAnsiTheme="minorHAnsi"/>
          <w:sz w:val="22"/>
          <w:szCs w:val="22"/>
        </w:rPr>
        <w:t xml:space="preserve"> </w:t>
      </w:r>
      <w:r w:rsidRPr="00052661">
        <w:rPr>
          <w:rFonts w:asciiTheme="minorHAnsi" w:hAnsiTheme="minorHAnsi"/>
          <w:sz w:val="22"/>
          <w:szCs w:val="22"/>
        </w:rPr>
        <w:t xml:space="preserve">by </w:t>
      </w:r>
      <w:r w:rsidR="00F870BB">
        <w:rPr>
          <w:rFonts w:asciiTheme="minorHAnsi" w:hAnsiTheme="minorHAnsi"/>
          <w:sz w:val="22"/>
          <w:szCs w:val="22"/>
        </w:rPr>
        <w:t>stakeholders.</w:t>
      </w:r>
    </w:p>
    <w:p w:rsidR="00F40D28" w:rsidRPr="00057679" w:rsidRDefault="00C11CC8" w:rsidP="00494D22">
      <w:pPr>
        <w:pStyle w:val="Heading4"/>
      </w:pPr>
      <w:r w:rsidRPr="00057679">
        <w:t>Outlook conferences</w:t>
      </w:r>
    </w:p>
    <w:p w:rsidR="00F40D28" w:rsidRPr="00057679" w:rsidRDefault="00C11CC8">
      <w:pPr>
        <w:rPr>
          <w:rFonts w:asciiTheme="minorHAnsi" w:hAnsiTheme="minorHAnsi"/>
          <w:sz w:val="22"/>
          <w:szCs w:val="22"/>
        </w:rPr>
      </w:pPr>
      <w:r w:rsidRPr="00057679">
        <w:rPr>
          <w:rFonts w:asciiTheme="minorHAnsi" w:hAnsiTheme="minorHAnsi"/>
          <w:sz w:val="22"/>
          <w:szCs w:val="22"/>
        </w:rPr>
        <w:t>ABARES will host its national O</w:t>
      </w:r>
      <w:r w:rsidR="003F1612" w:rsidRPr="00057679">
        <w:rPr>
          <w:rFonts w:asciiTheme="minorHAnsi" w:hAnsiTheme="minorHAnsi"/>
          <w:sz w:val="22"/>
          <w:szCs w:val="22"/>
        </w:rPr>
        <w:t>utlo</w:t>
      </w:r>
      <w:r w:rsidR="00057679" w:rsidRPr="00057679">
        <w:rPr>
          <w:rFonts w:asciiTheme="minorHAnsi" w:hAnsiTheme="minorHAnsi"/>
          <w:sz w:val="22"/>
          <w:szCs w:val="22"/>
        </w:rPr>
        <w:t>ok conference in Canberra on 7</w:t>
      </w:r>
      <w:r w:rsidR="00724A5D">
        <w:rPr>
          <w:rFonts w:asciiTheme="minorHAnsi" w:hAnsiTheme="minorHAnsi"/>
          <w:sz w:val="22"/>
          <w:szCs w:val="22"/>
        </w:rPr>
        <w:t>–</w:t>
      </w:r>
      <w:r w:rsidR="00057679" w:rsidRPr="00057679">
        <w:rPr>
          <w:rFonts w:asciiTheme="minorHAnsi" w:hAnsiTheme="minorHAnsi"/>
          <w:sz w:val="22"/>
          <w:szCs w:val="22"/>
        </w:rPr>
        <w:t>8</w:t>
      </w:r>
      <w:r w:rsidRPr="00057679">
        <w:rPr>
          <w:rFonts w:asciiTheme="minorHAnsi" w:hAnsiTheme="minorHAnsi"/>
          <w:sz w:val="22"/>
          <w:szCs w:val="22"/>
        </w:rPr>
        <w:t xml:space="preserve"> March 201</w:t>
      </w:r>
      <w:r w:rsidR="00057679" w:rsidRPr="00057679">
        <w:rPr>
          <w:rFonts w:asciiTheme="minorHAnsi" w:hAnsiTheme="minorHAnsi"/>
          <w:sz w:val="22"/>
          <w:szCs w:val="22"/>
        </w:rPr>
        <w:t>7</w:t>
      </w:r>
      <w:r w:rsidRPr="00057679">
        <w:rPr>
          <w:rFonts w:asciiTheme="minorHAnsi" w:hAnsiTheme="minorHAnsi"/>
          <w:sz w:val="22"/>
          <w:szCs w:val="22"/>
        </w:rPr>
        <w:t>. The conference provides an annual forum for discussion of key domestic and global issues affecting Australia’s agriculture, fisheries and forestry industries.</w:t>
      </w:r>
    </w:p>
    <w:p w:rsidR="00F40D28" w:rsidRPr="00057679" w:rsidRDefault="00057679">
      <w:pPr>
        <w:rPr>
          <w:rFonts w:asciiTheme="minorHAnsi" w:hAnsiTheme="minorHAnsi"/>
          <w:sz w:val="22"/>
          <w:szCs w:val="22"/>
        </w:rPr>
      </w:pPr>
      <w:r w:rsidRPr="00057679">
        <w:rPr>
          <w:rFonts w:asciiTheme="minorHAnsi" w:hAnsiTheme="minorHAnsi"/>
          <w:sz w:val="22"/>
          <w:szCs w:val="22"/>
        </w:rPr>
        <w:t>Outlook 2017 will focus on innovation in the agricultur</w:t>
      </w:r>
      <w:r w:rsidR="00F870BB">
        <w:rPr>
          <w:rFonts w:asciiTheme="minorHAnsi" w:hAnsiTheme="minorHAnsi"/>
          <w:sz w:val="22"/>
          <w:szCs w:val="22"/>
        </w:rPr>
        <w:t>e</w:t>
      </w:r>
      <w:r w:rsidRPr="00057679">
        <w:rPr>
          <w:rFonts w:asciiTheme="minorHAnsi" w:hAnsiTheme="minorHAnsi"/>
          <w:sz w:val="22"/>
          <w:szCs w:val="22"/>
        </w:rPr>
        <w:t xml:space="preserve"> sector</w:t>
      </w:r>
      <w:r w:rsidR="00F870BB">
        <w:rPr>
          <w:rFonts w:asciiTheme="minorHAnsi" w:hAnsiTheme="minorHAnsi"/>
          <w:sz w:val="22"/>
          <w:szCs w:val="22"/>
        </w:rPr>
        <w:t xml:space="preserve">. </w:t>
      </w:r>
      <w:r w:rsidR="00C11CC8" w:rsidRPr="00057679">
        <w:rPr>
          <w:rFonts w:asciiTheme="minorHAnsi" w:hAnsiTheme="minorHAnsi"/>
          <w:sz w:val="22"/>
          <w:szCs w:val="22"/>
        </w:rPr>
        <w:t xml:space="preserve">The conference aims to influence debate on significant issues by providing a sound, objective, evidence base through dissemination of ABARES commodity forecasts and relevant research and analysis. It is supported by sponsorship from the public and private sectors and features </w:t>
      </w:r>
      <w:r w:rsidR="003F1612" w:rsidRPr="00057679">
        <w:rPr>
          <w:rFonts w:asciiTheme="minorHAnsi" w:hAnsiTheme="minorHAnsi"/>
          <w:sz w:val="22"/>
          <w:szCs w:val="22"/>
        </w:rPr>
        <w:t>leading</w:t>
      </w:r>
      <w:r w:rsidR="00C11CC8" w:rsidRPr="00057679">
        <w:rPr>
          <w:rFonts w:asciiTheme="minorHAnsi" w:hAnsiTheme="minorHAnsi"/>
          <w:sz w:val="22"/>
          <w:szCs w:val="22"/>
        </w:rPr>
        <w:t xml:space="preserve"> national and international speakers from government and the private sector who address an audience of </w:t>
      </w:r>
      <w:r w:rsidR="003F1612" w:rsidRPr="00057679">
        <w:rPr>
          <w:rFonts w:asciiTheme="minorHAnsi" w:hAnsiTheme="minorHAnsi"/>
          <w:sz w:val="22"/>
          <w:szCs w:val="22"/>
        </w:rPr>
        <w:t xml:space="preserve">more than 700 </w:t>
      </w:r>
      <w:r w:rsidR="00114B67" w:rsidRPr="00057679">
        <w:rPr>
          <w:rFonts w:asciiTheme="minorHAnsi" w:hAnsiTheme="minorHAnsi"/>
          <w:sz w:val="22"/>
          <w:szCs w:val="22"/>
        </w:rPr>
        <w:t>delegates.</w:t>
      </w:r>
    </w:p>
    <w:p w:rsidR="00597797" w:rsidRPr="00057679" w:rsidRDefault="00597797" w:rsidP="00597797">
      <w:r w:rsidRPr="00057679">
        <w:rPr>
          <w:rFonts w:asciiTheme="minorHAnsi" w:hAnsiTheme="minorHAnsi"/>
          <w:sz w:val="22"/>
          <w:szCs w:val="22"/>
        </w:rPr>
        <w:t xml:space="preserve">To reach a broader audience speakers’ presentations are published </w:t>
      </w:r>
      <w:r w:rsidR="00F870BB">
        <w:rPr>
          <w:rFonts w:asciiTheme="minorHAnsi" w:hAnsiTheme="minorHAnsi"/>
          <w:sz w:val="22"/>
          <w:szCs w:val="22"/>
        </w:rPr>
        <w:t xml:space="preserve">after the conference </w:t>
      </w:r>
      <w:r w:rsidRPr="00057679">
        <w:rPr>
          <w:rFonts w:asciiTheme="minorHAnsi" w:hAnsiTheme="minorHAnsi"/>
          <w:sz w:val="22"/>
          <w:szCs w:val="22"/>
        </w:rPr>
        <w:t>on the ABARES website [www.agriculture.gov.au/abares/outlook]</w:t>
      </w:r>
      <w:r w:rsidR="00F870BB">
        <w:rPr>
          <w:rFonts w:asciiTheme="minorHAnsi" w:hAnsiTheme="minorHAnsi"/>
          <w:sz w:val="22"/>
          <w:szCs w:val="22"/>
        </w:rPr>
        <w:t>. In addition</w:t>
      </w:r>
      <w:r w:rsidRPr="00057679">
        <w:rPr>
          <w:rFonts w:asciiTheme="minorHAnsi" w:hAnsiTheme="minorHAnsi"/>
          <w:sz w:val="22"/>
          <w:szCs w:val="22"/>
        </w:rPr>
        <w:t xml:space="preserve"> all Outlook conference sessions are filmed and made available one month later on the </w:t>
      </w:r>
      <w:r w:rsidRPr="00057679">
        <w:rPr>
          <w:rFonts w:asciiTheme="minorHAnsi" w:hAnsiTheme="minorHAnsi"/>
          <w:sz w:val="22"/>
          <w:szCs w:val="22"/>
          <w:u w:val="single"/>
        </w:rPr>
        <w:t>ABARES YouTube channel</w:t>
      </w:r>
      <w:r w:rsidRPr="00057679">
        <w:rPr>
          <w:u w:val="single"/>
        </w:rPr>
        <w:t>.</w:t>
      </w:r>
    </w:p>
    <w:p w:rsidR="00F40D28" w:rsidRPr="00057679" w:rsidRDefault="00C11CC8">
      <w:pPr>
        <w:rPr>
          <w:rFonts w:asciiTheme="minorHAnsi" w:hAnsiTheme="minorHAnsi"/>
          <w:sz w:val="22"/>
          <w:szCs w:val="22"/>
        </w:rPr>
      </w:pPr>
      <w:r w:rsidRPr="00057679">
        <w:rPr>
          <w:rFonts w:asciiTheme="minorHAnsi" w:hAnsiTheme="minorHAnsi"/>
          <w:sz w:val="22"/>
          <w:szCs w:val="22"/>
        </w:rPr>
        <w:t xml:space="preserve">ABARES follows the national Outlook conference with </w:t>
      </w:r>
      <w:r w:rsidR="00AF6B99" w:rsidRPr="00057679">
        <w:rPr>
          <w:rFonts w:asciiTheme="minorHAnsi" w:hAnsiTheme="minorHAnsi"/>
          <w:sz w:val="22"/>
          <w:szCs w:val="22"/>
        </w:rPr>
        <w:t>a</w:t>
      </w:r>
      <w:r w:rsidRPr="00057679">
        <w:rPr>
          <w:rFonts w:asciiTheme="minorHAnsi" w:hAnsiTheme="minorHAnsi"/>
          <w:sz w:val="22"/>
          <w:szCs w:val="22"/>
        </w:rPr>
        <w:t xml:space="preserve"> series of Regional Outlook conferences in each state and the Northern Territory to present its commodity forecasts and latest research, with information tailored to the region.</w:t>
      </w:r>
    </w:p>
    <w:p w:rsidR="00F40D28" w:rsidRPr="00057679" w:rsidRDefault="00C11CC8">
      <w:pPr>
        <w:rPr>
          <w:rFonts w:asciiTheme="minorHAnsi" w:hAnsiTheme="minorHAnsi"/>
          <w:sz w:val="22"/>
          <w:szCs w:val="22"/>
        </w:rPr>
      </w:pPr>
      <w:r w:rsidRPr="00057679">
        <w:rPr>
          <w:rFonts w:asciiTheme="minorHAnsi" w:hAnsiTheme="minorHAnsi"/>
          <w:sz w:val="22"/>
          <w:szCs w:val="22"/>
        </w:rPr>
        <w:t>The Regional Outlook conference</w:t>
      </w:r>
      <w:r w:rsidR="00597797" w:rsidRPr="00057679">
        <w:rPr>
          <w:rFonts w:asciiTheme="minorHAnsi" w:hAnsiTheme="minorHAnsi"/>
          <w:sz w:val="22"/>
          <w:szCs w:val="22"/>
        </w:rPr>
        <w:t xml:space="preserve">s engage regional Australians </w:t>
      </w:r>
      <w:r w:rsidR="009C38FE" w:rsidRPr="00057679">
        <w:rPr>
          <w:rFonts w:asciiTheme="minorHAnsi" w:hAnsiTheme="minorHAnsi"/>
          <w:sz w:val="22"/>
          <w:szCs w:val="22"/>
        </w:rPr>
        <w:t>in</w:t>
      </w:r>
      <w:r w:rsidRPr="00057679">
        <w:rPr>
          <w:rFonts w:asciiTheme="minorHAnsi" w:hAnsiTheme="minorHAnsi"/>
          <w:sz w:val="22"/>
          <w:szCs w:val="22"/>
        </w:rPr>
        <w:t xml:space="preserve"> discussions of issues, opportunities and trends affecting Australia’s agriculture, fisheries and forestry industries, including natural resources, climate and trade. In developing the conference programs, ABARES </w:t>
      </w:r>
      <w:r w:rsidR="009C38FE" w:rsidRPr="00057679">
        <w:rPr>
          <w:rFonts w:asciiTheme="minorHAnsi" w:hAnsiTheme="minorHAnsi"/>
          <w:sz w:val="22"/>
          <w:szCs w:val="22"/>
        </w:rPr>
        <w:t>collaborates</w:t>
      </w:r>
      <w:r w:rsidRPr="00057679">
        <w:rPr>
          <w:rFonts w:asciiTheme="minorHAnsi" w:hAnsiTheme="minorHAnsi"/>
          <w:sz w:val="22"/>
          <w:szCs w:val="22"/>
        </w:rPr>
        <w:t xml:space="preserve"> with state</w:t>
      </w:r>
      <w:r w:rsidR="00BC4B09">
        <w:rPr>
          <w:rFonts w:asciiTheme="minorHAnsi" w:hAnsiTheme="minorHAnsi"/>
          <w:sz w:val="22"/>
          <w:szCs w:val="22"/>
        </w:rPr>
        <w:t xml:space="preserve"> and </w:t>
      </w:r>
      <w:r w:rsidRPr="00057679">
        <w:rPr>
          <w:rFonts w:asciiTheme="minorHAnsi" w:hAnsiTheme="minorHAnsi"/>
          <w:sz w:val="22"/>
          <w:szCs w:val="22"/>
        </w:rPr>
        <w:t>territory departments of agriculture, regional development agencies, major banks and organisations such as ABC Rural, Nuffield Australia and the Bureau of Meteorology.</w:t>
      </w:r>
    </w:p>
    <w:p w:rsidR="00F40D28" w:rsidRPr="00057679" w:rsidRDefault="00C11CC8">
      <w:pPr>
        <w:rPr>
          <w:rFonts w:asciiTheme="minorHAnsi" w:hAnsiTheme="minorHAnsi"/>
          <w:sz w:val="22"/>
          <w:szCs w:val="22"/>
        </w:rPr>
      </w:pPr>
      <w:r w:rsidRPr="00057679">
        <w:rPr>
          <w:rFonts w:asciiTheme="minorHAnsi" w:hAnsiTheme="minorHAnsi"/>
          <w:sz w:val="22"/>
          <w:szCs w:val="22"/>
        </w:rPr>
        <w:t xml:space="preserve">The Outlook conference series attracts strong coverage from regional and metropolitan media throughout the year. </w:t>
      </w:r>
    </w:p>
    <w:p w:rsidR="00F40D28" w:rsidRPr="00057679" w:rsidRDefault="00114B67" w:rsidP="00494D22">
      <w:pPr>
        <w:pStyle w:val="Heading4"/>
      </w:pPr>
      <w:r w:rsidRPr="00057679">
        <w:t>Science and Innovation Awards</w:t>
      </w:r>
    </w:p>
    <w:p w:rsidR="00F40D28" w:rsidRPr="00057679" w:rsidRDefault="00C11CC8">
      <w:pPr>
        <w:rPr>
          <w:rFonts w:asciiTheme="minorHAnsi" w:hAnsiTheme="minorHAnsi"/>
          <w:sz w:val="22"/>
          <w:szCs w:val="22"/>
        </w:rPr>
      </w:pPr>
      <w:r w:rsidRPr="00057679">
        <w:rPr>
          <w:rFonts w:asciiTheme="minorHAnsi" w:hAnsiTheme="minorHAnsi"/>
          <w:sz w:val="22"/>
          <w:szCs w:val="22"/>
        </w:rPr>
        <w:t xml:space="preserve">ABARES coordinates the annual Science and Innovation Awards for Young People in Agriculture, Fisheries and Forestry, which provide grants for </w:t>
      </w:r>
      <w:r w:rsidR="00354B61" w:rsidRPr="00057679">
        <w:rPr>
          <w:rFonts w:asciiTheme="minorHAnsi" w:hAnsiTheme="minorHAnsi"/>
          <w:sz w:val="22"/>
          <w:szCs w:val="22"/>
        </w:rPr>
        <w:t>young Australians 18</w:t>
      </w:r>
      <w:r w:rsidR="009E4198">
        <w:rPr>
          <w:rFonts w:asciiTheme="minorHAnsi" w:hAnsiTheme="minorHAnsi"/>
          <w:sz w:val="22"/>
          <w:szCs w:val="22"/>
        </w:rPr>
        <w:t>–</w:t>
      </w:r>
      <w:r w:rsidR="00354B61" w:rsidRPr="00057679">
        <w:rPr>
          <w:rFonts w:asciiTheme="minorHAnsi" w:hAnsiTheme="minorHAnsi"/>
          <w:sz w:val="22"/>
          <w:szCs w:val="22"/>
        </w:rPr>
        <w:t xml:space="preserve">35 years to undertake innovative </w:t>
      </w:r>
      <w:r w:rsidRPr="00057679">
        <w:rPr>
          <w:rFonts w:asciiTheme="minorHAnsi" w:hAnsiTheme="minorHAnsi"/>
          <w:sz w:val="22"/>
          <w:szCs w:val="22"/>
        </w:rPr>
        <w:t xml:space="preserve">projects that will contribute to the success and sustainability of Australia’s agriculture, fisheries </w:t>
      </w:r>
      <w:r w:rsidR="00F870BB">
        <w:rPr>
          <w:rFonts w:asciiTheme="minorHAnsi" w:hAnsiTheme="minorHAnsi"/>
          <w:sz w:val="22"/>
          <w:szCs w:val="22"/>
        </w:rPr>
        <w:t>and</w:t>
      </w:r>
      <w:r w:rsidRPr="00057679">
        <w:rPr>
          <w:rFonts w:asciiTheme="minorHAnsi" w:hAnsiTheme="minorHAnsi"/>
          <w:sz w:val="22"/>
          <w:szCs w:val="22"/>
        </w:rPr>
        <w:t xml:space="preserve"> forestry industries, including food and sustainable natural resource management.</w:t>
      </w:r>
    </w:p>
    <w:p w:rsidR="00354B61" w:rsidRPr="00057679" w:rsidRDefault="00354B61">
      <w:pPr>
        <w:rPr>
          <w:rFonts w:asciiTheme="minorHAnsi" w:hAnsiTheme="minorHAnsi"/>
          <w:sz w:val="22"/>
          <w:szCs w:val="22"/>
        </w:rPr>
      </w:pPr>
      <w:r w:rsidRPr="00057679">
        <w:rPr>
          <w:rFonts w:asciiTheme="minorHAnsi" w:hAnsiTheme="minorHAnsi"/>
          <w:sz w:val="22"/>
          <w:szCs w:val="22"/>
        </w:rPr>
        <w:t>The A</w:t>
      </w:r>
      <w:r w:rsidR="00C11CC8" w:rsidRPr="00057679">
        <w:rPr>
          <w:rFonts w:asciiTheme="minorHAnsi" w:hAnsiTheme="minorHAnsi"/>
          <w:sz w:val="22"/>
          <w:szCs w:val="22"/>
        </w:rPr>
        <w:t xml:space="preserve">wards aim to recognise young Australians’ research and innovation relevant to rural industries </w:t>
      </w:r>
      <w:r w:rsidRPr="00057679">
        <w:rPr>
          <w:rFonts w:asciiTheme="minorHAnsi" w:hAnsiTheme="minorHAnsi"/>
          <w:sz w:val="22"/>
          <w:szCs w:val="22"/>
        </w:rPr>
        <w:t xml:space="preserve">and provide opportunities for Award recipients to enhance their career, gain valuable research skills and experience and create professional networks across the industry. </w:t>
      </w:r>
    </w:p>
    <w:p w:rsidR="00F40D28" w:rsidRDefault="00C11CC8">
      <w:pPr>
        <w:rPr>
          <w:rFonts w:asciiTheme="minorHAnsi" w:hAnsiTheme="minorHAnsi"/>
          <w:sz w:val="22"/>
          <w:szCs w:val="22"/>
        </w:rPr>
      </w:pPr>
      <w:r w:rsidRPr="00057679">
        <w:rPr>
          <w:rFonts w:asciiTheme="minorHAnsi" w:hAnsiTheme="minorHAnsi"/>
          <w:sz w:val="22"/>
          <w:szCs w:val="22"/>
        </w:rPr>
        <w:lastRenderedPageBreak/>
        <w:t>Applications for the 201</w:t>
      </w:r>
      <w:r w:rsidR="00057679" w:rsidRPr="00057679">
        <w:rPr>
          <w:rFonts w:asciiTheme="minorHAnsi" w:hAnsiTheme="minorHAnsi"/>
          <w:sz w:val="22"/>
          <w:szCs w:val="22"/>
        </w:rPr>
        <w:t>7</w:t>
      </w:r>
      <w:r w:rsidR="00354B61" w:rsidRPr="00057679">
        <w:rPr>
          <w:rFonts w:asciiTheme="minorHAnsi" w:hAnsiTheme="minorHAnsi"/>
          <w:sz w:val="22"/>
          <w:szCs w:val="22"/>
        </w:rPr>
        <w:t xml:space="preserve"> a</w:t>
      </w:r>
      <w:r w:rsidR="00057679" w:rsidRPr="00057679">
        <w:rPr>
          <w:rFonts w:asciiTheme="minorHAnsi" w:hAnsiTheme="minorHAnsi"/>
          <w:sz w:val="22"/>
          <w:szCs w:val="22"/>
        </w:rPr>
        <w:t>wards close in late 2016</w:t>
      </w:r>
      <w:r w:rsidRPr="00057679">
        <w:rPr>
          <w:rFonts w:asciiTheme="minorHAnsi" w:hAnsiTheme="minorHAnsi"/>
          <w:sz w:val="22"/>
          <w:szCs w:val="22"/>
        </w:rPr>
        <w:t xml:space="preserve"> and the winne</w:t>
      </w:r>
      <w:r w:rsidR="00812C12">
        <w:rPr>
          <w:rFonts w:asciiTheme="minorHAnsi" w:hAnsiTheme="minorHAnsi"/>
          <w:sz w:val="22"/>
          <w:szCs w:val="22"/>
        </w:rPr>
        <w:t>rs will be announced at ABARES n</w:t>
      </w:r>
      <w:r w:rsidRPr="00057679">
        <w:rPr>
          <w:rFonts w:asciiTheme="minorHAnsi" w:hAnsiTheme="minorHAnsi"/>
          <w:sz w:val="22"/>
          <w:szCs w:val="22"/>
        </w:rPr>
        <w:t>ational Outlook</w:t>
      </w:r>
      <w:r w:rsidR="00057679" w:rsidRPr="00057679">
        <w:rPr>
          <w:rFonts w:asciiTheme="minorHAnsi" w:hAnsiTheme="minorHAnsi"/>
          <w:sz w:val="22"/>
          <w:szCs w:val="22"/>
        </w:rPr>
        <w:t xml:space="preserve"> 2017</w:t>
      </w:r>
      <w:r w:rsidR="00354B61" w:rsidRPr="00057679">
        <w:rPr>
          <w:rFonts w:asciiTheme="minorHAnsi" w:hAnsiTheme="minorHAnsi"/>
          <w:sz w:val="22"/>
          <w:szCs w:val="22"/>
        </w:rPr>
        <w:t xml:space="preserve"> conference</w:t>
      </w:r>
      <w:r w:rsidR="009C38FE" w:rsidRPr="00057679">
        <w:rPr>
          <w:rFonts w:asciiTheme="minorHAnsi" w:hAnsiTheme="minorHAnsi"/>
          <w:sz w:val="22"/>
          <w:szCs w:val="22"/>
        </w:rPr>
        <w:t>.</w:t>
      </w:r>
      <w:bookmarkStart w:id="30" w:name="_GoBack"/>
      <w:bookmarkEnd w:id="30"/>
    </w:p>
    <w:p w:rsidR="00F40D28" w:rsidRPr="00687F8F" w:rsidRDefault="00C11CC8" w:rsidP="00494D22">
      <w:pPr>
        <w:pStyle w:val="Heading2"/>
      </w:pPr>
      <w:bookmarkStart w:id="31" w:name="_Toc339268177"/>
      <w:bookmarkStart w:id="32" w:name="_Toc341941331"/>
      <w:bookmarkStart w:id="33" w:name="_Toc342318393"/>
      <w:bookmarkStart w:id="34" w:name="_Toc428890650"/>
      <w:bookmarkStart w:id="35" w:name="_Toc465156774"/>
      <w:bookmarkEnd w:id="13"/>
      <w:bookmarkEnd w:id="14"/>
      <w:bookmarkEnd w:id="15"/>
      <w:r w:rsidRPr="00687F8F">
        <w:lastRenderedPageBreak/>
        <w:t xml:space="preserve">Our </w:t>
      </w:r>
      <w:bookmarkEnd w:id="31"/>
      <w:bookmarkEnd w:id="32"/>
      <w:bookmarkEnd w:id="33"/>
      <w:r w:rsidRPr="00687F8F">
        <w:t>organisation</w:t>
      </w:r>
      <w:bookmarkEnd w:id="34"/>
      <w:bookmarkEnd w:id="35"/>
    </w:p>
    <w:p w:rsidR="00F40D28" w:rsidRPr="009C022A" w:rsidRDefault="00C11CC8" w:rsidP="00494D22">
      <w:pPr>
        <w:pStyle w:val="Heading3"/>
        <w:rPr>
          <w:color w:val="auto"/>
        </w:rPr>
      </w:pPr>
      <w:bookmarkStart w:id="36" w:name="_Toc428890651"/>
      <w:bookmarkStart w:id="37" w:name="_Toc465156775"/>
      <w:r w:rsidRPr="009C022A">
        <w:rPr>
          <w:color w:val="auto"/>
        </w:rPr>
        <w:t>Structure and people</w:t>
      </w:r>
      <w:bookmarkEnd w:id="36"/>
      <w:bookmarkEnd w:id="37"/>
    </w:p>
    <w:p w:rsidR="00F40D28" w:rsidRPr="009C022A" w:rsidRDefault="00C11CC8">
      <w:pPr>
        <w:rPr>
          <w:rFonts w:asciiTheme="minorHAnsi" w:hAnsiTheme="minorHAnsi"/>
          <w:sz w:val="22"/>
          <w:szCs w:val="22"/>
        </w:rPr>
      </w:pPr>
      <w:r w:rsidRPr="009C022A">
        <w:rPr>
          <w:rFonts w:asciiTheme="minorHAnsi" w:hAnsiTheme="minorHAnsi"/>
          <w:sz w:val="22"/>
          <w:szCs w:val="22"/>
        </w:rPr>
        <w:t xml:space="preserve">ABARES is structured into </w:t>
      </w:r>
      <w:r w:rsidR="009E4198">
        <w:rPr>
          <w:rFonts w:asciiTheme="minorHAnsi" w:hAnsiTheme="minorHAnsi"/>
          <w:sz w:val="22"/>
          <w:szCs w:val="22"/>
        </w:rPr>
        <w:t>five</w:t>
      </w:r>
      <w:r w:rsidR="009E4198" w:rsidRPr="009C022A">
        <w:rPr>
          <w:rFonts w:asciiTheme="minorHAnsi" w:hAnsiTheme="minorHAnsi"/>
          <w:sz w:val="22"/>
          <w:szCs w:val="22"/>
        </w:rPr>
        <w:t xml:space="preserve"> </w:t>
      </w:r>
      <w:r w:rsidRPr="009C022A">
        <w:rPr>
          <w:rFonts w:asciiTheme="minorHAnsi" w:hAnsiTheme="minorHAnsi"/>
          <w:sz w:val="22"/>
          <w:szCs w:val="22"/>
        </w:rPr>
        <w:t xml:space="preserve">branches: </w:t>
      </w:r>
    </w:p>
    <w:p w:rsidR="00F40D28" w:rsidRPr="009C022A" w:rsidRDefault="00C11CC8" w:rsidP="00114B67">
      <w:pPr>
        <w:pStyle w:val="ListBullet"/>
      </w:pPr>
      <w:r w:rsidRPr="009C022A">
        <w:t>Agricultural Commodities and Trade</w:t>
      </w:r>
    </w:p>
    <w:p w:rsidR="00F40D28" w:rsidRPr="009C022A" w:rsidRDefault="009E4198" w:rsidP="00114B67">
      <w:pPr>
        <w:pStyle w:val="ListBullet"/>
      </w:pPr>
      <w:r>
        <w:t xml:space="preserve">Agricultural Productivity and </w:t>
      </w:r>
      <w:r w:rsidR="00C11CC8" w:rsidRPr="009C022A">
        <w:t>Farm Analysis</w:t>
      </w:r>
    </w:p>
    <w:p w:rsidR="00F40D28" w:rsidRPr="009C022A" w:rsidRDefault="00C11CC8" w:rsidP="00114B67">
      <w:pPr>
        <w:pStyle w:val="ListBullet"/>
      </w:pPr>
      <w:r w:rsidRPr="009C022A">
        <w:t xml:space="preserve">Fisheries, Forestry </w:t>
      </w:r>
      <w:r w:rsidR="00052661">
        <w:t>and Quantitative Sciences</w:t>
      </w:r>
    </w:p>
    <w:p w:rsidR="00F40D28" w:rsidRPr="009C022A" w:rsidRDefault="00C11CC8" w:rsidP="00114B67">
      <w:pPr>
        <w:pStyle w:val="ListBullet"/>
      </w:pPr>
      <w:r w:rsidRPr="009C022A">
        <w:t>Portfolio Strategies</w:t>
      </w:r>
      <w:r w:rsidR="00052661">
        <w:t xml:space="preserve"> and </w:t>
      </w:r>
      <w:r w:rsidR="009E4198">
        <w:t>Biosecurity</w:t>
      </w:r>
    </w:p>
    <w:p w:rsidR="00BC4B09" w:rsidRPr="009C022A" w:rsidRDefault="00BC4B09" w:rsidP="00114B67">
      <w:pPr>
        <w:pStyle w:val="ListBullet"/>
      </w:pPr>
      <w:r w:rsidRPr="009C022A">
        <w:t xml:space="preserve">Information Management </w:t>
      </w:r>
      <w:r w:rsidR="001B7A14">
        <w:t>(</w:t>
      </w:r>
      <w:r w:rsidRPr="009C022A">
        <w:t>Public Data</w:t>
      </w:r>
      <w:r w:rsidR="001B7A14">
        <w:t>)</w:t>
      </w:r>
    </w:p>
    <w:p w:rsidR="00F40D28" w:rsidRPr="009C022A" w:rsidRDefault="00C11CC8">
      <w:pPr>
        <w:rPr>
          <w:rFonts w:asciiTheme="minorHAnsi" w:hAnsiTheme="minorHAnsi"/>
          <w:sz w:val="22"/>
          <w:szCs w:val="22"/>
        </w:rPr>
      </w:pPr>
      <w:r w:rsidRPr="009C022A">
        <w:rPr>
          <w:rFonts w:asciiTheme="minorHAnsi" w:hAnsiTheme="minorHAnsi"/>
          <w:sz w:val="22"/>
          <w:szCs w:val="22"/>
        </w:rPr>
        <w:t xml:space="preserve">Under the leadership of </w:t>
      </w:r>
      <w:r w:rsidR="009C38FE" w:rsidRPr="009C022A">
        <w:rPr>
          <w:rFonts w:asciiTheme="minorHAnsi" w:hAnsiTheme="minorHAnsi"/>
          <w:sz w:val="22"/>
          <w:szCs w:val="22"/>
        </w:rPr>
        <w:t xml:space="preserve">the </w:t>
      </w:r>
      <w:r w:rsidRPr="009C022A">
        <w:rPr>
          <w:rFonts w:asciiTheme="minorHAnsi" w:hAnsiTheme="minorHAnsi"/>
          <w:sz w:val="22"/>
          <w:szCs w:val="22"/>
        </w:rPr>
        <w:t xml:space="preserve">Executive Director, the ABARES team is managed by </w:t>
      </w:r>
      <w:r w:rsidR="00BC4B09" w:rsidRPr="009C022A">
        <w:rPr>
          <w:rFonts w:asciiTheme="minorHAnsi" w:hAnsiTheme="minorHAnsi"/>
          <w:sz w:val="22"/>
          <w:szCs w:val="22"/>
        </w:rPr>
        <w:t xml:space="preserve">five </w:t>
      </w:r>
      <w:r w:rsidRPr="009C022A">
        <w:rPr>
          <w:rFonts w:asciiTheme="minorHAnsi" w:hAnsiTheme="minorHAnsi"/>
          <w:sz w:val="22"/>
          <w:szCs w:val="22"/>
        </w:rPr>
        <w:t xml:space="preserve">assistant secretaries. The assistant secretaries work with professional staff who have skills, qualifications and expertise across a range of economic, science, social science and policy disciplines. These include skills in scientific and economic analysis, economic modelling, data collection and statistical analysis, risk assessment and management, geographical mapping (particularly in areas related to natural resource management), commodity and market analysis, integrated </w:t>
      </w:r>
      <w:r w:rsidR="009C38FE" w:rsidRPr="009C022A">
        <w:rPr>
          <w:rFonts w:asciiTheme="minorHAnsi" w:hAnsiTheme="minorHAnsi"/>
          <w:sz w:val="22"/>
          <w:szCs w:val="22"/>
        </w:rPr>
        <w:t>economic and scientific</w:t>
      </w:r>
      <w:r w:rsidRPr="009C022A">
        <w:rPr>
          <w:rFonts w:asciiTheme="minorHAnsi" w:hAnsiTheme="minorHAnsi"/>
          <w:sz w:val="22"/>
          <w:szCs w:val="22"/>
        </w:rPr>
        <w:t xml:space="preserve"> analysis and policy development.</w:t>
      </w:r>
    </w:p>
    <w:p w:rsidR="00F40D28" w:rsidRPr="00687F8F" w:rsidRDefault="00C11CC8" w:rsidP="00494D22">
      <w:pPr>
        <w:pStyle w:val="Heading3"/>
        <w:rPr>
          <w:color w:val="auto"/>
        </w:rPr>
      </w:pPr>
      <w:bookmarkStart w:id="38" w:name="_Toc428890652"/>
      <w:bookmarkStart w:id="39" w:name="_Toc465156776"/>
      <w:r w:rsidRPr="00687F8F">
        <w:rPr>
          <w:color w:val="auto"/>
        </w:rPr>
        <w:t>Training and development</w:t>
      </w:r>
      <w:bookmarkEnd w:id="38"/>
      <w:bookmarkEnd w:id="39"/>
    </w:p>
    <w:p w:rsidR="00F40D28" w:rsidRPr="00687F8F" w:rsidRDefault="00C11CC8">
      <w:pPr>
        <w:rPr>
          <w:rFonts w:asciiTheme="minorHAnsi" w:hAnsiTheme="minorHAnsi"/>
          <w:sz w:val="22"/>
          <w:szCs w:val="22"/>
        </w:rPr>
      </w:pPr>
      <w:r w:rsidRPr="00687F8F">
        <w:rPr>
          <w:rFonts w:asciiTheme="minorHAnsi" w:hAnsiTheme="minorHAnsi"/>
          <w:sz w:val="22"/>
          <w:szCs w:val="22"/>
        </w:rPr>
        <w:t>ABARES provides a work environment that attracts, retains and develops professionally qualified staff.</w:t>
      </w:r>
    </w:p>
    <w:p w:rsidR="00F40D28" w:rsidRPr="00687F8F" w:rsidRDefault="00C11CC8">
      <w:pPr>
        <w:rPr>
          <w:rFonts w:asciiTheme="minorHAnsi" w:hAnsiTheme="minorHAnsi"/>
          <w:sz w:val="22"/>
          <w:szCs w:val="22"/>
        </w:rPr>
      </w:pPr>
      <w:r w:rsidRPr="00687F8F">
        <w:rPr>
          <w:rFonts w:asciiTheme="minorHAnsi" w:hAnsiTheme="minorHAnsi"/>
          <w:sz w:val="22"/>
          <w:szCs w:val="22"/>
        </w:rPr>
        <w:t>We support quality service delivery through a commitment to training and development embodied in the ABARES professional plan that includes:</w:t>
      </w:r>
    </w:p>
    <w:p w:rsidR="00F40D28" w:rsidRPr="00687F8F" w:rsidRDefault="00C11CC8" w:rsidP="00114B67">
      <w:pPr>
        <w:pStyle w:val="ListBullet"/>
      </w:pPr>
      <w:r w:rsidRPr="00687F8F">
        <w:t>providing staff with opportunities for lifelong learning through time and financial support for advanced university and related study</w:t>
      </w:r>
    </w:p>
    <w:p w:rsidR="00F40D28" w:rsidRPr="00687F8F" w:rsidRDefault="009E4198" w:rsidP="00114B67">
      <w:pPr>
        <w:pStyle w:val="ListBullet"/>
      </w:pPr>
      <w:r>
        <w:t xml:space="preserve">supporting </w:t>
      </w:r>
      <w:r w:rsidR="00C11CC8" w:rsidRPr="00687F8F">
        <w:t>attendance and participation at government, industry, professional discipline-related conferences</w:t>
      </w:r>
      <w:r w:rsidR="00F870BB">
        <w:t>, seminars</w:t>
      </w:r>
      <w:r w:rsidR="00C11CC8" w:rsidRPr="00687F8F">
        <w:t xml:space="preserve"> and forums</w:t>
      </w:r>
    </w:p>
    <w:p w:rsidR="00F40D28" w:rsidRPr="00687F8F" w:rsidRDefault="00C11CC8" w:rsidP="00114B67">
      <w:pPr>
        <w:pStyle w:val="ListBullet"/>
      </w:pPr>
      <w:proofErr w:type="gramStart"/>
      <w:r w:rsidRPr="00687F8F">
        <w:t>commit</w:t>
      </w:r>
      <w:r w:rsidR="009E4198">
        <w:t>ting</w:t>
      </w:r>
      <w:proofErr w:type="gramEnd"/>
      <w:r w:rsidRPr="00687F8F">
        <w:t xml:space="preserve"> to an annual graduate </w:t>
      </w:r>
      <w:r w:rsidR="00F870BB">
        <w:t xml:space="preserve">recruitment and development </w:t>
      </w:r>
      <w:r w:rsidRPr="00687F8F">
        <w:t xml:space="preserve">programme </w:t>
      </w:r>
      <w:r w:rsidR="00F870BB">
        <w:t>that develops the skills and capability of our more junior staff</w:t>
      </w:r>
      <w:r w:rsidRPr="00687F8F">
        <w:t>.</w:t>
      </w:r>
    </w:p>
    <w:p w:rsidR="00F40D28" w:rsidRPr="00645385" w:rsidRDefault="00C11CC8" w:rsidP="00494D22">
      <w:pPr>
        <w:pStyle w:val="Heading3"/>
        <w:rPr>
          <w:color w:val="auto"/>
        </w:rPr>
      </w:pPr>
      <w:bookmarkStart w:id="40" w:name="_Toc428890653"/>
      <w:bookmarkStart w:id="41" w:name="_Toc465156777"/>
      <w:r w:rsidRPr="00645385">
        <w:rPr>
          <w:color w:val="auto"/>
        </w:rPr>
        <w:t>Research engagement and support</w:t>
      </w:r>
      <w:bookmarkEnd w:id="40"/>
      <w:bookmarkEnd w:id="41"/>
    </w:p>
    <w:p w:rsidR="00F40D28" w:rsidRPr="00645385" w:rsidRDefault="00C11CC8">
      <w:pPr>
        <w:rPr>
          <w:rFonts w:asciiTheme="minorHAnsi" w:hAnsiTheme="minorHAnsi"/>
          <w:sz w:val="22"/>
          <w:szCs w:val="22"/>
        </w:rPr>
      </w:pPr>
      <w:r w:rsidRPr="00645385">
        <w:rPr>
          <w:rFonts w:asciiTheme="minorHAnsi" w:hAnsiTheme="minorHAnsi"/>
          <w:sz w:val="22"/>
          <w:szCs w:val="22"/>
        </w:rPr>
        <w:t>ABARES is committed to being a source of easily accessible quality public information, with its research shaping the public debate around issues affecting the agriculture, fisheries and forestry industries. In addition to making much of its research and data publicly accessible through its website, the national Outlook conference and annual series of Regional Outlook conferences provide an opportunity for ABARES and department staff to engage with key st</w:t>
      </w:r>
      <w:r w:rsidR="00114B67" w:rsidRPr="00645385">
        <w:rPr>
          <w:rFonts w:asciiTheme="minorHAnsi" w:hAnsiTheme="minorHAnsi"/>
          <w:sz w:val="22"/>
          <w:szCs w:val="22"/>
        </w:rPr>
        <w:t>akeholders.</w:t>
      </w:r>
    </w:p>
    <w:p w:rsidR="00F40D28" w:rsidRPr="00645385" w:rsidRDefault="00F870BB">
      <w:pPr>
        <w:rPr>
          <w:rFonts w:asciiTheme="minorHAnsi" w:hAnsiTheme="minorHAnsi"/>
          <w:sz w:val="22"/>
          <w:szCs w:val="22"/>
        </w:rPr>
      </w:pPr>
      <w:r>
        <w:rPr>
          <w:rFonts w:asciiTheme="minorHAnsi" w:hAnsiTheme="minorHAnsi"/>
          <w:sz w:val="22"/>
          <w:szCs w:val="22"/>
        </w:rPr>
        <w:t>ABARES</w:t>
      </w:r>
      <w:r w:rsidR="00C11CC8" w:rsidRPr="00645385">
        <w:rPr>
          <w:rFonts w:asciiTheme="minorHAnsi" w:hAnsiTheme="minorHAnsi"/>
          <w:sz w:val="22"/>
          <w:szCs w:val="22"/>
        </w:rPr>
        <w:t xml:space="preserve"> will also continue to support the department in 201</w:t>
      </w:r>
      <w:r w:rsidR="00645385" w:rsidRPr="00645385">
        <w:rPr>
          <w:rFonts w:asciiTheme="minorHAnsi" w:hAnsiTheme="minorHAnsi"/>
          <w:sz w:val="22"/>
          <w:szCs w:val="22"/>
        </w:rPr>
        <w:t>6</w:t>
      </w:r>
      <w:r w:rsidR="009E4198">
        <w:rPr>
          <w:rFonts w:asciiTheme="minorHAnsi" w:hAnsiTheme="minorHAnsi"/>
          <w:sz w:val="22"/>
          <w:szCs w:val="22"/>
        </w:rPr>
        <w:t>–</w:t>
      </w:r>
      <w:r w:rsidR="00645385" w:rsidRPr="00645385">
        <w:rPr>
          <w:rFonts w:asciiTheme="minorHAnsi" w:hAnsiTheme="minorHAnsi"/>
          <w:sz w:val="22"/>
          <w:szCs w:val="22"/>
        </w:rPr>
        <w:t>17</w:t>
      </w:r>
      <w:r w:rsidR="00C11CC8" w:rsidRPr="00645385">
        <w:rPr>
          <w:rFonts w:asciiTheme="minorHAnsi" w:hAnsiTheme="minorHAnsi"/>
          <w:sz w:val="22"/>
          <w:szCs w:val="22"/>
        </w:rPr>
        <w:t xml:space="preserve"> through the provision of library services.</w:t>
      </w:r>
    </w:p>
    <w:p w:rsidR="00F40D28" w:rsidRPr="00645385" w:rsidRDefault="00C11CC8">
      <w:pPr>
        <w:rPr>
          <w:rFonts w:asciiTheme="minorHAnsi" w:hAnsiTheme="minorHAnsi"/>
          <w:sz w:val="22"/>
          <w:szCs w:val="22"/>
        </w:rPr>
      </w:pPr>
      <w:r w:rsidRPr="00645385">
        <w:rPr>
          <w:rFonts w:asciiTheme="minorHAnsi" w:hAnsiTheme="minorHAnsi"/>
          <w:sz w:val="22"/>
          <w:szCs w:val="22"/>
        </w:rPr>
        <w:t xml:space="preserve">A small team within ABARES provides project management support to research leaders, overseeing the development of contracts with external clients, procurement of external consultants when required, and ensuring compliance with financial management </w:t>
      </w:r>
      <w:r w:rsidR="00645385" w:rsidRPr="00645385">
        <w:rPr>
          <w:rFonts w:asciiTheme="minorHAnsi" w:hAnsiTheme="minorHAnsi"/>
          <w:sz w:val="22"/>
          <w:szCs w:val="22"/>
        </w:rPr>
        <w:t>policies and procedures. In 2016</w:t>
      </w:r>
      <w:r w:rsidR="009E4198">
        <w:rPr>
          <w:rFonts w:asciiTheme="minorHAnsi" w:hAnsiTheme="minorHAnsi"/>
          <w:sz w:val="22"/>
          <w:szCs w:val="22"/>
        </w:rPr>
        <w:t>–</w:t>
      </w:r>
      <w:r w:rsidR="00645385" w:rsidRPr="00645385">
        <w:rPr>
          <w:rFonts w:asciiTheme="minorHAnsi" w:hAnsiTheme="minorHAnsi"/>
          <w:sz w:val="22"/>
          <w:szCs w:val="22"/>
        </w:rPr>
        <w:t>17</w:t>
      </w:r>
      <w:r w:rsidRPr="00645385">
        <w:rPr>
          <w:rFonts w:asciiTheme="minorHAnsi" w:hAnsiTheme="minorHAnsi"/>
          <w:sz w:val="22"/>
          <w:szCs w:val="22"/>
        </w:rPr>
        <w:t xml:space="preserve"> this team</w:t>
      </w:r>
      <w:r w:rsidR="00450B94" w:rsidRPr="00645385">
        <w:rPr>
          <w:rFonts w:asciiTheme="minorHAnsi" w:hAnsiTheme="minorHAnsi"/>
          <w:sz w:val="22"/>
          <w:szCs w:val="22"/>
        </w:rPr>
        <w:t xml:space="preserve"> will focus on continued improvement of project monitoring and reporting, a review of library services and coordination of the bureau’s entry level professional programme</w:t>
      </w:r>
      <w:r w:rsidRPr="00645385">
        <w:rPr>
          <w:rFonts w:asciiTheme="minorHAnsi" w:hAnsiTheme="minorHAnsi"/>
          <w:sz w:val="22"/>
          <w:szCs w:val="22"/>
        </w:rPr>
        <w:t>.</w:t>
      </w:r>
    </w:p>
    <w:p w:rsidR="00F40D28" w:rsidRPr="00687F8F" w:rsidRDefault="00C11CC8" w:rsidP="00494D22">
      <w:pPr>
        <w:pStyle w:val="Heading3"/>
        <w:rPr>
          <w:color w:val="auto"/>
        </w:rPr>
      </w:pPr>
      <w:bookmarkStart w:id="42" w:name="_Toc428890654"/>
      <w:bookmarkStart w:id="43" w:name="_Toc465156778"/>
      <w:r w:rsidRPr="00687F8F">
        <w:rPr>
          <w:color w:val="auto"/>
        </w:rPr>
        <w:lastRenderedPageBreak/>
        <w:t>Stakeholders</w:t>
      </w:r>
      <w:r w:rsidR="00714C50" w:rsidRPr="00687F8F">
        <w:rPr>
          <w:color w:val="auto"/>
        </w:rPr>
        <w:t>, collaborators</w:t>
      </w:r>
      <w:r w:rsidRPr="00687F8F">
        <w:rPr>
          <w:color w:val="auto"/>
        </w:rPr>
        <w:t xml:space="preserve"> and clients</w:t>
      </w:r>
      <w:bookmarkEnd w:id="42"/>
      <w:bookmarkEnd w:id="43"/>
    </w:p>
    <w:p w:rsidR="00F40D28" w:rsidRPr="009C022A" w:rsidRDefault="00C11CC8">
      <w:pPr>
        <w:rPr>
          <w:rFonts w:asciiTheme="minorHAnsi" w:hAnsiTheme="minorHAnsi"/>
          <w:sz w:val="22"/>
          <w:szCs w:val="22"/>
        </w:rPr>
      </w:pPr>
      <w:r w:rsidRPr="009C022A">
        <w:rPr>
          <w:rFonts w:asciiTheme="minorHAnsi" w:hAnsiTheme="minorHAnsi"/>
          <w:sz w:val="22"/>
          <w:szCs w:val="22"/>
        </w:rPr>
        <w:t xml:space="preserve">ABARES stakeholders include government, industry and the general public. We work with all parts of the Department of Agriculture </w:t>
      </w:r>
      <w:r w:rsidR="00BC4B09" w:rsidRPr="009C022A">
        <w:rPr>
          <w:rFonts w:asciiTheme="minorHAnsi" w:hAnsiTheme="minorHAnsi"/>
          <w:sz w:val="22"/>
          <w:szCs w:val="22"/>
        </w:rPr>
        <w:t xml:space="preserve">and Water Resources </w:t>
      </w:r>
      <w:r w:rsidRPr="009C022A">
        <w:rPr>
          <w:rFonts w:asciiTheme="minorHAnsi" w:hAnsiTheme="minorHAnsi"/>
          <w:sz w:val="22"/>
          <w:szCs w:val="22"/>
        </w:rPr>
        <w:t xml:space="preserve">and its portfolio agencies, including the Australian Fisheries Management Authority, the Australian Pesticides and Veterinary Medicines Authority, the Australian Grape and Wine Authority, </w:t>
      </w:r>
      <w:r w:rsidR="00BC4B09" w:rsidRPr="009C022A">
        <w:rPr>
          <w:rFonts w:asciiTheme="minorHAnsi" w:hAnsiTheme="minorHAnsi"/>
          <w:sz w:val="22"/>
          <w:szCs w:val="22"/>
        </w:rPr>
        <w:t xml:space="preserve">the Murray-Darling Basin Authority </w:t>
      </w:r>
      <w:r w:rsidRPr="009C022A">
        <w:rPr>
          <w:rFonts w:asciiTheme="minorHAnsi" w:hAnsiTheme="minorHAnsi"/>
          <w:sz w:val="22"/>
          <w:szCs w:val="22"/>
        </w:rPr>
        <w:t>and research and development corporations such as the Fisheries Research and Development Corporation, the Grains Research and Development Corporation and the Rural Industries Resear</w:t>
      </w:r>
      <w:r w:rsidR="00114B67" w:rsidRPr="009C022A">
        <w:rPr>
          <w:rFonts w:asciiTheme="minorHAnsi" w:hAnsiTheme="minorHAnsi"/>
          <w:sz w:val="22"/>
          <w:szCs w:val="22"/>
        </w:rPr>
        <w:t>ch and Development Corporation.</w:t>
      </w:r>
    </w:p>
    <w:p w:rsidR="00F40D28" w:rsidRPr="009C022A" w:rsidRDefault="00714C50">
      <w:pPr>
        <w:rPr>
          <w:rFonts w:asciiTheme="minorHAnsi" w:hAnsiTheme="minorHAnsi"/>
          <w:sz w:val="22"/>
          <w:szCs w:val="22"/>
        </w:rPr>
      </w:pPr>
      <w:r w:rsidRPr="009C022A">
        <w:rPr>
          <w:rFonts w:asciiTheme="minorHAnsi" w:hAnsiTheme="minorHAnsi"/>
          <w:sz w:val="22"/>
          <w:szCs w:val="22"/>
        </w:rPr>
        <w:t xml:space="preserve">Many elements of ABARES work </w:t>
      </w:r>
      <w:r w:rsidR="009C38FE" w:rsidRPr="009C022A">
        <w:rPr>
          <w:rFonts w:asciiTheme="minorHAnsi" w:hAnsiTheme="minorHAnsi"/>
          <w:sz w:val="22"/>
          <w:szCs w:val="22"/>
        </w:rPr>
        <w:t>are</w:t>
      </w:r>
      <w:r w:rsidRPr="009C022A">
        <w:rPr>
          <w:rFonts w:asciiTheme="minorHAnsi" w:hAnsiTheme="minorHAnsi"/>
          <w:sz w:val="22"/>
          <w:szCs w:val="22"/>
        </w:rPr>
        <w:t xml:space="preserve"> undertaken in collaboration with other researchers. We </w:t>
      </w:r>
      <w:r w:rsidR="00C11CC8" w:rsidRPr="009C022A">
        <w:rPr>
          <w:rFonts w:asciiTheme="minorHAnsi" w:hAnsiTheme="minorHAnsi"/>
          <w:sz w:val="22"/>
          <w:szCs w:val="22"/>
        </w:rPr>
        <w:t xml:space="preserve">work with other Commonwealth departments and agencies, including the Department of the Environment, the Australian Bureau of Statistics and </w:t>
      </w:r>
      <w:r w:rsidR="009C38FE" w:rsidRPr="009C022A">
        <w:rPr>
          <w:rFonts w:asciiTheme="minorHAnsi" w:hAnsiTheme="minorHAnsi"/>
          <w:sz w:val="22"/>
          <w:szCs w:val="22"/>
        </w:rPr>
        <w:t>CSIRO</w:t>
      </w:r>
      <w:r w:rsidR="00C11CC8" w:rsidRPr="009C022A">
        <w:rPr>
          <w:rFonts w:asciiTheme="minorHAnsi" w:hAnsiTheme="minorHAnsi"/>
          <w:sz w:val="22"/>
          <w:szCs w:val="22"/>
        </w:rPr>
        <w:t>.</w:t>
      </w:r>
      <w:r w:rsidRPr="009C022A">
        <w:rPr>
          <w:rFonts w:asciiTheme="minorHAnsi" w:hAnsiTheme="minorHAnsi"/>
          <w:sz w:val="22"/>
          <w:szCs w:val="22"/>
        </w:rPr>
        <w:t xml:space="preserve"> We collabor</w:t>
      </w:r>
      <w:r w:rsidR="00F870BB">
        <w:rPr>
          <w:rFonts w:asciiTheme="minorHAnsi" w:hAnsiTheme="minorHAnsi"/>
          <w:sz w:val="22"/>
          <w:szCs w:val="22"/>
        </w:rPr>
        <w:t>ate with university researchers</w:t>
      </w:r>
      <w:r w:rsidRPr="009C022A">
        <w:rPr>
          <w:rFonts w:asciiTheme="minorHAnsi" w:hAnsiTheme="minorHAnsi"/>
          <w:sz w:val="22"/>
          <w:szCs w:val="22"/>
        </w:rPr>
        <w:t>, including through the Centre of Excellence for Biosecurity Risk A</w:t>
      </w:r>
      <w:r w:rsidR="00FA59D8" w:rsidRPr="009C022A">
        <w:rPr>
          <w:rFonts w:asciiTheme="minorHAnsi" w:hAnsiTheme="minorHAnsi"/>
          <w:sz w:val="22"/>
          <w:szCs w:val="22"/>
        </w:rPr>
        <w:t>nalysis</w:t>
      </w:r>
      <w:r w:rsidRPr="009C022A">
        <w:rPr>
          <w:rFonts w:asciiTheme="minorHAnsi" w:hAnsiTheme="minorHAnsi"/>
          <w:sz w:val="22"/>
          <w:szCs w:val="22"/>
        </w:rPr>
        <w:t>.</w:t>
      </w:r>
    </w:p>
    <w:p w:rsidR="00714C50" w:rsidRPr="009C022A" w:rsidRDefault="00C11CC8">
      <w:pPr>
        <w:rPr>
          <w:rFonts w:asciiTheme="minorHAnsi" w:hAnsiTheme="minorHAnsi"/>
          <w:sz w:val="22"/>
          <w:szCs w:val="22"/>
        </w:rPr>
      </w:pPr>
      <w:r w:rsidRPr="009C022A">
        <w:rPr>
          <w:rFonts w:asciiTheme="minorHAnsi" w:hAnsiTheme="minorHAnsi"/>
          <w:sz w:val="22"/>
          <w:szCs w:val="22"/>
        </w:rPr>
        <w:t>ABARES coordinates and partners with state and territory government agencies on issues affecting the agriculture, fisheries and forestry industries. For example, ABARES coordinates development of consistent land-use, land-cover, groundcover and land management practice data and information products through the Australian Collaborative Land Use and Management Programme. ABARES is also a partner in the Australian Collaborative Land Evaluation Programme that provides a national focus for collection, collation, management, dissemination and analysis of nationally consistent, integrated data and informat</w:t>
      </w:r>
      <w:r w:rsidR="00BF6FE1" w:rsidRPr="009C022A">
        <w:rPr>
          <w:rFonts w:asciiTheme="minorHAnsi" w:hAnsiTheme="minorHAnsi"/>
          <w:sz w:val="22"/>
          <w:szCs w:val="22"/>
        </w:rPr>
        <w:t>ion on soil and land resources.</w:t>
      </w:r>
    </w:p>
    <w:p w:rsidR="00714C50" w:rsidRPr="009C022A" w:rsidRDefault="0007750A">
      <w:pPr>
        <w:rPr>
          <w:rFonts w:asciiTheme="minorHAnsi" w:hAnsiTheme="minorHAnsi"/>
          <w:sz w:val="22"/>
          <w:szCs w:val="22"/>
        </w:rPr>
      </w:pPr>
      <w:r w:rsidRPr="009C022A">
        <w:rPr>
          <w:rFonts w:asciiTheme="minorHAnsi" w:hAnsiTheme="minorHAnsi"/>
          <w:sz w:val="22"/>
          <w:szCs w:val="22"/>
        </w:rPr>
        <w:t>In 2016</w:t>
      </w:r>
      <w:r w:rsidR="00AE5B14">
        <w:rPr>
          <w:rFonts w:asciiTheme="minorHAnsi" w:hAnsiTheme="minorHAnsi"/>
          <w:sz w:val="22"/>
          <w:szCs w:val="22"/>
        </w:rPr>
        <w:t>–</w:t>
      </w:r>
      <w:r w:rsidRPr="009C022A">
        <w:rPr>
          <w:rFonts w:asciiTheme="minorHAnsi" w:hAnsiTheme="minorHAnsi"/>
          <w:sz w:val="22"/>
          <w:szCs w:val="22"/>
        </w:rPr>
        <w:t>17</w:t>
      </w:r>
      <w:r w:rsidR="00C11CC8" w:rsidRPr="009C022A">
        <w:rPr>
          <w:rFonts w:asciiTheme="minorHAnsi" w:hAnsiTheme="minorHAnsi"/>
          <w:sz w:val="22"/>
          <w:szCs w:val="22"/>
        </w:rPr>
        <w:t xml:space="preserve"> ABARES will continue to work collaboratively with international experts to compare productivity growth across countries, improve productivity metrics and identify policies that promote agricultural productivity growth. ABARES will remain an active contributor to the OECD work program on agricultural productivity and will continue to work with the United States Department of Agriculture on international productivity comparisons.</w:t>
      </w:r>
    </w:p>
    <w:p w:rsidR="00F40D28" w:rsidRPr="009C022A" w:rsidRDefault="00C11CC8">
      <w:pPr>
        <w:rPr>
          <w:rFonts w:asciiTheme="minorHAnsi" w:hAnsiTheme="minorHAnsi"/>
          <w:sz w:val="22"/>
          <w:szCs w:val="22"/>
        </w:rPr>
      </w:pPr>
      <w:r w:rsidRPr="009C022A">
        <w:rPr>
          <w:rFonts w:asciiTheme="minorHAnsi" w:hAnsiTheme="minorHAnsi"/>
          <w:sz w:val="22"/>
          <w:szCs w:val="22"/>
        </w:rPr>
        <w:t>ABARES will continue to monitor its performance through a cl</w:t>
      </w:r>
      <w:r w:rsidR="0007750A" w:rsidRPr="009C022A">
        <w:rPr>
          <w:rFonts w:asciiTheme="minorHAnsi" w:hAnsiTheme="minorHAnsi"/>
          <w:sz w:val="22"/>
          <w:szCs w:val="22"/>
        </w:rPr>
        <w:t>ient satisfaction survey in 2016</w:t>
      </w:r>
      <w:r w:rsidR="00AE5B14">
        <w:rPr>
          <w:rFonts w:asciiTheme="minorHAnsi" w:hAnsiTheme="minorHAnsi"/>
          <w:sz w:val="22"/>
          <w:szCs w:val="22"/>
        </w:rPr>
        <w:t>–</w:t>
      </w:r>
      <w:r w:rsidR="0007750A" w:rsidRPr="009C022A">
        <w:rPr>
          <w:rFonts w:asciiTheme="minorHAnsi" w:hAnsiTheme="minorHAnsi"/>
          <w:sz w:val="22"/>
          <w:szCs w:val="22"/>
        </w:rPr>
        <w:t>17</w:t>
      </w:r>
      <w:r w:rsidRPr="009C022A">
        <w:rPr>
          <w:rFonts w:asciiTheme="minorHAnsi" w:hAnsiTheme="minorHAnsi"/>
          <w:sz w:val="22"/>
          <w:szCs w:val="22"/>
        </w:rPr>
        <w:t xml:space="preserve"> that will inform areas of continuous improvement in the provision of research, analysis and advice.</w:t>
      </w:r>
    </w:p>
    <w:p w:rsidR="00516DA0" w:rsidRPr="0007750A" w:rsidRDefault="00516DA0" w:rsidP="00494D22">
      <w:pPr>
        <w:pStyle w:val="Heading3"/>
        <w:rPr>
          <w:color w:val="auto"/>
        </w:rPr>
      </w:pPr>
      <w:bookmarkStart w:id="44" w:name="_Toc428890655"/>
      <w:bookmarkStart w:id="45" w:name="_Toc465156779"/>
      <w:r w:rsidRPr="0007750A">
        <w:rPr>
          <w:color w:val="auto"/>
        </w:rPr>
        <w:t>Information and data tools</w:t>
      </w:r>
      <w:bookmarkEnd w:id="44"/>
      <w:bookmarkEnd w:id="45"/>
    </w:p>
    <w:p w:rsidR="00516DA0" w:rsidRPr="0007750A" w:rsidRDefault="00516DA0" w:rsidP="00516DA0">
      <w:pPr>
        <w:rPr>
          <w:rFonts w:asciiTheme="minorHAnsi" w:hAnsiTheme="minorHAnsi"/>
          <w:sz w:val="22"/>
          <w:szCs w:val="22"/>
        </w:rPr>
      </w:pPr>
      <w:r w:rsidRPr="0007750A">
        <w:rPr>
          <w:rFonts w:asciiTheme="minorHAnsi" w:hAnsiTheme="minorHAnsi"/>
          <w:sz w:val="22"/>
          <w:szCs w:val="22"/>
        </w:rPr>
        <w:t xml:space="preserve">ABARES extensive data holdings on agriculture, fisheries and forestry industries are a vital resource for the department, the Government, portfolio industries and the Australian public. These data holdings and the associated intelligence, tools and analyses provide valuable input to many departmental processes, such as developing emergency responses to biosecurity issues, furthering trade discussions and agreements and developing approaches to transforming agricultural productivity. </w:t>
      </w:r>
    </w:p>
    <w:p w:rsidR="00516DA0" w:rsidRPr="0007750A" w:rsidRDefault="00516DA0" w:rsidP="00516DA0">
      <w:pPr>
        <w:rPr>
          <w:rFonts w:asciiTheme="minorHAnsi" w:hAnsiTheme="minorHAnsi"/>
          <w:sz w:val="22"/>
          <w:szCs w:val="22"/>
        </w:rPr>
      </w:pPr>
      <w:r w:rsidRPr="0007750A">
        <w:rPr>
          <w:rFonts w:asciiTheme="minorHAnsi" w:hAnsiTheme="minorHAnsi"/>
          <w:sz w:val="22"/>
          <w:szCs w:val="22"/>
        </w:rPr>
        <w:t>Some online sites and tools ABARES has developed or maintains for use are described in Table 1.</w:t>
      </w:r>
    </w:p>
    <w:p w:rsidR="00516DA0" w:rsidRPr="009C022A" w:rsidRDefault="00516DA0" w:rsidP="00114B67">
      <w:pPr>
        <w:pStyle w:val="Heading4"/>
        <w:keepNext/>
      </w:pPr>
      <w:r w:rsidRPr="009C022A">
        <w:lastRenderedPageBreak/>
        <w:t>Table 1: Online sites and tools maintained by ABARES</w:t>
      </w:r>
    </w:p>
    <w:tbl>
      <w:tblPr>
        <w:tblW w:w="4941" w:type="pct"/>
        <w:tblInd w:w="113" w:type="dxa"/>
        <w:tblCellMar>
          <w:top w:w="113" w:type="dxa"/>
          <w:left w:w="113" w:type="dxa"/>
          <w:bottom w:w="113" w:type="dxa"/>
          <w:right w:w="113" w:type="dxa"/>
        </w:tblCellMar>
        <w:tblLook w:val="0000" w:firstRow="0" w:lastRow="0" w:firstColumn="0" w:lastColumn="0" w:noHBand="0" w:noVBand="0"/>
      </w:tblPr>
      <w:tblGrid>
        <w:gridCol w:w="3446"/>
        <w:gridCol w:w="5788"/>
      </w:tblGrid>
      <w:tr w:rsidR="00D4237C" w:rsidRPr="009C022A" w:rsidTr="003B7047">
        <w:trPr>
          <w:cantSplit/>
          <w:trHeight w:val="60"/>
          <w:tblHeader/>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Style w:val="Strong"/>
              </w:rPr>
            </w:pPr>
            <w:r w:rsidRPr="009C022A">
              <w:rPr>
                <w:rStyle w:val="Strong"/>
              </w:rPr>
              <w:t>Tool or site</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Style w:val="Strong"/>
              </w:rPr>
            </w:pPr>
            <w:r w:rsidRPr="009C022A">
              <w:rPr>
                <w:rStyle w:val="Strong"/>
              </w:rPr>
              <w:t>Description</w:t>
            </w:r>
          </w:p>
        </w:tc>
      </w:tr>
      <w:tr w:rsidR="00D4237C" w:rsidRPr="009C022A" w:rsidTr="003B7047">
        <w:trPr>
          <w:cantSplit/>
          <w:trHeight w:val="60"/>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The Monitor</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The Monitor is an online tool maintained to provide up-to-date information and analyses on climate, water, natural resources, biophysical and economic conditions to support the assessment of impacts of climate and weather events, farm production and performance and their spatial distribution. The Monitor also includes information on food price trends.</w:t>
            </w:r>
          </w:p>
        </w:tc>
      </w:tr>
      <w:tr w:rsidR="00D4237C" w:rsidRPr="009C022A" w:rsidTr="003B7047">
        <w:trPr>
          <w:cantSplit/>
          <w:trHeight w:val="60"/>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 xml:space="preserve">Multi-Criteria Analysis Shell for Spatial Decision Support </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A user-friendly tool to help decision makers analyse and compare complex spatial information without the need for specialised training or technical support. ABARES maintains collaboration with the development partners and capacity for training and support</w:t>
            </w:r>
            <w:r w:rsidR="00114B67" w:rsidRPr="009C022A">
              <w:rPr>
                <w:rFonts w:asciiTheme="minorHAnsi" w:hAnsiTheme="minorHAnsi"/>
                <w:sz w:val="22"/>
                <w:szCs w:val="22"/>
              </w:rPr>
              <w:t>.</w:t>
            </w:r>
          </w:p>
        </w:tc>
      </w:tr>
      <w:tr w:rsidR="00D4237C" w:rsidRPr="009C022A" w:rsidTr="003B7047">
        <w:trPr>
          <w:cantSplit/>
          <w:trHeight w:val="60"/>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Land Use and Management Information for Australia</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Provides nationally consistent land use, land management, land and ground cover information. The site has been developed as part of the Australian Collaborative Land Use and Management Program (ACLUMP), a consortium of Australian and State Government partners that promotes the development of consistent land information.</w:t>
            </w:r>
          </w:p>
        </w:tc>
      </w:tr>
      <w:tr w:rsidR="00D4237C" w:rsidRPr="009C022A" w:rsidTr="003B7047">
        <w:trPr>
          <w:cantSplit/>
          <w:trHeight w:val="60"/>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Forests Australia</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5C7090">
            <w:pPr>
              <w:rPr>
                <w:rFonts w:asciiTheme="minorHAnsi" w:hAnsiTheme="minorHAnsi"/>
                <w:sz w:val="22"/>
                <w:szCs w:val="22"/>
              </w:rPr>
            </w:pPr>
            <w:r w:rsidRPr="009C022A">
              <w:rPr>
                <w:rFonts w:asciiTheme="minorHAnsi" w:hAnsiTheme="minorHAnsi"/>
                <w:sz w:val="22"/>
                <w:szCs w:val="22"/>
              </w:rPr>
              <w:t>Contains up-to-date information on Australia</w:t>
            </w:r>
            <w:r w:rsidR="00AE5B14">
              <w:rPr>
                <w:rFonts w:asciiTheme="minorHAnsi" w:hAnsiTheme="minorHAnsi"/>
                <w:sz w:val="22"/>
                <w:szCs w:val="22"/>
              </w:rPr>
              <w:t>’</w:t>
            </w:r>
            <w:r w:rsidRPr="009C022A">
              <w:rPr>
                <w:rFonts w:asciiTheme="minorHAnsi" w:hAnsiTheme="minorHAnsi"/>
                <w:sz w:val="22"/>
                <w:szCs w:val="22"/>
              </w:rPr>
              <w:t>s forests</w:t>
            </w:r>
            <w:r w:rsidR="00AE5B14">
              <w:rPr>
                <w:rFonts w:asciiTheme="minorHAnsi" w:hAnsiTheme="minorHAnsi"/>
                <w:sz w:val="22"/>
                <w:szCs w:val="22"/>
              </w:rPr>
              <w:t>—</w:t>
            </w:r>
            <w:r w:rsidRPr="009C022A">
              <w:rPr>
                <w:rFonts w:asciiTheme="minorHAnsi" w:hAnsiTheme="minorHAnsi"/>
                <w:sz w:val="22"/>
                <w:szCs w:val="22"/>
              </w:rPr>
              <w:t>from links to forest management organisations and institutions to the latest forest-related publications, maps and tools. It represents collaboration between many Australian forest-related organisations, including all Australian state and territory governments.</w:t>
            </w:r>
          </w:p>
        </w:tc>
      </w:tr>
      <w:tr w:rsidR="00D4237C" w:rsidRPr="009C022A" w:rsidTr="003B7047">
        <w:trPr>
          <w:cantSplit/>
          <w:trHeight w:val="60"/>
        </w:trPr>
        <w:tc>
          <w:tcPr>
            <w:tcW w:w="1866"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114B67">
            <w:pPr>
              <w:rPr>
                <w:rFonts w:asciiTheme="minorHAnsi" w:hAnsiTheme="minorHAnsi"/>
                <w:sz w:val="22"/>
                <w:szCs w:val="22"/>
              </w:rPr>
            </w:pPr>
            <w:r w:rsidRPr="009C022A">
              <w:rPr>
                <w:rFonts w:asciiTheme="minorHAnsi" w:hAnsiTheme="minorHAnsi"/>
                <w:sz w:val="22"/>
                <w:szCs w:val="22"/>
              </w:rPr>
              <w:t>AgSurf</w:t>
            </w:r>
          </w:p>
        </w:tc>
        <w:tc>
          <w:tcPr>
            <w:tcW w:w="3134" w:type="pct"/>
            <w:tcBorders>
              <w:top w:val="single" w:sz="2" w:space="0" w:color="000000"/>
              <w:left w:val="single" w:sz="6" w:space="0" w:color="000000"/>
              <w:bottom w:val="single" w:sz="2" w:space="0" w:color="000000"/>
              <w:right w:val="single" w:sz="6" w:space="0" w:color="000000"/>
            </w:tcBorders>
            <w:tcMar>
              <w:top w:w="113" w:type="dxa"/>
              <w:left w:w="113" w:type="dxa"/>
              <w:bottom w:w="113" w:type="dxa"/>
              <w:right w:w="113" w:type="dxa"/>
            </w:tcMar>
          </w:tcPr>
          <w:p w:rsidR="00516DA0" w:rsidRPr="009C022A" w:rsidRDefault="00516DA0" w:rsidP="005C7090">
            <w:pPr>
              <w:rPr>
                <w:rFonts w:asciiTheme="minorHAnsi" w:hAnsiTheme="minorHAnsi"/>
                <w:sz w:val="22"/>
                <w:szCs w:val="22"/>
              </w:rPr>
            </w:pPr>
            <w:r w:rsidRPr="009C022A">
              <w:rPr>
                <w:rFonts w:asciiTheme="minorHAnsi" w:hAnsiTheme="minorHAnsi"/>
                <w:sz w:val="22"/>
                <w:szCs w:val="22"/>
              </w:rPr>
              <w:t xml:space="preserve">Contains a large selection of data collected </w:t>
            </w:r>
            <w:r w:rsidR="009F348C" w:rsidRPr="009C022A">
              <w:rPr>
                <w:rFonts w:asciiTheme="minorHAnsi" w:hAnsiTheme="minorHAnsi"/>
                <w:sz w:val="22"/>
                <w:szCs w:val="22"/>
              </w:rPr>
              <w:t>from 1989</w:t>
            </w:r>
            <w:r w:rsidR="009F348C">
              <w:rPr>
                <w:rFonts w:asciiTheme="minorHAnsi" w:hAnsiTheme="minorHAnsi"/>
                <w:sz w:val="22"/>
                <w:szCs w:val="22"/>
              </w:rPr>
              <w:t>–</w:t>
            </w:r>
            <w:r w:rsidR="009F348C" w:rsidRPr="009C022A">
              <w:rPr>
                <w:rFonts w:asciiTheme="minorHAnsi" w:hAnsiTheme="minorHAnsi"/>
                <w:sz w:val="22"/>
                <w:szCs w:val="22"/>
              </w:rPr>
              <w:t>90 to 2014</w:t>
            </w:r>
            <w:r w:rsidR="009F348C">
              <w:rPr>
                <w:rFonts w:asciiTheme="minorHAnsi" w:hAnsiTheme="minorHAnsi"/>
                <w:sz w:val="22"/>
                <w:szCs w:val="22"/>
              </w:rPr>
              <w:t>–</w:t>
            </w:r>
            <w:r w:rsidR="009F348C" w:rsidRPr="009C022A">
              <w:rPr>
                <w:rFonts w:asciiTheme="minorHAnsi" w:hAnsiTheme="minorHAnsi"/>
                <w:sz w:val="22"/>
                <w:szCs w:val="22"/>
              </w:rPr>
              <w:t xml:space="preserve">15 </w:t>
            </w:r>
            <w:r w:rsidRPr="009C022A">
              <w:rPr>
                <w:rFonts w:asciiTheme="minorHAnsi" w:hAnsiTheme="minorHAnsi"/>
                <w:sz w:val="22"/>
                <w:szCs w:val="22"/>
              </w:rPr>
              <w:t>through the annual Australian agricultural and grazing industries survey and Australian dairy industry survey that can be custom reported by industry, state</w:t>
            </w:r>
            <w:r w:rsidR="00114B67" w:rsidRPr="009C022A">
              <w:rPr>
                <w:rFonts w:asciiTheme="minorHAnsi" w:hAnsiTheme="minorHAnsi"/>
                <w:sz w:val="22"/>
                <w:szCs w:val="22"/>
              </w:rPr>
              <w:t>, region or agricultural zone.</w:t>
            </w:r>
          </w:p>
        </w:tc>
      </w:tr>
    </w:tbl>
    <w:p w:rsidR="00516DA0" w:rsidRPr="00516DA0" w:rsidRDefault="00516DA0" w:rsidP="00512EF9">
      <w:pPr>
        <w:rPr>
          <w:highlight w:val="cyan"/>
        </w:rPr>
      </w:pPr>
    </w:p>
    <w:sectPr w:rsidR="00516DA0" w:rsidRPr="00516DA0" w:rsidSect="00426277">
      <w:headerReference w:type="even" r:id="rId16"/>
      <w:headerReference w:type="default" r:id="rId17"/>
      <w:footerReference w:type="default" r:id="rId18"/>
      <w:headerReference w:type="first" r:id="rId19"/>
      <w:footerReference w:type="first" r:id="rId20"/>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C20" w:rsidRDefault="00A67C20">
      <w:pPr>
        <w:spacing w:after="0"/>
      </w:pPr>
      <w:r>
        <w:separator/>
      </w:r>
    </w:p>
  </w:endnote>
  <w:endnote w:type="continuationSeparator" w:id="0">
    <w:p w:rsidR="00A67C20" w:rsidRDefault="00A67C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Italic">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0990676"/>
      <w:docPartObj>
        <w:docPartGallery w:val="Page Numbers (Bottom of Page)"/>
        <w:docPartUnique/>
      </w:docPartObj>
    </w:sdtPr>
    <w:sdtEndPr>
      <w:rPr>
        <w:noProof/>
      </w:rPr>
    </w:sdtEndPr>
    <w:sdtContent>
      <w:p w:rsidR="001A51F3" w:rsidRPr="00B20BC0" w:rsidRDefault="001A51F3" w:rsidP="00B20BC0">
        <w:pPr>
          <w:pStyle w:val="Footer"/>
        </w:pPr>
        <w:r>
          <w:t xml:space="preserve">Department of Agriculture and Water </w:t>
        </w:r>
        <w:r w:rsidRPr="00B20BC0">
          <w:t>Resources</w:t>
        </w:r>
        <w:r>
          <w:tab/>
        </w:r>
        <w:r>
          <w:fldChar w:fldCharType="begin"/>
        </w:r>
        <w:r>
          <w:instrText xml:space="preserve"> PAGE   \* MERGEFORMAT </w:instrText>
        </w:r>
        <w:r>
          <w:fldChar w:fldCharType="separate"/>
        </w:r>
        <w:r w:rsidR="005B2835">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104424"/>
      <w:docPartObj>
        <w:docPartGallery w:val="Page Numbers (Bottom of Page)"/>
        <w:docPartUnique/>
      </w:docPartObj>
    </w:sdtPr>
    <w:sdtEndPr>
      <w:rPr>
        <w:noProof/>
      </w:rPr>
    </w:sdtEndPr>
    <w:sdtContent>
      <w:p w:rsidR="001A51F3" w:rsidRPr="00B20BC0" w:rsidRDefault="001A51F3" w:rsidP="00426277">
        <w:pPr>
          <w:pStyle w:val="Footer"/>
          <w:tabs>
            <w:tab w:val="left" w:pos="8853"/>
          </w:tabs>
        </w:pPr>
        <w:r>
          <w:t xml:space="preserve">Department of Agriculture and Water </w:t>
        </w:r>
        <w:r w:rsidRPr="00B20BC0">
          <w:t>Resources</w:t>
        </w:r>
        <w:r>
          <w:tab/>
        </w:r>
        <w:r>
          <w:fldChar w:fldCharType="begin"/>
        </w:r>
        <w:r>
          <w:instrText xml:space="preserve"> PAGE   \* MERGEFORMAT </w:instrText>
        </w:r>
        <w:r>
          <w:fldChar w:fldCharType="separate"/>
        </w:r>
        <w:r w:rsidR="005B2835">
          <w:rPr>
            <w:noProof/>
          </w:rPr>
          <w:t>16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F3" w:rsidRDefault="001A5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C20" w:rsidRDefault="00A67C20">
      <w:pPr>
        <w:spacing w:after="0"/>
      </w:pPr>
      <w:r>
        <w:separator/>
      </w:r>
    </w:p>
  </w:footnote>
  <w:footnote w:type="continuationSeparator" w:id="0">
    <w:p w:rsidR="00A67C20" w:rsidRDefault="00A67C2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F3" w:rsidRDefault="001A51F3" w:rsidP="00B20BC0">
    <w:pPr>
      <w:pStyle w:val="Header"/>
    </w:pPr>
    <w:r w:rsidRPr="00B20BC0">
      <w:t>Australian Bureau of Agricultural and Resou</w:t>
    </w:r>
    <w:r>
      <w:t>rce Economics and Sciences: 2016</w:t>
    </w:r>
    <w:r w:rsidR="0027497C">
      <w:t>–</w:t>
    </w:r>
    <w:r>
      <w:t>17</w:t>
    </w:r>
    <w:r w:rsidRPr="00B20BC0">
      <w:t xml:space="preserve"> </w:t>
    </w:r>
    <w:r w:rsidR="0027497C">
      <w:t>W</w:t>
    </w:r>
    <w:r w:rsidR="0027497C" w:rsidRPr="00B20BC0">
      <w:t xml:space="preserve">ork </w:t>
    </w:r>
    <w:r w:rsidR="0027497C">
      <w:t>P</w:t>
    </w:r>
    <w:r w:rsidR="0027497C" w:rsidRPr="00B20BC0">
      <w:t>rogramme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F3" w:rsidRDefault="001A51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F3" w:rsidRDefault="0027497C">
    <w:pPr>
      <w:pStyle w:val="Header"/>
    </w:pPr>
    <w:r w:rsidRPr="00B20BC0">
      <w:t>Australian Bureau of Agricultural and Resou</w:t>
    </w:r>
    <w:r>
      <w:t>rce Economics and Sciences: 2016–17</w:t>
    </w:r>
    <w:r w:rsidRPr="00B20BC0">
      <w:t xml:space="preserve"> </w:t>
    </w:r>
    <w:r>
      <w:t>W</w:t>
    </w:r>
    <w:r w:rsidRPr="00B20BC0">
      <w:t xml:space="preserve">ork </w:t>
    </w:r>
    <w:r>
      <w:t>P</w:t>
    </w:r>
    <w:r w:rsidRPr="00B20BC0">
      <w:t>rogramme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F3" w:rsidRDefault="001A51F3" w:rsidP="00B20BC0">
    <w:pPr>
      <w:pStyle w:val="Header"/>
    </w:pPr>
    <w:r w:rsidRPr="00B20BC0">
      <w:t>Australian Bureau of Agricultural and Resource Economics and Sciences: 2015-16 work programme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03CA2"/>
    <w:multiLevelType w:val="hybridMultilevel"/>
    <w:tmpl w:val="B1048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947C8A"/>
    <w:multiLevelType w:val="hybridMultilevel"/>
    <w:tmpl w:val="1D4EA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A162E7"/>
    <w:multiLevelType w:val="multilevel"/>
    <w:tmpl w:val="F9AA7C46"/>
    <w:styleLink w:val="multilistheading"/>
    <w:lvl w:ilvl="0">
      <w:start w:val="1"/>
      <w:numFmt w:val="decimal"/>
      <w:pStyle w:val="Heading2"/>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3" w15:restartNumberingAfterBreak="0">
    <w:nsid w:val="26996414"/>
    <w:multiLevelType w:val="hybridMultilevel"/>
    <w:tmpl w:val="5352C8C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15:restartNumberingAfterBreak="0">
    <w:nsid w:val="27E70DD2"/>
    <w:multiLevelType w:val="hybridMultilevel"/>
    <w:tmpl w:val="E1446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E937A5"/>
    <w:multiLevelType w:val="hybridMultilevel"/>
    <w:tmpl w:val="EAD48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35C09FB"/>
    <w:multiLevelType w:val="hybridMultilevel"/>
    <w:tmpl w:val="E2B61242"/>
    <w:lvl w:ilvl="0" w:tplc="B7304516">
      <w:start w:val="3"/>
      <w:numFmt w:val="bullet"/>
      <w:lvlText w:val=""/>
      <w:lvlJc w:val="left"/>
      <w:pPr>
        <w:ind w:left="720" w:hanging="360"/>
      </w:pPr>
      <w:rPr>
        <w:rFonts w:ascii="Symbol" w:eastAsia="Calibri" w:hAnsi="Symbol"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353A2118"/>
    <w:multiLevelType w:val="hybridMultilevel"/>
    <w:tmpl w:val="EC36833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367449DD"/>
    <w:multiLevelType w:val="hybridMultilevel"/>
    <w:tmpl w:val="F8708DDA"/>
    <w:lvl w:ilvl="0" w:tplc="557E57DC">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CE96D82"/>
    <w:multiLevelType w:val="hybridMultilevel"/>
    <w:tmpl w:val="E2D22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BA5DEF"/>
    <w:multiLevelType w:val="singleLevel"/>
    <w:tmpl w:val="DD06D440"/>
    <w:lvl w:ilvl="0">
      <w:start w:val="1"/>
      <w:numFmt w:val="decimal"/>
      <w:lvlText w:val="%1."/>
      <w:lvlJc w:val="left"/>
      <w:pPr>
        <w:tabs>
          <w:tab w:val="num" w:pos="357"/>
        </w:tabs>
        <w:ind w:left="357" w:hanging="357"/>
      </w:pPr>
      <w:rPr>
        <w:rFonts w:ascii="Calibri" w:eastAsia="Times New Roman" w:hAnsi="Calibri" w:cs="Times New Roman"/>
        <w:b w:val="0"/>
        <w:i w:val="0"/>
        <w:color w:val="auto"/>
        <w:sz w:val="22"/>
        <w:szCs w:val="22"/>
      </w:rPr>
    </w:lvl>
  </w:abstractNum>
  <w:abstractNum w:abstractNumId="11" w15:restartNumberingAfterBreak="0">
    <w:nsid w:val="50EC37FD"/>
    <w:multiLevelType w:val="hybridMultilevel"/>
    <w:tmpl w:val="2C2AAFE6"/>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522D5499"/>
    <w:multiLevelType w:val="hybridMultilevel"/>
    <w:tmpl w:val="6E821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B5052BF"/>
    <w:multiLevelType w:val="hybridMultilevel"/>
    <w:tmpl w:val="FC947502"/>
    <w:lvl w:ilvl="0" w:tplc="28F0C7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F951DFC"/>
    <w:multiLevelType w:val="hybridMultilevel"/>
    <w:tmpl w:val="1AA213B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15:restartNumberingAfterBreak="0">
    <w:nsid w:val="7F7F1189"/>
    <w:multiLevelType w:val="hybridMultilevel"/>
    <w:tmpl w:val="B26C4656"/>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3"/>
  </w:num>
  <w:num w:numId="2">
    <w:abstractNumId w:val="10"/>
    <w:lvlOverride w:ilvl="0">
      <w:startOverride w:val="1"/>
    </w:lvlOverride>
  </w:num>
  <w:num w:numId="3">
    <w:abstractNumId w:val="8"/>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0"/>
  </w:num>
  <w:num w:numId="9">
    <w:abstractNumId w:val="2"/>
  </w:num>
  <w:num w:numId="10">
    <w:abstractNumId w:val="4"/>
  </w:num>
  <w:num w:numId="11">
    <w:abstractNumId w:val="12"/>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
  </w:num>
  <w:num w:numId="17">
    <w:abstractNumId w:val="8"/>
  </w:num>
  <w:num w:numId="18">
    <w:abstractNumId w:val="4"/>
  </w:num>
  <w:num w:numId="19">
    <w:abstractNumId w:val="8"/>
  </w:num>
  <w:num w:numId="20">
    <w:abstractNumId w:val="8"/>
  </w:num>
  <w:num w:numId="21">
    <w:abstractNumId w:val="8"/>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3231a8a8-9b54-40c9-bf4b-b3001a2c08eb"/>
  </w:docVars>
  <w:rsids>
    <w:rsidRoot w:val="00F40D28"/>
    <w:rsid w:val="00036733"/>
    <w:rsid w:val="00050D06"/>
    <w:rsid w:val="00052661"/>
    <w:rsid w:val="0005612B"/>
    <w:rsid w:val="00057679"/>
    <w:rsid w:val="00067A43"/>
    <w:rsid w:val="000722F7"/>
    <w:rsid w:val="0007750A"/>
    <w:rsid w:val="00082220"/>
    <w:rsid w:val="000861D8"/>
    <w:rsid w:val="00092F09"/>
    <w:rsid w:val="000A2E79"/>
    <w:rsid w:val="000A75AD"/>
    <w:rsid w:val="000B383C"/>
    <w:rsid w:val="000F4417"/>
    <w:rsid w:val="00114B67"/>
    <w:rsid w:val="00127A46"/>
    <w:rsid w:val="0013636E"/>
    <w:rsid w:val="00146F52"/>
    <w:rsid w:val="001832DC"/>
    <w:rsid w:val="00186759"/>
    <w:rsid w:val="00197482"/>
    <w:rsid w:val="001A4DC2"/>
    <w:rsid w:val="001A51F3"/>
    <w:rsid w:val="001B7A14"/>
    <w:rsid w:val="001C06B4"/>
    <w:rsid w:val="001D182F"/>
    <w:rsid w:val="001D1EFE"/>
    <w:rsid w:val="001D5667"/>
    <w:rsid w:val="00200137"/>
    <w:rsid w:val="002011CE"/>
    <w:rsid w:val="00233155"/>
    <w:rsid w:val="002365AC"/>
    <w:rsid w:val="00260462"/>
    <w:rsid w:val="00270909"/>
    <w:rsid w:val="0027497C"/>
    <w:rsid w:val="00284191"/>
    <w:rsid w:val="00291417"/>
    <w:rsid w:val="00295E7E"/>
    <w:rsid w:val="002A5D01"/>
    <w:rsid w:val="002C3B07"/>
    <w:rsid w:val="002D1FD4"/>
    <w:rsid w:val="002D2AEF"/>
    <w:rsid w:val="002E1695"/>
    <w:rsid w:val="002F3BBD"/>
    <w:rsid w:val="002F59D6"/>
    <w:rsid w:val="00340B81"/>
    <w:rsid w:val="00354B61"/>
    <w:rsid w:val="00355988"/>
    <w:rsid w:val="00382794"/>
    <w:rsid w:val="003936A7"/>
    <w:rsid w:val="003B3978"/>
    <w:rsid w:val="003B4F9A"/>
    <w:rsid w:val="003B4FD8"/>
    <w:rsid w:val="003B6E75"/>
    <w:rsid w:val="003B7047"/>
    <w:rsid w:val="003D78C9"/>
    <w:rsid w:val="003F1612"/>
    <w:rsid w:val="004159F3"/>
    <w:rsid w:val="00426277"/>
    <w:rsid w:val="00441124"/>
    <w:rsid w:val="00446B39"/>
    <w:rsid w:val="00450B94"/>
    <w:rsid w:val="00454D4D"/>
    <w:rsid w:val="00494D22"/>
    <w:rsid w:val="00495BFD"/>
    <w:rsid w:val="004A5F08"/>
    <w:rsid w:val="004C55A1"/>
    <w:rsid w:val="004E38CF"/>
    <w:rsid w:val="004E5909"/>
    <w:rsid w:val="004E71C6"/>
    <w:rsid w:val="005004C7"/>
    <w:rsid w:val="00506E29"/>
    <w:rsid w:val="00512EF9"/>
    <w:rsid w:val="00516DA0"/>
    <w:rsid w:val="005209DB"/>
    <w:rsid w:val="005356FE"/>
    <w:rsid w:val="00541495"/>
    <w:rsid w:val="00542256"/>
    <w:rsid w:val="0054288E"/>
    <w:rsid w:val="00543843"/>
    <w:rsid w:val="0055128E"/>
    <w:rsid w:val="00561E16"/>
    <w:rsid w:val="00562CD0"/>
    <w:rsid w:val="00563E30"/>
    <w:rsid w:val="005761DC"/>
    <w:rsid w:val="00590E05"/>
    <w:rsid w:val="00597761"/>
    <w:rsid w:val="00597797"/>
    <w:rsid w:val="005A3DC7"/>
    <w:rsid w:val="005B2835"/>
    <w:rsid w:val="005C20E8"/>
    <w:rsid w:val="005C2B11"/>
    <w:rsid w:val="005C7090"/>
    <w:rsid w:val="005D6C2C"/>
    <w:rsid w:val="005E6786"/>
    <w:rsid w:val="005F287D"/>
    <w:rsid w:val="00620378"/>
    <w:rsid w:val="00621CBD"/>
    <w:rsid w:val="006311F7"/>
    <w:rsid w:val="00641B57"/>
    <w:rsid w:val="00642628"/>
    <w:rsid w:val="00645385"/>
    <w:rsid w:val="00661C6D"/>
    <w:rsid w:val="00684D41"/>
    <w:rsid w:val="00685947"/>
    <w:rsid w:val="00687A8E"/>
    <w:rsid w:val="00687F8F"/>
    <w:rsid w:val="00693E91"/>
    <w:rsid w:val="006A1A6B"/>
    <w:rsid w:val="006A4A0E"/>
    <w:rsid w:val="006C7FF4"/>
    <w:rsid w:val="006D1721"/>
    <w:rsid w:val="00714C50"/>
    <w:rsid w:val="00724A5D"/>
    <w:rsid w:val="00731BA3"/>
    <w:rsid w:val="007812F9"/>
    <w:rsid w:val="00787AAA"/>
    <w:rsid w:val="00791F5B"/>
    <w:rsid w:val="007A1B7D"/>
    <w:rsid w:val="007B2066"/>
    <w:rsid w:val="007B5353"/>
    <w:rsid w:val="007C7852"/>
    <w:rsid w:val="007D5020"/>
    <w:rsid w:val="007D581B"/>
    <w:rsid w:val="00807705"/>
    <w:rsid w:val="00812C12"/>
    <w:rsid w:val="00822666"/>
    <w:rsid w:val="00836900"/>
    <w:rsid w:val="00836CF9"/>
    <w:rsid w:val="008634F5"/>
    <w:rsid w:val="00863A3C"/>
    <w:rsid w:val="0087420D"/>
    <w:rsid w:val="00891212"/>
    <w:rsid w:val="00891272"/>
    <w:rsid w:val="00892119"/>
    <w:rsid w:val="008C06C9"/>
    <w:rsid w:val="008C2960"/>
    <w:rsid w:val="008F25B5"/>
    <w:rsid w:val="00910880"/>
    <w:rsid w:val="00912B8D"/>
    <w:rsid w:val="00925593"/>
    <w:rsid w:val="00925FCD"/>
    <w:rsid w:val="00933EF7"/>
    <w:rsid w:val="00941FA2"/>
    <w:rsid w:val="00943EF0"/>
    <w:rsid w:val="00952C36"/>
    <w:rsid w:val="00952E4D"/>
    <w:rsid w:val="00956CAC"/>
    <w:rsid w:val="00960287"/>
    <w:rsid w:val="00995E5D"/>
    <w:rsid w:val="009A0B1A"/>
    <w:rsid w:val="009A4342"/>
    <w:rsid w:val="009C022A"/>
    <w:rsid w:val="009C2237"/>
    <w:rsid w:val="009C38FE"/>
    <w:rsid w:val="009C56BD"/>
    <w:rsid w:val="009E2940"/>
    <w:rsid w:val="009E4198"/>
    <w:rsid w:val="009F348C"/>
    <w:rsid w:val="009F55A6"/>
    <w:rsid w:val="00A03505"/>
    <w:rsid w:val="00A07930"/>
    <w:rsid w:val="00A10ADD"/>
    <w:rsid w:val="00A17F92"/>
    <w:rsid w:val="00A26408"/>
    <w:rsid w:val="00A541F4"/>
    <w:rsid w:val="00A57741"/>
    <w:rsid w:val="00A67C20"/>
    <w:rsid w:val="00A72679"/>
    <w:rsid w:val="00A84DEE"/>
    <w:rsid w:val="00A86FF7"/>
    <w:rsid w:val="00A97AE1"/>
    <w:rsid w:val="00AE5B14"/>
    <w:rsid w:val="00AF6B99"/>
    <w:rsid w:val="00B20BC0"/>
    <w:rsid w:val="00B2528C"/>
    <w:rsid w:val="00B263F6"/>
    <w:rsid w:val="00B43A29"/>
    <w:rsid w:val="00B56F10"/>
    <w:rsid w:val="00B8506C"/>
    <w:rsid w:val="00BC4B09"/>
    <w:rsid w:val="00BF462D"/>
    <w:rsid w:val="00BF6FE1"/>
    <w:rsid w:val="00C00381"/>
    <w:rsid w:val="00C11107"/>
    <w:rsid w:val="00C11CC8"/>
    <w:rsid w:val="00C45D05"/>
    <w:rsid w:val="00C53BC9"/>
    <w:rsid w:val="00C7181D"/>
    <w:rsid w:val="00C71BFA"/>
    <w:rsid w:val="00C7505A"/>
    <w:rsid w:val="00C7714D"/>
    <w:rsid w:val="00CB74C9"/>
    <w:rsid w:val="00CC56EB"/>
    <w:rsid w:val="00CC5F37"/>
    <w:rsid w:val="00D00D14"/>
    <w:rsid w:val="00D10F9B"/>
    <w:rsid w:val="00D147C4"/>
    <w:rsid w:val="00D4237C"/>
    <w:rsid w:val="00D7192D"/>
    <w:rsid w:val="00D753EE"/>
    <w:rsid w:val="00D82E61"/>
    <w:rsid w:val="00DA7922"/>
    <w:rsid w:val="00DC23D9"/>
    <w:rsid w:val="00DC51CF"/>
    <w:rsid w:val="00DD4019"/>
    <w:rsid w:val="00DE7531"/>
    <w:rsid w:val="00DF4510"/>
    <w:rsid w:val="00DF6B91"/>
    <w:rsid w:val="00E007AB"/>
    <w:rsid w:val="00E1070B"/>
    <w:rsid w:val="00E156D9"/>
    <w:rsid w:val="00E30CA6"/>
    <w:rsid w:val="00E34553"/>
    <w:rsid w:val="00E53B19"/>
    <w:rsid w:val="00E551AB"/>
    <w:rsid w:val="00E55AB3"/>
    <w:rsid w:val="00E63EFE"/>
    <w:rsid w:val="00E94F68"/>
    <w:rsid w:val="00EB3E52"/>
    <w:rsid w:val="00EC3EC3"/>
    <w:rsid w:val="00EC503E"/>
    <w:rsid w:val="00ED5FD5"/>
    <w:rsid w:val="00EF6C18"/>
    <w:rsid w:val="00EF6CDE"/>
    <w:rsid w:val="00F16DA2"/>
    <w:rsid w:val="00F23F83"/>
    <w:rsid w:val="00F2727B"/>
    <w:rsid w:val="00F27AE8"/>
    <w:rsid w:val="00F40D28"/>
    <w:rsid w:val="00F5618B"/>
    <w:rsid w:val="00F60BD5"/>
    <w:rsid w:val="00F82634"/>
    <w:rsid w:val="00F870BB"/>
    <w:rsid w:val="00F93047"/>
    <w:rsid w:val="00FA4F9E"/>
    <w:rsid w:val="00FA59D8"/>
    <w:rsid w:val="00FB4D67"/>
    <w:rsid w:val="00FD1A1B"/>
    <w:rsid w:val="00FF17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qFormat="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A43"/>
    <w:pPr>
      <w:spacing w:after="120"/>
    </w:pPr>
    <w:rPr>
      <w:sz w:val="24"/>
      <w:szCs w:val="24"/>
      <w:lang w:eastAsia="en-US"/>
    </w:rPr>
  </w:style>
  <w:style w:type="paragraph" w:styleId="Heading1">
    <w:name w:val="heading 1"/>
    <w:basedOn w:val="Normal"/>
    <w:next w:val="Normal"/>
    <w:link w:val="Heading1Char"/>
    <w:uiPriority w:val="9"/>
    <w:qFormat/>
    <w:rsid w:val="00067A43"/>
    <w:pPr>
      <w:spacing w:before="360" w:after="0"/>
      <w:ind w:left="1276"/>
      <w:contextualSpacing/>
      <w:outlineLvl w:val="0"/>
    </w:pPr>
    <w:rPr>
      <w:rFonts w:eastAsiaTheme="majorEastAsia" w:cstheme="majorBidi"/>
      <w:b/>
      <w:color w:val="000000" w:themeColor="text1"/>
      <w:spacing w:val="5"/>
      <w:kern w:val="28"/>
      <w:sz w:val="44"/>
      <w:szCs w:val="52"/>
    </w:rPr>
  </w:style>
  <w:style w:type="paragraph" w:styleId="Heading2">
    <w:name w:val="heading 2"/>
    <w:basedOn w:val="Normal"/>
    <w:next w:val="Normal"/>
    <w:link w:val="Heading2Char"/>
    <w:uiPriority w:val="9"/>
    <w:unhideWhenUsed/>
    <w:qFormat/>
    <w:rsid w:val="00114B67"/>
    <w:pPr>
      <w:keepNext/>
      <w:keepLines/>
      <w:pageBreakBefore/>
      <w:numPr>
        <w:numId w:val="9"/>
      </w:numPr>
      <w:outlineLvl w:val="1"/>
    </w:pPr>
    <w:rPr>
      <w:rFonts w:ascii="Calibri" w:eastAsia="MS Gothic" w:hAnsi="Calibri"/>
      <w:b/>
      <w:bCs/>
      <w:sz w:val="44"/>
      <w:szCs w:val="26"/>
    </w:rPr>
  </w:style>
  <w:style w:type="paragraph" w:styleId="Heading3">
    <w:name w:val="heading 3"/>
    <w:next w:val="Normal"/>
    <w:link w:val="Heading3Char"/>
    <w:uiPriority w:val="9"/>
    <w:unhideWhenUsed/>
    <w:qFormat/>
    <w:rsid w:val="009F55A6"/>
    <w:pPr>
      <w:keepNext/>
      <w:spacing w:before="240"/>
      <w:outlineLvl w:val="2"/>
    </w:pPr>
    <w:rPr>
      <w:rFonts w:ascii="Calibri" w:eastAsia="MS Gothic" w:hAnsi="Calibri"/>
      <w:b/>
      <w:bCs/>
      <w:color w:val="000000"/>
      <w:sz w:val="32"/>
      <w:szCs w:val="26"/>
      <w:lang w:eastAsia="en-US"/>
    </w:rPr>
  </w:style>
  <w:style w:type="paragraph" w:styleId="Heading4">
    <w:name w:val="heading 4"/>
    <w:next w:val="Normal"/>
    <w:link w:val="Heading4Char"/>
    <w:uiPriority w:val="9"/>
    <w:unhideWhenUsed/>
    <w:qFormat/>
    <w:rsid w:val="009F55A6"/>
    <w:pPr>
      <w:spacing w:before="240"/>
      <w:outlineLvl w:val="3"/>
    </w:pPr>
    <w:rPr>
      <w:rFonts w:ascii="Calibri" w:hAnsi="Calibri" w:cs="Calibri"/>
      <w:b/>
      <w:sz w:val="24"/>
      <w:szCs w:val="24"/>
      <w:lang w:eastAsia="en-US"/>
    </w:rPr>
  </w:style>
  <w:style w:type="paragraph" w:styleId="Heading5">
    <w:name w:val="heading 5"/>
    <w:basedOn w:val="Normal"/>
    <w:next w:val="Normal"/>
    <w:link w:val="Heading5Char"/>
    <w:uiPriority w:val="9"/>
    <w:unhideWhenUsed/>
    <w:qFormat/>
    <w:rsid w:val="00F40D2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F40D2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eastAsia="en-US"/>
    </w:rPr>
  </w:style>
  <w:style w:type="character" w:customStyle="1" w:styleId="Heading1Char">
    <w:name w:val="Heading 1 Char"/>
    <w:basedOn w:val="DefaultParagraphFont"/>
    <w:link w:val="Heading1"/>
    <w:uiPriority w:val="9"/>
    <w:rsid w:val="00DE7531"/>
    <w:rPr>
      <w:rFonts w:eastAsiaTheme="majorEastAsia" w:cstheme="majorBidi"/>
      <w:b/>
      <w:color w:val="000000" w:themeColor="text1"/>
      <w:spacing w:val="5"/>
      <w:kern w:val="28"/>
      <w:sz w:val="44"/>
      <w:szCs w:val="52"/>
      <w:lang w:eastAsia="en-US"/>
    </w:rPr>
  </w:style>
  <w:style w:type="character" w:customStyle="1" w:styleId="Heading2Char">
    <w:name w:val="Heading 2 Char"/>
    <w:basedOn w:val="DefaultParagraphFont"/>
    <w:link w:val="Heading2"/>
    <w:uiPriority w:val="9"/>
    <w:rsid w:val="00114B67"/>
    <w:rPr>
      <w:rFonts w:ascii="Calibri" w:eastAsia="MS Gothic" w:hAnsi="Calibri"/>
      <w:b/>
      <w:bCs/>
      <w:sz w:val="44"/>
      <w:szCs w:val="26"/>
      <w:lang w:eastAsia="en-US"/>
    </w:rPr>
  </w:style>
  <w:style w:type="character" w:customStyle="1" w:styleId="Heading3Char">
    <w:name w:val="Heading 3 Char"/>
    <w:basedOn w:val="DefaultParagraphFont"/>
    <w:link w:val="Heading3"/>
    <w:uiPriority w:val="9"/>
    <w:rsid w:val="009F55A6"/>
    <w:rPr>
      <w:rFonts w:ascii="Calibri" w:eastAsia="MS Gothic" w:hAnsi="Calibri"/>
      <w:b/>
      <w:bCs/>
      <w:color w:val="000000"/>
      <w:sz w:val="32"/>
      <w:szCs w:val="26"/>
      <w:lang w:eastAsia="en-US"/>
    </w:rPr>
  </w:style>
  <w:style w:type="paragraph" w:customStyle="1" w:styleId="Tableheader">
    <w:name w:val="Table header"/>
    <w:basedOn w:val="Normal"/>
    <w:link w:val="TableheaderChar"/>
    <w:qFormat/>
    <w:rsid w:val="00F40D28"/>
    <w:rPr>
      <w:b/>
      <w:sz w:val="22"/>
    </w:rPr>
  </w:style>
  <w:style w:type="character" w:customStyle="1" w:styleId="Heading4Char">
    <w:name w:val="Heading 4 Char"/>
    <w:basedOn w:val="DefaultParagraphFont"/>
    <w:link w:val="Heading4"/>
    <w:uiPriority w:val="9"/>
    <w:rsid w:val="009F55A6"/>
    <w:rPr>
      <w:rFonts w:ascii="Calibri" w:hAnsi="Calibri" w:cs="Calibri"/>
      <w:b/>
      <w:sz w:val="24"/>
      <w:szCs w:val="24"/>
      <w:lang w:eastAsia="en-US"/>
    </w:rPr>
  </w:style>
  <w:style w:type="character" w:customStyle="1" w:styleId="TableheaderChar">
    <w:name w:val="Table header Char"/>
    <w:basedOn w:val="DefaultParagraphFont"/>
    <w:link w:val="Tableheader"/>
    <w:rsid w:val="00F40D28"/>
    <w:rPr>
      <w:b/>
      <w:sz w:val="22"/>
      <w:szCs w:val="24"/>
      <w:lang w:eastAsia="en-US"/>
    </w:rPr>
  </w:style>
  <w:style w:type="character" w:customStyle="1" w:styleId="Heading5Char">
    <w:name w:val="Heading 5 Char"/>
    <w:basedOn w:val="DefaultParagraphFont"/>
    <w:link w:val="Heading5"/>
    <w:uiPriority w:val="9"/>
    <w:rsid w:val="00F40D28"/>
    <w:rPr>
      <w:rFonts w:ascii="Cambria" w:eastAsia="MS Mincho" w:hAnsi="Cambria" w:cs="Times New Roman"/>
      <w:b/>
      <w:bCs/>
      <w:i/>
      <w:iCs/>
      <w:sz w:val="26"/>
      <w:szCs w:val="26"/>
      <w:lang w:eastAsia="en-US"/>
    </w:rPr>
  </w:style>
  <w:style w:type="paragraph" w:styleId="TOC1">
    <w:name w:val="toc 1"/>
    <w:basedOn w:val="Normal"/>
    <w:next w:val="Normal"/>
    <w:autoRedefine/>
    <w:uiPriority w:val="39"/>
    <w:unhideWhenUsed/>
    <w:rsid w:val="00DE7531"/>
    <w:pPr>
      <w:tabs>
        <w:tab w:val="left" w:pos="567"/>
        <w:tab w:val="right" w:leader="dot" w:pos="9350"/>
      </w:tabs>
      <w:spacing w:before="240" w:after="0"/>
    </w:pPr>
    <w:rPr>
      <w:rFonts w:asciiTheme="majorHAnsi" w:hAnsiTheme="majorHAnsi"/>
      <w:b/>
      <w:bCs/>
      <w:sz w:val="22"/>
    </w:rPr>
  </w:style>
  <w:style w:type="paragraph" w:styleId="TOC3">
    <w:name w:val="toc 3"/>
    <w:basedOn w:val="Normal"/>
    <w:next w:val="Normal"/>
    <w:autoRedefine/>
    <w:uiPriority w:val="39"/>
    <w:unhideWhenUsed/>
    <w:rsid w:val="00F40D28"/>
    <w:pPr>
      <w:spacing w:after="0"/>
      <w:ind w:left="240"/>
    </w:pPr>
    <w:rPr>
      <w:rFonts w:asciiTheme="minorHAnsi" w:hAnsiTheme="minorHAnsi"/>
      <w:sz w:val="20"/>
      <w:szCs w:val="20"/>
    </w:rPr>
  </w:style>
  <w:style w:type="paragraph" w:styleId="TOC2">
    <w:name w:val="toc 2"/>
    <w:next w:val="Normal"/>
    <w:autoRedefine/>
    <w:uiPriority w:val="39"/>
    <w:unhideWhenUsed/>
    <w:rsid w:val="00995E5D"/>
    <w:pPr>
      <w:tabs>
        <w:tab w:val="right" w:leader="dot" w:pos="9350"/>
      </w:tabs>
      <w:spacing w:line="360" w:lineRule="auto"/>
      <w:ind w:left="567"/>
      <w:contextualSpacing/>
    </w:pPr>
    <w:rPr>
      <w:rFonts w:asciiTheme="minorHAnsi" w:hAnsiTheme="minorHAnsi"/>
      <w:bCs/>
      <w:noProof/>
      <w:sz w:val="22"/>
      <w:lang w:eastAsia="en-US"/>
    </w:rPr>
  </w:style>
  <w:style w:type="character" w:styleId="Hyperlink">
    <w:name w:val="Hyperlink"/>
    <w:basedOn w:val="DefaultParagraphFont"/>
    <w:uiPriority w:val="99"/>
    <w:unhideWhenUsed/>
    <w:rsid w:val="00F40D28"/>
    <w:rPr>
      <w:color w:val="0000FF"/>
      <w:u w:val="single"/>
    </w:rPr>
  </w:style>
  <w:style w:type="paragraph" w:styleId="Header">
    <w:name w:val="header"/>
    <w:link w:val="HeaderChar"/>
    <w:uiPriority w:val="99"/>
    <w:unhideWhenUsed/>
    <w:rsid w:val="00B20BC0"/>
    <w:pPr>
      <w:tabs>
        <w:tab w:val="center" w:pos="4513"/>
        <w:tab w:val="right" w:pos="9026"/>
      </w:tabs>
    </w:pPr>
    <w:rPr>
      <w:szCs w:val="24"/>
      <w:lang w:eastAsia="en-US"/>
    </w:rPr>
  </w:style>
  <w:style w:type="character" w:customStyle="1" w:styleId="HeaderChar">
    <w:name w:val="Header Char"/>
    <w:basedOn w:val="DefaultParagraphFont"/>
    <w:link w:val="Header"/>
    <w:uiPriority w:val="99"/>
    <w:rsid w:val="00B20BC0"/>
    <w:rPr>
      <w:szCs w:val="24"/>
      <w:lang w:eastAsia="en-US"/>
    </w:rPr>
  </w:style>
  <w:style w:type="paragraph" w:styleId="Footer">
    <w:name w:val="footer"/>
    <w:link w:val="FooterChar"/>
    <w:uiPriority w:val="99"/>
    <w:unhideWhenUsed/>
    <w:rsid w:val="00B20BC0"/>
    <w:pPr>
      <w:tabs>
        <w:tab w:val="right" w:pos="9356"/>
      </w:tabs>
    </w:pPr>
    <w:rPr>
      <w:szCs w:val="24"/>
      <w:lang w:eastAsia="en-US"/>
    </w:rPr>
  </w:style>
  <w:style w:type="character" w:customStyle="1" w:styleId="FooterChar">
    <w:name w:val="Footer Char"/>
    <w:basedOn w:val="DefaultParagraphFont"/>
    <w:link w:val="Footer"/>
    <w:uiPriority w:val="99"/>
    <w:rsid w:val="00B20BC0"/>
    <w:rPr>
      <w:szCs w:val="24"/>
      <w:lang w:eastAsia="en-US"/>
    </w:rPr>
  </w:style>
  <w:style w:type="paragraph" w:styleId="BalloonText">
    <w:name w:val="Balloon Text"/>
    <w:basedOn w:val="Normal"/>
    <w:link w:val="BalloonTextChar"/>
    <w:uiPriority w:val="99"/>
    <w:semiHidden/>
    <w:unhideWhenUsed/>
    <w:rsid w:val="00F40D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D28"/>
    <w:rPr>
      <w:rFonts w:ascii="Tahoma" w:hAnsi="Tahoma" w:cs="Tahoma"/>
      <w:sz w:val="16"/>
      <w:szCs w:val="16"/>
      <w:lang w:eastAsia="en-US"/>
    </w:rPr>
  </w:style>
  <w:style w:type="character" w:styleId="CommentReference">
    <w:name w:val="annotation reference"/>
    <w:basedOn w:val="DefaultParagraphFont"/>
    <w:uiPriority w:val="99"/>
    <w:semiHidden/>
    <w:unhideWhenUsed/>
    <w:rsid w:val="00F40D28"/>
    <w:rPr>
      <w:sz w:val="16"/>
      <w:szCs w:val="16"/>
    </w:rPr>
  </w:style>
  <w:style w:type="paragraph" w:styleId="CommentText">
    <w:name w:val="annotation text"/>
    <w:basedOn w:val="Normal"/>
    <w:link w:val="CommentTextChar"/>
    <w:uiPriority w:val="99"/>
    <w:semiHidden/>
    <w:unhideWhenUsed/>
    <w:rsid w:val="00F40D28"/>
    <w:rPr>
      <w:sz w:val="20"/>
      <w:szCs w:val="20"/>
    </w:rPr>
  </w:style>
  <w:style w:type="character" w:customStyle="1" w:styleId="CommentTextChar">
    <w:name w:val="Comment Text Char"/>
    <w:basedOn w:val="DefaultParagraphFont"/>
    <w:link w:val="CommentText"/>
    <w:uiPriority w:val="99"/>
    <w:semiHidden/>
    <w:rsid w:val="00F40D28"/>
    <w:rPr>
      <w:lang w:eastAsia="en-US"/>
    </w:rPr>
  </w:style>
  <w:style w:type="paragraph" w:styleId="CommentSubject">
    <w:name w:val="annotation subject"/>
    <w:basedOn w:val="CommentText"/>
    <w:next w:val="CommentText"/>
    <w:link w:val="CommentSubjectChar"/>
    <w:uiPriority w:val="99"/>
    <w:semiHidden/>
    <w:unhideWhenUsed/>
    <w:rsid w:val="00F40D28"/>
    <w:rPr>
      <w:b/>
      <w:bCs/>
    </w:rPr>
  </w:style>
  <w:style w:type="character" w:customStyle="1" w:styleId="CommentSubjectChar">
    <w:name w:val="Comment Subject Char"/>
    <w:basedOn w:val="CommentTextChar"/>
    <w:link w:val="CommentSubject"/>
    <w:uiPriority w:val="99"/>
    <w:semiHidden/>
    <w:rsid w:val="00F40D28"/>
    <w:rPr>
      <w:b/>
      <w:bCs/>
      <w:lang w:eastAsia="en-US"/>
    </w:rPr>
  </w:style>
  <w:style w:type="paragraph" w:styleId="ListParagraph">
    <w:name w:val="List Paragraph"/>
    <w:basedOn w:val="Normal"/>
    <w:uiPriority w:val="34"/>
    <w:qFormat/>
    <w:rsid w:val="00F40D28"/>
    <w:pPr>
      <w:ind w:left="720"/>
      <w:contextualSpacing/>
    </w:pPr>
  </w:style>
  <w:style w:type="table" w:styleId="TableGrid">
    <w:name w:val="Table Grid"/>
    <w:basedOn w:val="TableNormal"/>
    <w:uiPriority w:val="59"/>
    <w:rsid w:val="00136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B6E75"/>
    <w:rPr>
      <w:color w:val="800080" w:themeColor="followedHyperlink"/>
      <w:u w:val="single"/>
    </w:rPr>
  </w:style>
  <w:style w:type="paragraph" w:styleId="TOCHeading">
    <w:name w:val="TOC Heading"/>
    <w:next w:val="Normal"/>
    <w:uiPriority w:val="39"/>
    <w:unhideWhenUsed/>
    <w:qFormat/>
    <w:rsid w:val="00DE7531"/>
    <w:pPr>
      <w:pageBreakBefore/>
      <w:spacing w:line="276" w:lineRule="auto"/>
    </w:pPr>
    <w:rPr>
      <w:rFonts w:asciiTheme="majorHAnsi" w:eastAsiaTheme="majorEastAsia" w:hAnsiTheme="majorHAnsi" w:cstheme="majorBidi"/>
      <w:b/>
      <w:spacing w:val="5"/>
      <w:kern w:val="28"/>
      <w:sz w:val="40"/>
      <w:szCs w:val="52"/>
      <w:lang w:val="en-US" w:eastAsia="en-US"/>
    </w:rPr>
  </w:style>
  <w:style w:type="paragraph" w:styleId="ListBullet">
    <w:name w:val="List Bullet"/>
    <w:basedOn w:val="ListParagraph"/>
    <w:uiPriority w:val="99"/>
    <w:unhideWhenUsed/>
    <w:rsid w:val="00494D22"/>
    <w:pPr>
      <w:numPr>
        <w:numId w:val="3"/>
      </w:numPr>
    </w:pPr>
    <w:rPr>
      <w:rFonts w:asciiTheme="minorHAnsi" w:hAnsiTheme="minorHAnsi"/>
      <w:sz w:val="22"/>
      <w:szCs w:val="22"/>
    </w:rPr>
  </w:style>
  <w:style w:type="character" w:styleId="Strong">
    <w:name w:val="Strong"/>
    <w:basedOn w:val="DefaultParagraphFont"/>
    <w:uiPriority w:val="22"/>
    <w:qFormat/>
    <w:rsid w:val="005C2B11"/>
    <w:rPr>
      <w:b/>
      <w:bCs/>
    </w:rPr>
  </w:style>
  <w:style w:type="character" w:styleId="Emphasis">
    <w:name w:val="Emphasis"/>
    <w:basedOn w:val="DefaultParagraphFont"/>
    <w:uiPriority w:val="20"/>
    <w:qFormat/>
    <w:rsid w:val="00494D22"/>
    <w:rPr>
      <w:i/>
      <w:iCs/>
    </w:rPr>
  </w:style>
  <w:style w:type="numbering" w:customStyle="1" w:styleId="multilistheading">
    <w:name w:val="multi list heading"/>
    <w:uiPriority w:val="99"/>
    <w:rsid w:val="00494D22"/>
    <w:pPr>
      <w:numPr>
        <w:numId w:val="9"/>
      </w:numPr>
    </w:pPr>
  </w:style>
  <w:style w:type="paragraph" w:customStyle="1" w:styleId="image">
    <w:name w:val="image"/>
    <w:qFormat/>
    <w:rsid w:val="00DE7531"/>
    <w:rPr>
      <w:rFonts w:asciiTheme="minorHAnsi" w:hAnsiTheme="minorHAnsi"/>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888">
      <w:bodyDiv w:val="1"/>
      <w:marLeft w:val="0"/>
      <w:marRight w:val="0"/>
      <w:marTop w:val="0"/>
      <w:marBottom w:val="0"/>
      <w:divBdr>
        <w:top w:val="none" w:sz="0" w:space="0" w:color="auto"/>
        <w:left w:val="none" w:sz="0" w:space="0" w:color="auto"/>
        <w:bottom w:val="none" w:sz="0" w:space="0" w:color="auto"/>
        <w:right w:val="none" w:sz="0" w:space="0" w:color="auto"/>
      </w:divBdr>
    </w:div>
    <w:div w:id="132334046">
      <w:bodyDiv w:val="1"/>
      <w:marLeft w:val="0"/>
      <w:marRight w:val="0"/>
      <w:marTop w:val="0"/>
      <w:marBottom w:val="0"/>
      <w:divBdr>
        <w:top w:val="none" w:sz="0" w:space="0" w:color="auto"/>
        <w:left w:val="none" w:sz="0" w:space="0" w:color="auto"/>
        <w:bottom w:val="none" w:sz="0" w:space="0" w:color="auto"/>
        <w:right w:val="none" w:sz="0" w:space="0" w:color="auto"/>
      </w:divBdr>
    </w:div>
    <w:div w:id="139226618">
      <w:bodyDiv w:val="1"/>
      <w:marLeft w:val="0"/>
      <w:marRight w:val="0"/>
      <w:marTop w:val="0"/>
      <w:marBottom w:val="0"/>
      <w:divBdr>
        <w:top w:val="none" w:sz="0" w:space="0" w:color="auto"/>
        <w:left w:val="none" w:sz="0" w:space="0" w:color="auto"/>
        <w:bottom w:val="none" w:sz="0" w:space="0" w:color="auto"/>
        <w:right w:val="none" w:sz="0" w:space="0" w:color="auto"/>
      </w:divBdr>
    </w:div>
    <w:div w:id="143619082">
      <w:bodyDiv w:val="1"/>
      <w:marLeft w:val="0"/>
      <w:marRight w:val="0"/>
      <w:marTop w:val="0"/>
      <w:marBottom w:val="0"/>
      <w:divBdr>
        <w:top w:val="none" w:sz="0" w:space="0" w:color="auto"/>
        <w:left w:val="none" w:sz="0" w:space="0" w:color="auto"/>
        <w:bottom w:val="none" w:sz="0" w:space="0" w:color="auto"/>
        <w:right w:val="none" w:sz="0" w:space="0" w:color="auto"/>
      </w:divBdr>
    </w:div>
    <w:div w:id="191768368">
      <w:bodyDiv w:val="1"/>
      <w:marLeft w:val="0"/>
      <w:marRight w:val="0"/>
      <w:marTop w:val="0"/>
      <w:marBottom w:val="0"/>
      <w:divBdr>
        <w:top w:val="none" w:sz="0" w:space="0" w:color="auto"/>
        <w:left w:val="none" w:sz="0" w:space="0" w:color="auto"/>
        <w:bottom w:val="none" w:sz="0" w:space="0" w:color="auto"/>
        <w:right w:val="none" w:sz="0" w:space="0" w:color="auto"/>
      </w:divBdr>
    </w:div>
    <w:div w:id="259870695">
      <w:bodyDiv w:val="1"/>
      <w:marLeft w:val="0"/>
      <w:marRight w:val="0"/>
      <w:marTop w:val="0"/>
      <w:marBottom w:val="0"/>
      <w:divBdr>
        <w:top w:val="none" w:sz="0" w:space="0" w:color="auto"/>
        <w:left w:val="none" w:sz="0" w:space="0" w:color="auto"/>
        <w:bottom w:val="none" w:sz="0" w:space="0" w:color="auto"/>
        <w:right w:val="none" w:sz="0" w:space="0" w:color="auto"/>
      </w:divBdr>
    </w:div>
    <w:div w:id="286276881">
      <w:bodyDiv w:val="1"/>
      <w:marLeft w:val="0"/>
      <w:marRight w:val="0"/>
      <w:marTop w:val="0"/>
      <w:marBottom w:val="0"/>
      <w:divBdr>
        <w:top w:val="none" w:sz="0" w:space="0" w:color="auto"/>
        <w:left w:val="none" w:sz="0" w:space="0" w:color="auto"/>
        <w:bottom w:val="none" w:sz="0" w:space="0" w:color="auto"/>
        <w:right w:val="none" w:sz="0" w:space="0" w:color="auto"/>
      </w:divBdr>
      <w:divsChild>
        <w:div w:id="715202276">
          <w:marLeft w:val="0"/>
          <w:marRight w:val="0"/>
          <w:marTop w:val="0"/>
          <w:marBottom w:val="0"/>
          <w:divBdr>
            <w:top w:val="none" w:sz="0" w:space="0" w:color="auto"/>
            <w:left w:val="none" w:sz="0" w:space="0" w:color="auto"/>
            <w:bottom w:val="none" w:sz="0" w:space="0" w:color="auto"/>
            <w:right w:val="none" w:sz="0" w:space="0" w:color="auto"/>
          </w:divBdr>
          <w:divsChild>
            <w:div w:id="457257688">
              <w:marLeft w:val="0"/>
              <w:marRight w:val="0"/>
              <w:marTop w:val="0"/>
              <w:marBottom w:val="0"/>
              <w:divBdr>
                <w:top w:val="none" w:sz="0" w:space="0" w:color="auto"/>
                <w:left w:val="none" w:sz="0" w:space="0" w:color="auto"/>
                <w:bottom w:val="none" w:sz="0" w:space="0" w:color="auto"/>
                <w:right w:val="none" w:sz="0" w:space="0" w:color="auto"/>
              </w:divBdr>
              <w:divsChild>
                <w:div w:id="1460612350">
                  <w:marLeft w:val="0"/>
                  <w:marRight w:val="0"/>
                  <w:marTop w:val="0"/>
                  <w:marBottom w:val="0"/>
                  <w:divBdr>
                    <w:top w:val="none" w:sz="0" w:space="0" w:color="auto"/>
                    <w:left w:val="none" w:sz="0" w:space="0" w:color="auto"/>
                    <w:bottom w:val="none" w:sz="0" w:space="0" w:color="auto"/>
                    <w:right w:val="none" w:sz="0" w:space="0" w:color="auto"/>
                  </w:divBdr>
                  <w:divsChild>
                    <w:div w:id="61416262">
                      <w:marLeft w:val="0"/>
                      <w:marRight w:val="0"/>
                      <w:marTop w:val="0"/>
                      <w:marBottom w:val="0"/>
                      <w:divBdr>
                        <w:top w:val="none" w:sz="0" w:space="0" w:color="auto"/>
                        <w:left w:val="none" w:sz="0" w:space="0" w:color="auto"/>
                        <w:bottom w:val="none" w:sz="0" w:space="0" w:color="auto"/>
                        <w:right w:val="none" w:sz="0" w:space="0" w:color="auto"/>
                      </w:divBdr>
                      <w:divsChild>
                        <w:div w:id="1201939565">
                          <w:marLeft w:val="0"/>
                          <w:marRight w:val="0"/>
                          <w:marTop w:val="0"/>
                          <w:marBottom w:val="0"/>
                          <w:divBdr>
                            <w:top w:val="none" w:sz="0" w:space="0" w:color="auto"/>
                            <w:left w:val="none" w:sz="0" w:space="0" w:color="auto"/>
                            <w:bottom w:val="none" w:sz="0" w:space="0" w:color="auto"/>
                            <w:right w:val="none" w:sz="0" w:space="0" w:color="auto"/>
                          </w:divBdr>
                          <w:divsChild>
                            <w:div w:id="1967002464">
                              <w:marLeft w:val="-225"/>
                              <w:marRight w:val="-225"/>
                              <w:marTop w:val="0"/>
                              <w:marBottom w:val="0"/>
                              <w:divBdr>
                                <w:top w:val="none" w:sz="0" w:space="0" w:color="auto"/>
                                <w:left w:val="none" w:sz="0" w:space="0" w:color="auto"/>
                                <w:bottom w:val="none" w:sz="0" w:space="0" w:color="auto"/>
                                <w:right w:val="none" w:sz="0" w:space="0" w:color="auto"/>
                              </w:divBdr>
                              <w:divsChild>
                                <w:div w:id="2122340588">
                                  <w:marLeft w:val="0"/>
                                  <w:marRight w:val="0"/>
                                  <w:marTop w:val="0"/>
                                  <w:marBottom w:val="0"/>
                                  <w:divBdr>
                                    <w:top w:val="none" w:sz="0" w:space="0" w:color="auto"/>
                                    <w:left w:val="none" w:sz="0" w:space="0" w:color="auto"/>
                                    <w:bottom w:val="none" w:sz="0" w:space="0" w:color="auto"/>
                                    <w:right w:val="none" w:sz="0" w:space="0" w:color="auto"/>
                                  </w:divBdr>
                                  <w:divsChild>
                                    <w:div w:id="166991563">
                                      <w:marLeft w:val="0"/>
                                      <w:marRight w:val="0"/>
                                      <w:marTop w:val="0"/>
                                      <w:marBottom w:val="0"/>
                                      <w:divBdr>
                                        <w:top w:val="none" w:sz="0" w:space="0" w:color="auto"/>
                                        <w:left w:val="none" w:sz="0" w:space="0" w:color="auto"/>
                                        <w:bottom w:val="none" w:sz="0" w:space="0" w:color="auto"/>
                                        <w:right w:val="none" w:sz="0" w:space="0" w:color="auto"/>
                                      </w:divBdr>
                                      <w:divsChild>
                                        <w:div w:id="1283148392">
                                          <w:marLeft w:val="0"/>
                                          <w:marRight w:val="0"/>
                                          <w:marTop w:val="0"/>
                                          <w:marBottom w:val="0"/>
                                          <w:divBdr>
                                            <w:top w:val="none" w:sz="0" w:space="0" w:color="auto"/>
                                            <w:left w:val="none" w:sz="0" w:space="0" w:color="auto"/>
                                            <w:bottom w:val="none" w:sz="0" w:space="0" w:color="auto"/>
                                            <w:right w:val="none" w:sz="0" w:space="0" w:color="auto"/>
                                          </w:divBdr>
                                          <w:divsChild>
                                            <w:div w:id="2079858735">
                                              <w:marLeft w:val="0"/>
                                              <w:marRight w:val="0"/>
                                              <w:marTop w:val="0"/>
                                              <w:marBottom w:val="0"/>
                                              <w:divBdr>
                                                <w:top w:val="none" w:sz="0" w:space="0" w:color="auto"/>
                                                <w:left w:val="none" w:sz="0" w:space="0" w:color="auto"/>
                                                <w:bottom w:val="none" w:sz="0" w:space="0" w:color="auto"/>
                                                <w:right w:val="none" w:sz="0" w:space="0" w:color="auto"/>
                                              </w:divBdr>
                                              <w:divsChild>
                                                <w:div w:id="144400023">
                                                  <w:marLeft w:val="0"/>
                                                  <w:marRight w:val="0"/>
                                                  <w:marTop w:val="0"/>
                                                  <w:marBottom w:val="0"/>
                                                  <w:divBdr>
                                                    <w:top w:val="none" w:sz="0" w:space="0" w:color="auto"/>
                                                    <w:left w:val="none" w:sz="0" w:space="0" w:color="auto"/>
                                                    <w:bottom w:val="none" w:sz="0" w:space="0" w:color="auto"/>
                                                    <w:right w:val="none" w:sz="0" w:space="0" w:color="auto"/>
                                                  </w:divBdr>
                                                  <w:divsChild>
                                                    <w:div w:id="1243025773">
                                                      <w:marLeft w:val="0"/>
                                                      <w:marRight w:val="0"/>
                                                      <w:marTop w:val="0"/>
                                                      <w:marBottom w:val="0"/>
                                                      <w:divBdr>
                                                        <w:top w:val="none" w:sz="0" w:space="0" w:color="auto"/>
                                                        <w:left w:val="none" w:sz="0" w:space="0" w:color="auto"/>
                                                        <w:bottom w:val="none" w:sz="0" w:space="0" w:color="auto"/>
                                                        <w:right w:val="none" w:sz="0" w:space="0" w:color="auto"/>
                                                      </w:divBdr>
                                                      <w:divsChild>
                                                        <w:div w:id="1140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7387681">
      <w:bodyDiv w:val="1"/>
      <w:marLeft w:val="0"/>
      <w:marRight w:val="0"/>
      <w:marTop w:val="0"/>
      <w:marBottom w:val="0"/>
      <w:divBdr>
        <w:top w:val="none" w:sz="0" w:space="0" w:color="auto"/>
        <w:left w:val="none" w:sz="0" w:space="0" w:color="auto"/>
        <w:bottom w:val="none" w:sz="0" w:space="0" w:color="auto"/>
        <w:right w:val="none" w:sz="0" w:space="0" w:color="auto"/>
      </w:divBdr>
    </w:div>
    <w:div w:id="417214643">
      <w:bodyDiv w:val="1"/>
      <w:marLeft w:val="0"/>
      <w:marRight w:val="0"/>
      <w:marTop w:val="0"/>
      <w:marBottom w:val="0"/>
      <w:divBdr>
        <w:top w:val="none" w:sz="0" w:space="0" w:color="auto"/>
        <w:left w:val="none" w:sz="0" w:space="0" w:color="auto"/>
        <w:bottom w:val="none" w:sz="0" w:space="0" w:color="auto"/>
        <w:right w:val="none" w:sz="0" w:space="0" w:color="auto"/>
      </w:divBdr>
    </w:div>
    <w:div w:id="539823738">
      <w:bodyDiv w:val="1"/>
      <w:marLeft w:val="0"/>
      <w:marRight w:val="0"/>
      <w:marTop w:val="0"/>
      <w:marBottom w:val="0"/>
      <w:divBdr>
        <w:top w:val="none" w:sz="0" w:space="0" w:color="auto"/>
        <w:left w:val="none" w:sz="0" w:space="0" w:color="auto"/>
        <w:bottom w:val="none" w:sz="0" w:space="0" w:color="auto"/>
        <w:right w:val="none" w:sz="0" w:space="0" w:color="auto"/>
      </w:divBdr>
    </w:div>
    <w:div w:id="645165179">
      <w:bodyDiv w:val="1"/>
      <w:marLeft w:val="0"/>
      <w:marRight w:val="0"/>
      <w:marTop w:val="0"/>
      <w:marBottom w:val="0"/>
      <w:divBdr>
        <w:top w:val="none" w:sz="0" w:space="0" w:color="auto"/>
        <w:left w:val="none" w:sz="0" w:space="0" w:color="auto"/>
        <w:bottom w:val="none" w:sz="0" w:space="0" w:color="auto"/>
        <w:right w:val="none" w:sz="0" w:space="0" w:color="auto"/>
      </w:divBdr>
    </w:div>
    <w:div w:id="707873902">
      <w:bodyDiv w:val="1"/>
      <w:marLeft w:val="0"/>
      <w:marRight w:val="0"/>
      <w:marTop w:val="0"/>
      <w:marBottom w:val="0"/>
      <w:divBdr>
        <w:top w:val="none" w:sz="0" w:space="0" w:color="auto"/>
        <w:left w:val="none" w:sz="0" w:space="0" w:color="auto"/>
        <w:bottom w:val="none" w:sz="0" w:space="0" w:color="auto"/>
        <w:right w:val="none" w:sz="0" w:space="0" w:color="auto"/>
      </w:divBdr>
    </w:div>
    <w:div w:id="710959512">
      <w:bodyDiv w:val="1"/>
      <w:marLeft w:val="0"/>
      <w:marRight w:val="0"/>
      <w:marTop w:val="0"/>
      <w:marBottom w:val="0"/>
      <w:divBdr>
        <w:top w:val="none" w:sz="0" w:space="0" w:color="auto"/>
        <w:left w:val="none" w:sz="0" w:space="0" w:color="auto"/>
        <w:bottom w:val="none" w:sz="0" w:space="0" w:color="auto"/>
        <w:right w:val="none" w:sz="0" w:space="0" w:color="auto"/>
      </w:divBdr>
    </w:div>
    <w:div w:id="735394853">
      <w:bodyDiv w:val="1"/>
      <w:marLeft w:val="0"/>
      <w:marRight w:val="0"/>
      <w:marTop w:val="0"/>
      <w:marBottom w:val="0"/>
      <w:divBdr>
        <w:top w:val="none" w:sz="0" w:space="0" w:color="auto"/>
        <w:left w:val="none" w:sz="0" w:space="0" w:color="auto"/>
        <w:bottom w:val="none" w:sz="0" w:space="0" w:color="auto"/>
        <w:right w:val="none" w:sz="0" w:space="0" w:color="auto"/>
      </w:divBdr>
    </w:div>
    <w:div w:id="752699432">
      <w:bodyDiv w:val="1"/>
      <w:marLeft w:val="0"/>
      <w:marRight w:val="0"/>
      <w:marTop w:val="0"/>
      <w:marBottom w:val="0"/>
      <w:divBdr>
        <w:top w:val="none" w:sz="0" w:space="0" w:color="auto"/>
        <w:left w:val="none" w:sz="0" w:space="0" w:color="auto"/>
        <w:bottom w:val="none" w:sz="0" w:space="0" w:color="auto"/>
        <w:right w:val="none" w:sz="0" w:space="0" w:color="auto"/>
      </w:divBdr>
    </w:div>
    <w:div w:id="757755675">
      <w:bodyDiv w:val="1"/>
      <w:marLeft w:val="0"/>
      <w:marRight w:val="0"/>
      <w:marTop w:val="0"/>
      <w:marBottom w:val="0"/>
      <w:divBdr>
        <w:top w:val="none" w:sz="0" w:space="0" w:color="auto"/>
        <w:left w:val="none" w:sz="0" w:space="0" w:color="auto"/>
        <w:bottom w:val="none" w:sz="0" w:space="0" w:color="auto"/>
        <w:right w:val="none" w:sz="0" w:space="0" w:color="auto"/>
      </w:divBdr>
    </w:div>
    <w:div w:id="776406123">
      <w:bodyDiv w:val="1"/>
      <w:marLeft w:val="0"/>
      <w:marRight w:val="0"/>
      <w:marTop w:val="0"/>
      <w:marBottom w:val="0"/>
      <w:divBdr>
        <w:top w:val="none" w:sz="0" w:space="0" w:color="auto"/>
        <w:left w:val="none" w:sz="0" w:space="0" w:color="auto"/>
        <w:bottom w:val="none" w:sz="0" w:space="0" w:color="auto"/>
        <w:right w:val="none" w:sz="0" w:space="0" w:color="auto"/>
      </w:divBdr>
    </w:div>
    <w:div w:id="960037452">
      <w:bodyDiv w:val="1"/>
      <w:marLeft w:val="0"/>
      <w:marRight w:val="0"/>
      <w:marTop w:val="0"/>
      <w:marBottom w:val="0"/>
      <w:divBdr>
        <w:top w:val="none" w:sz="0" w:space="0" w:color="auto"/>
        <w:left w:val="none" w:sz="0" w:space="0" w:color="auto"/>
        <w:bottom w:val="none" w:sz="0" w:space="0" w:color="auto"/>
        <w:right w:val="none" w:sz="0" w:space="0" w:color="auto"/>
      </w:divBdr>
    </w:div>
    <w:div w:id="1002197133">
      <w:bodyDiv w:val="1"/>
      <w:marLeft w:val="0"/>
      <w:marRight w:val="0"/>
      <w:marTop w:val="0"/>
      <w:marBottom w:val="0"/>
      <w:divBdr>
        <w:top w:val="none" w:sz="0" w:space="0" w:color="auto"/>
        <w:left w:val="none" w:sz="0" w:space="0" w:color="auto"/>
        <w:bottom w:val="none" w:sz="0" w:space="0" w:color="auto"/>
        <w:right w:val="none" w:sz="0" w:space="0" w:color="auto"/>
      </w:divBdr>
    </w:div>
    <w:div w:id="1027752112">
      <w:bodyDiv w:val="1"/>
      <w:marLeft w:val="0"/>
      <w:marRight w:val="0"/>
      <w:marTop w:val="0"/>
      <w:marBottom w:val="0"/>
      <w:divBdr>
        <w:top w:val="none" w:sz="0" w:space="0" w:color="auto"/>
        <w:left w:val="none" w:sz="0" w:space="0" w:color="auto"/>
        <w:bottom w:val="none" w:sz="0" w:space="0" w:color="auto"/>
        <w:right w:val="none" w:sz="0" w:space="0" w:color="auto"/>
      </w:divBdr>
    </w:div>
    <w:div w:id="1048333354">
      <w:bodyDiv w:val="1"/>
      <w:marLeft w:val="0"/>
      <w:marRight w:val="0"/>
      <w:marTop w:val="0"/>
      <w:marBottom w:val="0"/>
      <w:divBdr>
        <w:top w:val="none" w:sz="0" w:space="0" w:color="auto"/>
        <w:left w:val="none" w:sz="0" w:space="0" w:color="auto"/>
        <w:bottom w:val="none" w:sz="0" w:space="0" w:color="auto"/>
        <w:right w:val="none" w:sz="0" w:space="0" w:color="auto"/>
      </w:divBdr>
    </w:div>
    <w:div w:id="1118528254">
      <w:bodyDiv w:val="1"/>
      <w:marLeft w:val="0"/>
      <w:marRight w:val="0"/>
      <w:marTop w:val="0"/>
      <w:marBottom w:val="0"/>
      <w:divBdr>
        <w:top w:val="none" w:sz="0" w:space="0" w:color="auto"/>
        <w:left w:val="none" w:sz="0" w:space="0" w:color="auto"/>
        <w:bottom w:val="none" w:sz="0" w:space="0" w:color="auto"/>
        <w:right w:val="none" w:sz="0" w:space="0" w:color="auto"/>
      </w:divBdr>
      <w:divsChild>
        <w:div w:id="1686321374">
          <w:marLeft w:val="0"/>
          <w:marRight w:val="0"/>
          <w:marTop w:val="0"/>
          <w:marBottom w:val="0"/>
          <w:divBdr>
            <w:top w:val="none" w:sz="0" w:space="0" w:color="auto"/>
            <w:left w:val="none" w:sz="0" w:space="0" w:color="auto"/>
            <w:bottom w:val="none" w:sz="0" w:space="0" w:color="auto"/>
            <w:right w:val="none" w:sz="0" w:space="0" w:color="auto"/>
          </w:divBdr>
          <w:divsChild>
            <w:div w:id="1596404846">
              <w:marLeft w:val="0"/>
              <w:marRight w:val="0"/>
              <w:marTop w:val="0"/>
              <w:marBottom w:val="0"/>
              <w:divBdr>
                <w:top w:val="none" w:sz="0" w:space="0" w:color="auto"/>
                <w:left w:val="none" w:sz="0" w:space="0" w:color="auto"/>
                <w:bottom w:val="none" w:sz="0" w:space="0" w:color="auto"/>
                <w:right w:val="none" w:sz="0" w:space="0" w:color="auto"/>
              </w:divBdr>
              <w:divsChild>
                <w:div w:id="1955482885">
                  <w:marLeft w:val="-450"/>
                  <w:marRight w:val="0"/>
                  <w:marTop w:val="0"/>
                  <w:marBottom w:val="0"/>
                  <w:divBdr>
                    <w:top w:val="none" w:sz="0" w:space="0" w:color="auto"/>
                    <w:left w:val="none" w:sz="0" w:space="0" w:color="auto"/>
                    <w:bottom w:val="none" w:sz="0" w:space="0" w:color="auto"/>
                    <w:right w:val="none" w:sz="0" w:space="0" w:color="auto"/>
                  </w:divBdr>
                  <w:divsChild>
                    <w:div w:id="181752240">
                      <w:marLeft w:val="0"/>
                      <w:marRight w:val="0"/>
                      <w:marTop w:val="0"/>
                      <w:marBottom w:val="0"/>
                      <w:divBdr>
                        <w:top w:val="none" w:sz="0" w:space="0" w:color="auto"/>
                        <w:left w:val="none" w:sz="0" w:space="0" w:color="auto"/>
                        <w:bottom w:val="none" w:sz="0" w:space="0" w:color="auto"/>
                        <w:right w:val="none" w:sz="0" w:space="0" w:color="auto"/>
                      </w:divBdr>
                      <w:divsChild>
                        <w:div w:id="735471460">
                          <w:marLeft w:val="0"/>
                          <w:marRight w:val="0"/>
                          <w:marTop w:val="0"/>
                          <w:marBottom w:val="0"/>
                          <w:divBdr>
                            <w:top w:val="none" w:sz="0" w:space="0" w:color="auto"/>
                            <w:left w:val="none" w:sz="0" w:space="0" w:color="auto"/>
                            <w:bottom w:val="none" w:sz="0" w:space="0" w:color="auto"/>
                            <w:right w:val="none" w:sz="0" w:space="0" w:color="auto"/>
                          </w:divBdr>
                          <w:divsChild>
                            <w:div w:id="1253468335">
                              <w:marLeft w:val="0"/>
                              <w:marRight w:val="0"/>
                              <w:marTop w:val="0"/>
                              <w:marBottom w:val="0"/>
                              <w:divBdr>
                                <w:top w:val="none" w:sz="0" w:space="0" w:color="auto"/>
                                <w:left w:val="none" w:sz="0" w:space="0" w:color="auto"/>
                                <w:bottom w:val="none" w:sz="0" w:space="0" w:color="auto"/>
                                <w:right w:val="none" w:sz="0" w:space="0" w:color="auto"/>
                              </w:divBdr>
                              <w:divsChild>
                                <w:div w:id="109316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729136">
      <w:bodyDiv w:val="1"/>
      <w:marLeft w:val="0"/>
      <w:marRight w:val="0"/>
      <w:marTop w:val="0"/>
      <w:marBottom w:val="0"/>
      <w:divBdr>
        <w:top w:val="none" w:sz="0" w:space="0" w:color="auto"/>
        <w:left w:val="none" w:sz="0" w:space="0" w:color="auto"/>
        <w:bottom w:val="none" w:sz="0" w:space="0" w:color="auto"/>
        <w:right w:val="none" w:sz="0" w:space="0" w:color="auto"/>
      </w:divBdr>
    </w:div>
    <w:div w:id="1260219369">
      <w:bodyDiv w:val="1"/>
      <w:marLeft w:val="0"/>
      <w:marRight w:val="0"/>
      <w:marTop w:val="0"/>
      <w:marBottom w:val="0"/>
      <w:divBdr>
        <w:top w:val="none" w:sz="0" w:space="0" w:color="auto"/>
        <w:left w:val="none" w:sz="0" w:space="0" w:color="auto"/>
        <w:bottom w:val="none" w:sz="0" w:space="0" w:color="auto"/>
        <w:right w:val="none" w:sz="0" w:space="0" w:color="auto"/>
      </w:divBdr>
    </w:div>
    <w:div w:id="1290546136">
      <w:bodyDiv w:val="1"/>
      <w:marLeft w:val="0"/>
      <w:marRight w:val="0"/>
      <w:marTop w:val="0"/>
      <w:marBottom w:val="0"/>
      <w:divBdr>
        <w:top w:val="none" w:sz="0" w:space="0" w:color="auto"/>
        <w:left w:val="none" w:sz="0" w:space="0" w:color="auto"/>
        <w:bottom w:val="none" w:sz="0" w:space="0" w:color="auto"/>
        <w:right w:val="none" w:sz="0" w:space="0" w:color="auto"/>
      </w:divBdr>
      <w:divsChild>
        <w:div w:id="1602831764">
          <w:marLeft w:val="0"/>
          <w:marRight w:val="0"/>
          <w:marTop w:val="0"/>
          <w:marBottom w:val="0"/>
          <w:divBdr>
            <w:top w:val="none" w:sz="0" w:space="0" w:color="auto"/>
            <w:left w:val="none" w:sz="0" w:space="0" w:color="auto"/>
            <w:bottom w:val="none" w:sz="0" w:space="0" w:color="auto"/>
            <w:right w:val="none" w:sz="0" w:space="0" w:color="auto"/>
          </w:divBdr>
          <w:divsChild>
            <w:div w:id="581834446">
              <w:marLeft w:val="0"/>
              <w:marRight w:val="0"/>
              <w:marTop w:val="0"/>
              <w:marBottom w:val="0"/>
              <w:divBdr>
                <w:top w:val="none" w:sz="0" w:space="0" w:color="auto"/>
                <w:left w:val="none" w:sz="0" w:space="0" w:color="auto"/>
                <w:bottom w:val="none" w:sz="0" w:space="0" w:color="auto"/>
                <w:right w:val="none" w:sz="0" w:space="0" w:color="auto"/>
              </w:divBdr>
              <w:divsChild>
                <w:div w:id="831139961">
                  <w:marLeft w:val="0"/>
                  <w:marRight w:val="0"/>
                  <w:marTop w:val="0"/>
                  <w:marBottom w:val="0"/>
                  <w:divBdr>
                    <w:top w:val="none" w:sz="0" w:space="0" w:color="auto"/>
                    <w:left w:val="none" w:sz="0" w:space="0" w:color="auto"/>
                    <w:bottom w:val="none" w:sz="0" w:space="0" w:color="auto"/>
                    <w:right w:val="none" w:sz="0" w:space="0" w:color="auto"/>
                  </w:divBdr>
                  <w:divsChild>
                    <w:div w:id="1282147700">
                      <w:marLeft w:val="0"/>
                      <w:marRight w:val="0"/>
                      <w:marTop w:val="0"/>
                      <w:marBottom w:val="0"/>
                      <w:divBdr>
                        <w:top w:val="none" w:sz="0" w:space="0" w:color="auto"/>
                        <w:left w:val="none" w:sz="0" w:space="0" w:color="auto"/>
                        <w:bottom w:val="none" w:sz="0" w:space="0" w:color="auto"/>
                        <w:right w:val="none" w:sz="0" w:space="0" w:color="auto"/>
                      </w:divBdr>
                      <w:divsChild>
                        <w:div w:id="1004288206">
                          <w:marLeft w:val="0"/>
                          <w:marRight w:val="0"/>
                          <w:marTop w:val="0"/>
                          <w:marBottom w:val="0"/>
                          <w:divBdr>
                            <w:top w:val="none" w:sz="0" w:space="0" w:color="auto"/>
                            <w:left w:val="none" w:sz="0" w:space="0" w:color="auto"/>
                            <w:bottom w:val="none" w:sz="0" w:space="0" w:color="auto"/>
                            <w:right w:val="none" w:sz="0" w:space="0" w:color="auto"/>
                          </w:divBdr>
                          <w:divsChild>
                            <w:div w:id="1434860553">
                              <w:marLeft w:val="-225"/>
                              <w:marRight w:val="-225"/>
                              <w:marTop w:val="0"/>
                              <w:marBottom w:val="0"/>
                              <w:divBdr>
                                <w:top w:val="none" w:sz="0" w:space="0" w:color="auto"/>
                                <w:left w:val="none" w:sz="0" w:space="0" w:color="auto"/>
                                <w:bottom w:val="none" w:sz="0" w:space="0" w:color="auto"/>
                                <w:right w:val="none" w:sz="0" w:space="0" w:color="auto"/>
                              </w:divBdr>
                              <w:divsChild>
                                <w:div w:id="909147801">
                                  <w:marLeft w:val="0"/>
                                  <w:marRight w:val="0"/>
                                  <w:marTop w:val="0"/>
                                  <w:marBottom w:val="0"/>
                                  <w:divBdr>
                                    <w:top w:val="none" w:sz="0" w:space="0" w:color="auto"/>
                                    <w:left w:val="none" w:sz="0" w:space="0" w:color="auto"/>
                                    <w:bottom w:val="none" w:sz="0" w:space="0" w:color="auto"/>
                                    <w:right w:val="none" w:sz="0" w:space="0" w:color="auto"/>
                                  </w:divBdr>
                                  <w:divsChild>
                                    <w:div w:id="160699458">
                                      <w:marLeft w:val="0"/>
                                      <w:marRight w:val="0"/>
                                      <w:marTop w:val="0"/>
                                      <w:marBottom w:val="0"/>
                                      <w:divBdr>
                                        <w:top w:val="none" w:sz="0" w:space="0" w:color="auto"/>
                                        <w:left w:val="none" w:sz="0" w:space="0" w:color="auto"/>
                                        <w:bottom w:val="none" w:sz="0" w:space="0" w:color="auto"/>
                                        <w:right w:val="none" w:sz="0" w:space="0" w:color="auto"/>
                                      </w:divBdr>
                                      <w:divsChild>
                                        <w:div w:id="1058939376">
                                          <w:marLeft w:val="0"/>
                                          <w:marRight w:val="0"/>
                                          <w:marTop w:val="0"/>
                                          <w:marBottom w:val="0"/>
                                          <w:divBdr>
                                            <w:top w:val="none" w:sz="0" w:space="0" w:color="auto"/>
                                            <w:left w:val="none" w:sz="0" w:space="0" w:color="auto"/>
                                            <w:bottom w:val="none" w:sz="0" w:space="0" w:color="auto"/>
                                            <w:right w:val="none" w:sz="0" w:space="0" w:color="auto"/>
                                          </w:divBdr>
                                          <w:divsChild>
                                            <w:div w:id="222178532">
                                              <w:marLeft w:val="0"/>
                                              <w:marRight w:val="0"/>
                                              <w:marTop w:val="0"/>
                                              <w:marBottom w:val="0"/>
                                              <w:divBdr>
                                                <w:top w:val="none" w:sz="0" w:space="0" w:color="auto"/>
                                                <w:left w:val="none" w:sz="0" w:space="0" w:color="auto"/>
                                                <w:bottom w:val="none" w:sz="0" w:space="0" w:color="auto"/>
                                                <w:right w:val="none" w:sz="0" w:space="0" w:color="auto"/>
                                              </w:divBdr>
                                              <w:divsChild>
                                                <w:div w:id="1514106738">
                                                  <w:marLeft w:val="0"/>
                                                  <w:marRight w:val="0"/>
                                                  <w:marTop w:val="0"/>
                                                  <w:marBottom w:val="0"/>
                                                  <w:divBdr>
                                                    <w:top w:val="none" w:sz="0" w:space="0" w:color="auto"/>
                                                    <w:left w:val="none" w:sz="0" w:space="0" w:color="auto"/>
                                                    <w:bottom w:val="none" w:sz="0" w:space="0" w:color="auto"/>
                                                    <w:right w:val="none" w:sz="0" w:space="0" w:color="auto"/>
                                                  </w:divBdr>
                                                  <w:divsChild>
                                                    <w:div w:id="1479148333">
                                                      <w:marLeft w:val="0"/>
                                                      <w:marRight w:val="0"/>
                                                      <w:marTop w:val="0"/>
                                                      <w:marBottom w:val="0"/>
                                                      <w:divBdr>
                                                        <w:top w:val="none" w:sz="0" w:space="0" w:color="auto"/>
                                                        <w:left w:val="none" w:sz="0" w:space="0" w:color="auto"/>
                                                        <w:bottom w:val="none" w:sz="0" w:space="0" w:color="auto"/>
                                                        <w:right w:val="none" w:sz="0" w:space="0" w:color="auto"/>
                                                      </w:divBdr>
                                                      <w:divsChild>
                                                        <w:div w:id="7566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3021792">
      <w:bodyDiv w:val="1"/>
      <w:marLeft w:val="0"/>
      <w:marRight w:val="0"/>
      <w:marTop w:val="0"/>
      <w:marBottom w:val="0"/>
      <w:divBdr>
        <w:top w:val="none" w:sz="0" w:space="0" w:color="auto"/>
        <w:left w:val="none" w:sz="0" w:space="0" w:color="auto"/>
        <w:bottom w:val="none" w:sz="0" w:space="0" w:color="auto"/>
        <w:right w:val="none" w:sz="0" w:space="0" w:color="auto"/>
      </w:divBdr>
      <w:divsChild>
        <w:div w:id="1735008527">
          <w:marLeft w:val="0"/>
          <w:marRight w:val="0"/>
          <w:marTop w:val="0"/>
          <w:marBottom w:val="0"/>
          <w:divBdr>
            <w:top w:val="none" w:sz="0" w:space="0" w:color="auto"/>
            <w:left w:val="none" w:sz="0" w:space="0" w:color="auto"/>
            <w:bottom w:val="none" w:sz="0" w:space="0" w:color="auto"/>
            <w:right w:val="none" w:sz="0" w:space="0" w:color="auto"/>
          </w:divBdr>
          <w:divsChild>
            <w:div w:id="148136162">
              <w:marLeft w:val="0"/>
              <w:marRight w:val="0"/>
              <w:marTop w:val="0"/>
              <w:marBottom w:val="0"/>
              <w:divBdr>
                <w:top w:val="none" w:sz="0" w:space="0" w:color="auto"/>
                <w:left w:val="none" w:sz="0" w:space="0" w:color="auto"/>
                <w:bottom w:val="none" w:sz="0" w:space="0" w:color="auto"/>
                <w:right w:val="none" w:sz="0" w:space="0" w:color="auto"/>
              </w:divBdr>
              <w:divsChild>
                <w:div w:id="1502233131">
                  <w:marLeft w:val="0"/>
                  <w:marRight w:val="0"/>
                  <w:marTop w:val="0"/>
                  <w:marBottom w:val="0"/>
                  <w:divBdr>
                    <w:top w:val="none" w:sz="0" w:space="0" w:color="auto"/>
                    <w:left w:val="none" w:sz="0" w:space="0" w:color="auto"/>
                    <w:bottom w:val="none" w:sz="0" w:space="0" w:color="auto"/>
                    <w:right w:val="none" w:sz="0" w:space="0" w:color="auto"/>
                  </w:divBdr>
                  <w:divsChild>
                    <w:div w:id="1599020701">
                      <w:marLeft w:val="0"/>
                      <w:marRight w:val="0"/>
                      <w:marTop w:val="0"/>
                      <w:marBottom w:val="0"/>
                      <w:divBdr>
                        <w:top w:val="none" w:sz="0" w:space="0" w:color="auto"/>
                        <w:left w:val="none" w:sz="0" w:space="0" w:color="auto"/>
                        <w:bottom w:val="none" w:sz="0" w:space="0" w:color="auto"/>
                        <w:right w:val="none" w:sz="0" w:space="0" w:color="auto"/>
                      </w:divBdr>
                    </w:div>
                    <w:div w:id="1441220522">
                      <w:marLeft w:val="0"/>
                      <w:marRight w:val="0"/>
                      <w:marTop w:val="0"/>
                      <w:marBottom w:val="0"/>
                      <w:divBdr>
                        <w:top w:val="none" w:sz="0" w:space="0" w:color="auto"/>
                        <w:left w:val="none" w:sz="0" w:space="0" w:color="auto"/>
                        <w:bottom w:val="none" w:sz="0" w:space="0" w:color="auto"/>
                        <w:right w:val="none" w:sz="0" w:space="0" w:color="auto"/>
                      </w:divBdr>
                      <w:divsChild>
                        <w:div w:id="2000232262">
                          <w:marLeft w:val="0"/>
                          <w:marRight w:val="0"/>
                          <w:marTop w:val="0"/>
                          <w:marBottom w:val="0"/>
                          <w:divBdr>
                            <w:top w:val="none" w:sz="0" w:space="0" w:color="auto"/>
                            <w:left w:val="none" w:sz="0" w:space="0" w:color="auto"/>
                            <w:bottom w:val="none" w:sz="0" w:space="0" w:color="auto"/>
                            <w:right w:val="none" w:sz="0" w:space="0" w:color="auto"/>
                          </w:divBdr>
                        </w:div>
                        <w:div w:id="1138105868">
                          <w:marLeft w:val="0"/>
                          <w:marRight w:val="0"/>
                          <w:marTop w:val="0"/>
                          <w:marBottom w:val="0"/>
                          <w:divBdr>
                            <w:top w:val="none" w:sz="0" w:space="0" w:color="auto"/>
                            <w:left w:val="none" w:sz="0" w:space="0" w:color="auto"/>
                            <w:bottom w:val="none" w:sz="0" w:space="0" w:color="auto"/>
                            <w:right w:val="none" w:sz="0" w:space="0" w:color="auto"/>
                          </w:divBdr>
                          <w:divsChild>
                            <w:div w:id="10823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04346">
                      <w:marLeft w:val="0"/>
                      <w:marRight w:val="0"/>
                      <w:marTop w:val="0"/>
                      <w:marBottom w:val="0"/>
                      <w:divBdr>
                        <w:top w:val="none" w:sz="0" w:space="0" w:color="auto"/>
                        <w:left w:val="none" w:sz="0" w:space="0" w:color="auto"/>
                        <w:bottom w:val="none" w:sz="0" w:space="0" w:color="auto"/>
                        <w:right w:val="none" w:sz="0" w:space="0" w:color="auto"/>
                      </w:divBdr>
                      <w:divsChild>
                        <w:div w:id="1442072005">
                          <w:marLeft w:val="0"/>
                          <w:marRight w:val="0"/>
                          <w:marTop w:val="0"/>
                          <w:marBottom w:val="0"/>
                          <w:divBdr>
                            <w:top w:val="none" w:sz="0" w:space="0" w:color="auto"/>
                            <w:left w:val="none" w:sz="0" w:space="0" w:color="auto"/>
                            <w:bottom w:val="none" w:sz="0" w:space="0" w:color="auto"/>
                            <w:right w:val="none" w:sz="0" w:space="0" w:color="auto"/>
                          </w:divBdr>
                        </w:div>
                        <w:div w:id="820199553">
                          <w:marLeft w:val="0"/>
                          <w:marRight w:val="0"/>
                          <w:marTop w:val="0"/>
                          <w:marBottom w:val="0"/>
                          <w:divBdr>
                            <w:top w:val="none" w:sz="0" w:space="0" w:color="auto"/>
                            <w:left w:val="none" w:sz="0" w:space="0" w:color="auto"/>
                            <w:bottom w:val="none" w:sz="0" w:space="0" w:color="auto"/>
                            <w:right w:val="none" w:sz="0" w:space="0" w:color="auto"/>
                          </w:divBdr>
                        </w:div>
                      </w:divsChild>
                    </w:div>
                    <w:div w:id="1965770072">
                      <w:marLeft w:val="0"/>
                      <w:marRight w:val="0"/>
                      <w:marTop w:val="0"/>
                      <w:marBottom w:val="0"/>
                      <w:divBdr>
                        <w:top w:val="none" w:sz="0" w:space="0" w:color="auto"/>
                        <w:left w:val="none" w:sz="0" w:space="0" w:color="auto"/>
                        <w:bottom w:val="none" w:sz="0" w:space="0" w:color="auto"/>
                        <w:right w:val="none" w:sz="0" w:space="0" w:color="auto"/>
                      </w:divBdr>
                      <w:divsChild>
                        <w:div w:id="1100876337">
                          <w:marLeft w:val="0"/>
                          <w:marRight w:val="0"/>
                          <w:marTop w:val="0"/>
                          <w:marBottom w:val="0"/>
                          <w:divBdr>
                            <w:top w:val="none" w:sz="0" w:space="0" w:color="auto"/>
                            <w:left w:val="none" w:sz="0" w:space="0" w:color="auto"/>
                            <w:bottom w:val="none" w:sz="0" w:space="0" w:color="auto"/>
                            <w:right w:val="none" w:sz="0" w:space="0" w:color="auto"/>
                          </w:divBdr>
                        </w:div>
                      </w:divsChild>
                    </w:div>
                    <w:div w:id="460850107">
                      <w:marLeft w:val="0"/>
                      <w:marRight w:val="0"/>
                      <w:marTop w:val="0"/>
                      <w:marBottom w:val="0"/>
                      <w:divBdr>
                        <w:top w:val="none" w:sz="0" w:space="0" w:color="auto"/>
                        <w:left w:val="single" w:sz="2" w:space="2" w:color="EEEEEE"/>
                        <w:bottom w:val="none" w:sz="0" w:space="0" w:color="auto"/>
                        <w:right w:val="single" w:sz="2" w:space="8" w:color="EEEEEE"/>
                      </w:divBdr>
                      <w:divsChild>
                        <w:div w:id="1483422017">
                          <w:marLeft w:val="0"/>
                          <w:marRight w:val="0"/>
                          <w:marTop w:val="0"/>
                          <w:marBottom w:val="0"/>
                          <w:divBdr>
                            <w:top w:val="none" w:sz="0" w:space="0" w:color="auto"/>
                            <w:left w:val="none" w:sz="0" w:space="0" w:color="auto"/>
                            <w:bottom w:val="none" w:sz="0" w:space="0" w:color="auto"/>
                            <w:right w:val="none" w:sz="0" w:space="0" w:color="auto"/>
                          </w:divBdr>
                        </w:div>
                        <w:div w:id="11031685">
                          <w:marLeft w:val="0"/>
                          <w:marRight w:val="0"/>
                          <w:marTop w:val="0"/>
                          <w:marBottom w:val="0"/>
                          <w:divBdr>
                            <w:top w:val="none" w:sz="0" w:space="0" w:color="auto"/>
                            <w:left w:val="none" w:sz="0" w:space="0" w:color="auto"/>
                            <w:bottom w:val="none" w:sz="0" w:space="0" w:color="auto"/>
                            <w:right w:val="none" w:sz="0" w:space="0" w:color="auto"/>
                          </w:divBdr>
                        </w:div>
                      </w:divsChild>
                    </w:div>
                    <w:div w:id="2129931605">
                      <w:marLeft w:val="0"/>
                      <w:marRight w:val="0"/>
                      <w:marTop w:val="0"/>
                      <w:marBottom w:val="0"/>
                      <w:divBdr>
                        <w:top w:val="none" w:sz="0" w:space="0" w:color="auto"/>
                        <w:left w:val="single" w:sz="2" w:space="2" w:color="EEEEEE"/>
                        <w:bottom w:val="none" w:sz="0" w:space="0" w:color="auto"/>
                        <w:right w:val="single" w:sz="2" w:space="8" w:color="EEEEEE"/>
                      </w:divBdr>
                      <w:divsChild>
                        <w:div w:id="914126573">
                          <w:marLeft w:val="0"/>
                          <w:marRight w:val="0"/>
                          <w:marTop w:val="0"/>
                          <w:marBottom w:val="0"/>
                          <w:divBdr>
                            <w:top w:val="none" w:sz="0" w:space="0" w:color="auto"/>
                            <w:left w:val="none" w:sz="0" w:space="0" w:color="auto"/>
                            <w:bottom w:val="none" w:sz="0" w:space="0" w:color="auto"/>
                            <w:right w:val="none" w:sz="0" w:space="0" w:color="auto"/>
                          </w:divBdr>
                        </w:div>
                        <w:div w:id="70011709">
                          <w:marLeft w:val="0"/>
                          <w:marRight w:val="0"/>
                          <w:marTop w:val="0"/>
                          <w:marBottom w:val="0"/>
                          <w:divBdr>
                            <w:top w:val="none" w:sz="0" w:space="0" w:color="auto"/>
                            <w:left w:val="none" w:sz="0" w:space="0" w:color="auto"/>
                            <w:bottom w:val="none" w:sz="0" w:space="0" w:color="auto"/>
                            <w:right w:val="none" w:sz="0" w:space="0" w:color="auto"/>
                          </w:divBdr>
                        </w:div>
                      </w:divsChild>
                    </w:div>
                    <w:div w:id="895167461">
                      <w:marLeft w:val="0"/>
                      <w:marRight w:val="0"/>
                      <w:marTop w:val="0"/>
                      <w:marBottom w:val="0"/>
                      <w:divBdr>
                        <w:top w:val="none" w:sz="0" w:space="0" w:color="auto"/>
                        <w:left w:val="none" w:sz="0" w:space="0" w:color="auto"/>
                        <w:bottom w:val="none" w:sz="0" w:space="0" w:color="auto"/>
                        <w:right w:val="none" w:sz="0" w:space="0" w:color="auto"/>
                      </w:divBdr>
                    </w:div>
                    <w:div w:id="1406025345">
                      <w:marLeft w:val="0"/>
                      <w:marRight w:val="0"/>
                      <w:marTop w:val="0"/>
                      <w:marBottom w:val="0"/>
                      <w:divBdr>
                        <w:top w:val="none" w:sz="0" w:space="0" w:color="auto"/>
                        <w:left w:val="single" w:sz="2" w:space="2" w:color="EEEEEE"/>
                        <w:bottom w:val="none" w:sz="0" w:space="0" w:color="auto"/>
                        <w:right w:val="single" w:sz="2" w:space="8" w:color="EEEEEE"/>
                      </w:divBdr>
                      <w:divsChild>
                        <w:div w:id="56829669">
                          <w:marLeft w:val="0"/>
                          <w:marRight w:val="0"/>
                          <w:marTop w:val="0"/>
                          <w:marBottom w:val="0"/>
                          <w:divBdr>
                            <w:top w:val="none" w:sz="0" w:space="0" w:color="auto"/>
                            <w:left w:val="none" w:sz="0" w:space="0" w:color="auto"/>
                            <w:bottom w:val="none" w:sz="0" w:space="0" w:color="auto"/>
                            <w:right w:val="none" w:sz="0" w:space="0" w:color="auto"/>
                          </w:divBdr>
                        </w:div>
                        <w:div w:id="784159779">
                          <w:marLeft w:val="0"/>
                          <w:marRight w:val="0"/>
                          <w:marTop w:val="0"/>
                          <w:marBottom w:val="0"/>
                          <w:divBdr>
                            <w:top w:val="none" w:sz="0" w:space="0" w:color="auto"/>
                            <w:left w:val="none" w:sz="0" w:space="0" w:color="auto"/>
                            <w:bottom w:val="none" w:sz="0" w:space="0" w:color="auto"/>
                            <w:right w:val="none" w:sz="0" w:space="0" w:color="auto"/>
                          </w:divBdr>
                        </w:div>
                      </w:divsChild>
                    </w:div>
                    <w:div w:id="1700472863">
                      <w:marLeft w:val="0"/>
                      <w:marRight w:val="0"/>
                      <w:marTop w:val="0"/>
                      <w:marBottom w:val="0"/>
                      <w:divBdr>
                        <w:top w:val="none" w:sz="0" w:space="0" w:color="auto"/>
                        <w:left w:val="none" w:sz="0" w:space="0" w:color="auto"/>
                        <w:bottom w:val="none" w:sz="0" w:space="0" w:color="auto"/>
                        <w:right w:val="none" w:sz="0" w:space="0" w:color="auto"/>
                      </w:divBdr>
                    </w:div>
                    <w:div w:id="429007626">
                      <w:marLeft w:val="0"/>
                      <w:marRight w:val="0"/>
                      <w:marTop w:val="0"/>
                      <w:marBottom w:val="0"/>
                      <w:divBdr>
                        <w:top w:val="none" w:sz="0" w:space="0" w:color="auto"/>
                        <w:left w:val="single" w:sz="2" w:space="2" w:color="EEEEEE"/>
                        <w:bottom w:val="none" w:sz="0" w:space="0" w:color="auto"/>
                        <w:right w:val="single" w:sz="2" w:space="8" w:color="EEEEEE"/>
                      </w:divBdr>
                      <w:divsChild>
                        <w:div w:id="1401059834">
                          <w:marLeft w:val="0"/>
                          <w:marRight w:val="0"/>
                          <w:marTop w:val="0"/>
                          <w:marBottom w:val="0"/>
                          <w:divBdr>
                            <w:top w:val="none" w:sz="0" w:space="0" w:color="auto"/>
                            <w:left w:val="none" w:sz="0" w:space="0" w:color="auto"/>
                            <w:bottom w:val="none" w:sz="0" w:space="0" w:color="auto"/>
                            <w:right w:val="none" w:sz="0" w:space="0" w:color="auto"/>
                          </w:divBdr>
                        </w:div>
                        <w:div w:id="552497651">
                          <w:marLeft w:val="0"/>
                          <w:marRight w:val="0"/>
                          <w:marTop w:val="0"/>
                          <w:marBottom w:val="0"/>
                          <w:divBdr>
                            <w:top w:val="none" w:sz="0" w:space="0" w:color="auto"/>
                            <w:left w:val="none" w:sz="0" w:space="0" w:color="auto"/>
                            <w:bottom w:val="none" w:sz="0" w:space="0" w:color="auto"/>
                            <w:right w:val="none" w:sz="0" w:space="0" w:color="auto"/>
                          </w:divBdr>
                        </w:div>
                      </w:divsChild>
                    </w:div>
                    <w:div w:id="1179931220">
                      <w:marLeft w:val="0"/>
                      <w:marRight w:val="0"/>
                      <w:marTop w:val="0"/>
                      <w:marBottom w:val="0"/>
                      <w:divBdr>
                        <w:top w:val="none" w:sz="0" w:space="0" w:color="auto"/>
                        <w:left w:val="single" w:sz="2" w:space="2" w:color="EEEEEE"/>
                        <w:bottom w:val="none" w:sz="0" w:space="0" w:color="auto"/>
                        <w:right w:val="single" w:sz="2" w:space="8" w:color="EEEEEE"/>
                      </w:divBdr>
                      <w:divsChild>
                        <w:div w:id="1489438148">
                          <w:marLeft w:val="0"/>
                          <w:marRight w:val="0"/>
                          <w:marTop w:val="0"/>
                          <w:marBottom w:val="0"/>
                          <w:divBdr>
                            <w:top w:val="none" w:sz="0" w:space="0" w:color="auto"/>
                            <w:left w:val="none" w:sz="0" w:space="0" w:color="auto"/>
                            <w:bottom w:val="none" w:sz="0" w:space="0" w:color="auto"/>
                            <w:right w:val="none" w:sz="0" w:space="0" w:color="auto"/>
                          </w:divBdr>
                        </w:div>
                      </w:divsChild>
                    </w:div>
                    <w:div w:id="1869761124">
                      <w:marLeft w:val="0"/>
                      <w:marRight w:val="0"/>
                      <w:marTop w:val="0"/>
                      <w:marBottom w:val="0"/>
                      <w:divBdr>
                        <w:top w:val="none" w:sz="0" w:space="0" w:color="auto"/>
                        <w:left w:val="none" w:sz="0" w:space="0" w:color="auto"/>
                        <w:bottom w:val="none" w:sz="0" w:space="0" w:color="auto"/>
                        <w:right w:val="none" w:sz="0" w:space="0" w:color="auto"/>
                      </w:divBdr>
                    </w:div>
                    <w:div w:id="674917962">
                      <w:marLeft w:val="0"/>
                      <w:marRight w:val="0"/>
                      <w:marTop w:val="0"/>
                      <w:marBottom w:val="0"/>
                      <w:divBdr>
                        <w:top w:val="none" w:sz="0" w:space="0" w:color="auto"/>
                        <w:left w:val="none" w:sz="0" w:space="0" w:color="auto"/>
                        <w:bottom w:val="none" w:sz="0" w:space="0" w:color="auto"/>
                        <w:right w:val="none" w:sz="0" w:space="0" w:color="auto"/>
                      </w:divBdr>
                      <w:divsChild>
                        <w:div w:id="1914243312">
                          <w:marLeft w:val="0"/>
                          <w:marRight w:val="0"/>
                          <w:marTop w:val="0"/>
                          <w:marBottom w:val="0"/>
                          <w:divBdr>
                            <w:top w:val="none" w:sz="0" w:space="0" w:color="auto"/>
                            <w:left w:val="none" w:sz="0" w:space="0" w:color="auto"/>
                            <w:bottom w:val="none" w:sz="0" w:space="0" w:color="auto"/>
                            <w:right w:val="none" w:sz="0" w:space="0" w:color="auto"/>
                          </w:divBdr>
                        </w:div>
                        <w:div w:id="2065255664">
                          <w:marLeft w:val="0"/>
                          <w:marRight w:val="0"/>
                          <w:marTop w:val="0"/>
                          <w:marBottom w:val="0"/>
                          <w:divBdr>
                            <w:top w:val="none" w:sz="0" w:space="0" w:color="auto"/>
                            <w:left w:val="none" w:sz="0" w:space="0" w:color="auto"/>
                            <w:bottom w:val="none" w:sz="0" w:space="0" w:color="auto"/>
                            <w:right w:val="none" w:sz="0" w:space="0" w:color="auto"/>
                          </w:divBdr>
                        </w:div>
                      </w:divsChild>
                    </w:div>
                    <w:div w:id="1694844528">
                      <w:marLeft w:val="0"/>
                      <w:marRight w:val="0"/>
                      <w:marTop w:val="0"/>
                      <w:marBottom w:val="0"/>
                      <w:divBdr>
                        <w:top w:val="none" w:sz="0" w:space="0" w:color="auto"/>
                        <w:left w:val="none" w:sz="0" w:space="0" w:color="auto"/>
                        <w:bottom w:val="none" w:sz="0" w:space="0" w:color="auto"/>
                        <w:right w:val="none" w:sz="0" w:space="0" w:color="auto"/>
                      </w:divBdr>
                      <w:divsChild>
                        <w:div w:id="825899716">
                          <w:marLeft w:val="0"/>
                          <w:marRight w:val="0"/>
                          <w:marTop w:val="0"/>
                          <w:marBottom w:val="0"/>
                          <w:divBdr>
                            <w:top w:val="none" w:sz="0" w:space="0" w:color="auto"/>
                            <w:left w:val="none" w:sz="0" w:space="0" w:color="auto"/>
                            <w:bottom w:val="none" w:sz="0" w:space="0" w:color="auto"/>
                            <w:right w:val="none" w:sz="0" w:space="0" w:color="auto"/>
                          </w:divBdr>
                        </w:div>
                        <w:div w:id="33851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071898">
      <w:bodyDiv w:val="1"/>
      <w:marLeft w:val="0"/>
      <w:marRight w:val="0"/>
      <w:marTop w:val="0"/>
      <w:marBottom w:val="0"/>
      <w:divBdr>
        <w:top w:val="none" w:sz="0" w:space="0" w:color="auto"/>
        <w:left w:val="none" w:sz="0" w:space="0" w:color="auto"/>
        <w:bottom w:val="none" w:sz="0" w:space="0" w:color="auto"/>
        <w:right w:val="none" w:sz="0" w:space="0" w:color="auto"/>
      </w:divBdr>
    </w:div>
    <w:div w:id="1429503402">
      <w:bodyDiv w:val="1"/>
      <w:marLeft w:val="0"/>
      <w:marRight w:val="0"/>
      <w:marTop w:val="0"/>
      <w:marBottom w:val="0"/>
      <w:divBdr>
        <w:top w:val="none" w:sz="0" w:space="0" w:color="auto"/>
        <w:left w:val="none" w:sz="0" w:space="0" w:color="auto"/>
        <w:bottom w:val="none" w:sz="0" w:space="0" w:color="auto"/>
        <w:right w:val="none" w:sz="0" w:space="0" w:color="auto"/>
      </w:divBdr>
    </w:div>
    <w:div w:id="1455708059">
      <w:bodyDiv w:val="1"/>
      <w:marLeft w:val="0"/>
      <w:marRight w:val="0"/>
      <w:marTop w:val="0"/>
      <w:marBottom w:val="0"/>
      <w:divBdr>
        <w:top w:val="none" w:sz="0" w:space="0" w:color="auto"/>
        <w:left w:val="none" w:sz="0" w:space="0" w:color="auto"/>
        <w:bottom w:val="none" w:sz="0" w:space="0" w:color="auto"/>
        <w:right w:val="none" w:sz="0" w:space="0" w:color="auto"/>
      </w:divBdr>
    </w:div>
    <w:div w:id="1486320064">
      <w:bodyDiv w:val="1"/>
      <w:marLeft w:val="0"/>
      <w:marRight w:val="0"/>
      <w:marTop w:val="0"/>
      <w:marBottom w:val="0"/>
      <w:divBdr>
        <w:top w:val="none" w:sz="0" w:space="0" w:color="auto"/>
        <w:left w:val="none" w:sz="0" w:space="0" w:color="auto"/>
        <w:bottom w:val="none" w:sz="0" w:space="0" w:color="auto"/>
        <w:right w:val="none" w:sz="0" w:space="0" w:color="auto"/>
      </w:divBdr>
    </w:div>
    <w:div w:id="1514758017">
      <w:bodyDiv w:val="1"/>
      <w:marLeft w:val="0"/>
      <w:marRight w:val="0"/>
      <w:marTop w:val="0"/>
      <w:marBottom w:val="0"/>
      <w:divBdr>
        <w:top w:val="none" w:sz="0" w:space="0" w:color="auto"/>
        <w:left w:val="none" w:sz="0" w:space="0" w:color="auto"/>
        <w:bottom w:val="none" w:sz="0" w:space="0" w:color="auto"/>
        <w:right w:val="none" w:sz="0" w:space="0" w:color="auto"/>
      </w:divBdr>
    </w:div>
    <w:div w:id="1525054173">
      <w:bodyDiv w:val="1"/>
      <w:marLeft w:val="0"/>
      <w:marRight w:val="0"/>
      <w:marTop w:val="0"/>
      <w:marBottom w:val="0"/>
      <w:divBdr>
        <w:top w:val="none" w:sz="0" w:space="0" w:color="auto"/>
        <w:left w:val="none" w:sz="0" w:space="0" w:color="auto"/>
        <w:bottom w:val="none" w:sz="0" w:space="0" w:color="auto"/>
        <w:right w:val="none" w:sz="0" w:space="0" w:color="auto"/>
      </w:divBdr>
    </w:div>
    <w:div w:id="1531795875">
      <w:bodyDiv w:val="1"/>
      <w:marLeft w:val="0"/>
      <w:marRight w:val="0"/>
      <w:marTop w:val="0"/>
      <w:marBottom w:val="0"/>
      <w:divBdr>
        <w:top w:val="none" w:sz="0" w:space="0" w:color="auto"/>
        <w:left w:val="none" w:sz="0" w:space="0" w:color="auto"/>
        <w:bottom w:val="none" w:sz="0" w:space="0" w:color="auto"/>
        <w:right w:val="none" w:sz="0" w:space="0" w:color="auto"/>
      </w:divBdr>
    </w:div>
    <w:div w:id="1691760677">
      <w:bodyDiv w:val="1"/>
      <w:marLeft w:val="0"/>
      <w:marRight w:val="0"/>
      <w:marTop w:val="0"/>
      <w:marBottom w:val="0"/>
      <w:divBdr>
        <w:top w:val="none" w:sz="0" w:space="0" w:color="auto"/>
        <w:left w:val="none" w:sz="0" w:space="0" w:color="auto"/>
        <w:bottom w:val="none" w:sz="0" w:space="0" w:color="auto"/>
        <w:right w:val="none" w:sz="0" w:space="0" w:color="auto"/>
      </w:divBdr>
      <w:divsChild>
        <w:div w:id="1831024032">
          <w:marLeft w:val="0"/>
          <w:marRight w:val="0"/>
          <w:marTop w:val="0"/>
          <w:marBottom w:val="0"/>
          <w:divBdr>
            <w:top w:val="none" w:sz="0" w:space="0" w:color="auto"/>
            <w:left w:val="none" w:sz="0" w:space="0" w:color="auto"/>
            <w:bottom w:val="none" w:sz="0" w:space="0" w:color="auto"/>
            <w:right w:val="none" w:sz="0" w:space="0" w:color="auto"/>
          </w:divBdr>
          <w:divsChild>
            <w:div w:id="1650862219">
              <w:marLeft w:val="0"/>
              <w:marRight w:val="0"/>
              <w:marTop w:val="0"/>
              <w:marBottom w:val="0"/>
              <w:divBdr>
                <w:top w:val="none" w:sz="0" w:space="0" w:color="auto"/>
                <w:left w:val="none" w:sz="0" w:space="0" w:color="auto"/>
                <w:bottom w:val="none" w:sz="0" w:space="0" w:color="auto"/>
                <w:right w:val="none" w:sz="0" w:space="0" w:color="auto"/>
              </w:divBdr>
              <w:divsChild>
                <w:div w:id="677272722">
                  <w:marLeft w:val="0"/>
                  <w:marRight w:val="0"/>
                  <w:marTop w:val="0"/>
                  <w:marBottom w:val="0"/>
                  <w:divBdr>
                    <w:top w:val="none" w:sz="0" w:space="0" w:color="auto"/>
                    <w:left w:val="none" w:sz="0" w:space="0" w:color="auto"/>
                    <w:bottom w:val="none" w:sz="0" w:space="0" w:color="auto"/>
                    <w:right w:val="none" w:sz="0" w:space="0" w:color="auto"/>
                  </w:divBdr>
                  <w:divsChild>
                    <w:div w:id="457846021">
                      <w:marLeft w:val="0"/>
                      <w:marRight w:val="0"/>
                      <w:marTop w:val="0"/>
                      <w:marBottom w:val="0"/>
                      <w:divBdr>
                        <w:top w:val="none" w:sz="0" w:space="0" w:color="auto"/>
                        <w:left w:val="none" w:sz="0" w:space="0" w:color="auto"/>
                        <w:bottom w:val="none" w:sz="0" w:space="0" w:color="auto"/>
                        <w:right w:val="none" w:sz="0" w:space="0" w:color="auto"/>
                      </w:divBdr>
                      <w:divsChild>
                        <w:div w:id="1839615372">
                          <w:marLeft w:val="0"/>
                          <w:marRight w:val="0"/>
                          <w:marTop w:val="0"/>
                          <w:marBottom w:val="0"/>
                          <w:divBdr>
                            <w:top w:val="none" w:sz="0" w:space="0" w:color="auto"/>
                            <w:left w:val="none" w:sz="0" w:space="0" w:color="auto"/>
                            <w:bottom w:val="none" w:sz="0" w:space="0" w:color="auto"/>
                            <w:right w:val="none" w:sz="0" w:space="0" w:color="auto"/>
                          </w:divBdr>
                          <w:divsChild>
                            <w:div w:id="37095110">
                              <w:marLeft w:val="-225"/>
                              <w:marRight w:val="-225"/>
                              <w:marTop w:val="0"/>
                              <w:marBottom w:val="0"/>
                              <w:divBdr>
                                <w:top w:val="none" w:sz="0" w:space="0" w:color="auto"/>
                                <w:left w:val="none" w:sz="0" w:space="0" w:color="auto"/>
                                <w:bottom w:val="none" w:sz="0" w:space="0" w:color="auto"/>
                                <w:right w:val="none" w:sz="0" w:space="0" w:color="auto"/>
                              </w:divBdr>
                              <w:divsChild>
                                <w:div w:id="2088260240">
                                  <w:marLeft w:val="0"/>
                                  <w:marRight w:val="0"/>
                                  <w:marTop w:val="0"/>
                                  <w:marBottom w:val="0"/>
                                  <w:divBdr>
                                    <w:top w:val="none" w:sz="0" w:space="0" w:color="auto"/>
                                    <w:left w:val="none" w:sz="0" w:space="0" w:color="auto"/>
                                    <w:bottom w:val="none" w:sz="0" w:space="0" w:color="auto"/>
                                    <w:right w:val="none" w:sz="0" w:space="0" w:color="auto"/>
                                  </w:divBdr>
                                  <w:divsChild>
                                    <w:div w:id="892277688">
                                      <w:marLeft w:val="0"/>
                                      <w:marRight w:val="0"/>
                                      <w:marTop w:val="0"/>
                                      <w:marBottom w:val="0"/>
                                      <w:divBdr>
                                        <w:top w:val="none" w:sz="0" w:space="0" w:color="auto"/>
                                        <w:left w:val="none" w:sz="0" w:space="0" w:color="auto"/>
                                        <w:bottom w:val="none" w:sz="0" w:space="0" w:color="auto"/>
                                        <w:right w:val="none" w:sz="0" w:space="0" w:color="auto"/>
                                      </w:divBdr>
                                      <w:divsChild>
                                        <w:div w:id="406464179">
                                          <w:marLeft w:val="0"/>
                                          <w:marRight w:val="0"/>
                                          <w:marTop w:val="0"/>
                                          <w:marBottom w:val="0"/>
                                          <w:divBdr>
                                            <w:top w:val="none" w:sz="0" w:space="0" w:color="auto"/>
                                            <w:left w:val="none" w:sz="0" w:space="0" w:color="auto"/>
                                            <w:bottom w:val="none" w:sz="0" w:space="0" w:color="auto"/>
                                            <w:right w:val="none" w:sz="0" w:space="0" w:color="auto"/>
                                          </w:divBdr>
                                          <w:divsChild>
                                            <w:div w:id="1051225470">
                                              <w:marLeft w:val="0"/>
                                              <w:marRight w:val="0"/>
                                              <w:marTop w:val="0"/>
                                              <w:marBottom w:val="0"/>
                                              <w:divBdr>
                                                <w:top w:val="none" w:sz="0" w:space="0" w:color="auto"/>
                                                <w:left w:val="none" w:sz="0" w:space="0" w:color="auto"/>
                                                <w:bottom w:val="none" w:sz="0" w:space="0" w:color="auto"/>
                                                <w:right w:val="none" w:sz="0" w:space="0" w:color="auto"/>
                                              </w:divBdr>
                                              <w:divsChild>
                                                <w:div w:id="1297569506">
                                                  <w:marLeft w:val="0"/>
                                                  <w:marRight w:val="0"/>
                                                  <w:marTop w:val="0"/>
                                                  <w:marBottom w:val="0"/>
                                                  <w:divBdr>
                                                    <w:top w:val="none" w:sz="0" w:space="0" w:color="auto"/>
                                                    <w:left w:val="none" w:sz="0" w:space="0" w:color="auto"/>
                                                    <w:bottom w:val="none" w:sz="0" w:space="0" w:color="auto"/>
                                                    <w:right w:val="none" w:sz="0" w:space="0" w:color="auto"/>
                                                  </w:divBdr>
                                                  <w:divsChild>
                                                    <w:div w:id="1024596749">
                                                      <w:marLeft w:val="0"/>
                                                      <w:marRight w:val="0"/>
                                                      <w:marTop w:val="0"/>
                                                      <w:marBottom w:val="0"/>
                                                      <w:divBdr>
                                                        <w:top w:val="none" w:sz="0" w:space="0" w:color="auto"/>
                                                        <w:left w:val="none" w:sz="0" w:space="0" w:color="auto"/>
                                                        <w:bottom w:val="none" w:sz="0" w:space="0" w:color="auto"/>
                                                        <w:right w:val="none" w:sz="0" w:space="0" w:color="auto"/>
                                                      </w:divBdr>
                                                      <w:divsChild>
                                                        <w:div w:id="62242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8678914">
      <w:bodyDiv w:val="1"/>
      <w:marLeft w:val="0"/>
      <w:marRight w:val="0"/>
      <w:marTop w:val="0"/>
      <w:marBottom w:val="0"/>
      <w:divBdr>
        <w:top w:val="none" w:sz="0" w:space="0" w:color="auto"/>
        <w:left w:val="none" w:sz="0" w:space="0" w:color="auto"/>
        <w:bottom w:val="none" w:sz="0" w:space="0" w:color="auto"/>
        <w:right w:val="none" w:sz="0" w:space="0" w:color="auto"/>
      </w:divBdr>
      <w:divsChild>
        <w:div w:id="1323655334">
          <w:marLeft w:val="0"/>
          <w:marRight w:val="0"/>
          <w:marTop w:val="0"/>
          <w:marBottom w:val="0"/>
          <w:divBdr>
            <w:top w:val="none" w:sz="0" w:space="0" w:color="auto"/>
            <w:left w:val="none" w:sz="0" w:space="0" w:color="auto"/>
            <w:bottom w:val="none" w:sz="0" w:space="0" w:color="auto"/>
            <w:right w:val="none" w:sz="0" w:space="0" w:color="auto"/>
          </w:divBdr>
          <w:divsChild>
            <w:div w:id="1245604450">
              <w:marLeft w:val="0"/>
              <w:marRight w:val="0"/>
              <w:marTop w:val="0"/>
              <w:marBottom w:val="0"/>
              <w:divBdr>
                <w:top w:val="none" w:sz="0" w:space="0" w:color="auto"/>
                <w:left w:val="none" w:sz="0" w:space="0" w:color="auto"/>
                <w:bottom w:val="none" w:sz="0" w:space="0" w:color="auto"/>
                <w:right w:val="none" w:sz="0" w:space="0" w:color="auto"/>
              </w:divBdr>
              <w:divsChild>
                <w:div w:id="684212857">
                  <w:marLeft w:val="3870"/>
                  <w:marRight w:val="0"/>
                  <w:marTop w:val="0"/>
                  <w:marBottom w:val="0"/>
                  <w:divBdr>
                    <w:top w:val="none" w:sz="0" w:space="0" w:color="auto"/>
                    <w:left w:val="none" w:sz="0" w:space="0" w:color="auto"/>
                    <w:bottom w:val="none" w:sz="0" w:space="0" w:color="auto"/>
                    <w:right w:val="none" w:sz="0" w:space="0" w:color="auto"/>
                  </w:divBdr>
                  <w:divsChild>
                    <w:div w:id="156576628">
                      <w:marLeft w:val="0"/>
                      <w:marRight w:val="0"/>
                      <w:marTop w:val="0"/>
                      <w:marBottom w:val="300"/>
                      <w:divBdr>
                        <w:top w:val="none" w:sz="0" w:space="0" w:color="auto"/>
                        <w:left w:val="none" w:sz="0" w:space="0" w:color="auto"/>
                        <w:bottom w:val="none" w:sz="0" w:space="0" w:color="auto"/>
                        <w:right w:val="none" w:sz="0" w:space="0" w:color="auto"/>
                      </w:divBdr>
                      <w:divsChild>
                        <w:div w:id="5148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538370">
      <w:bodyDiv w:val="1"/>
      <w:marLeft w:val="0"/>
      <w:marRight w:val="0"/>
      <w:marTop w:val="0"/>
      <w:marBottom w:val="0"/>
      <w:divBdr>
        <w:top w:val="none" w:sz="0" w:space="0" w:color="auto"/>
        <w:left w:val="none" w:sz="0" w:space="0" w:color="auto"/>
        <w:bottom w:val="none" w:sz="0" w:space="0" w:color="auto"/>
        <w:right w:val="none" w:sz="0" w:space="0" w:color="auto"/>
      </w:divBdr>
    </w:div>
    <w:div w:id="1745184567">
      <w:bodyDiv w:val="1"/>
      <w:marLeft w:val="0"/>
      <w:marRight w:val="0"/>
      <w:marTop w:val="0"/>
      <w:marBottom w:val="0"/>
      <w:divBdr>
        <w:top w:val="none" w:sz="0" w:space="0" w:color="auto"/>
        <w:left w:val="none" w:sz="0" w:space="0" w:color="auto"/>
        <w:bottom w:val="none" w:sz="0" w:space="0" w:color="auto"/>
        <w:right w:val="none" w:sz="0" w:space="0" w:color="auto"/>
      </w:divBdr>
    </w:div>
    <w:div w:id="1747801834">
      <w:bodyDiv w:val="1"/>
      <w:marLeft w:val="0"/>
      <w:marRight w:val="0"/>
      <w:marTop w:val="0"/>
      <w:marBottom w:val="0"/>
      <w:divBdr>
        <w:top w:val="none" w:sz="0" w:space="0" w:color="auto"/>
        <w:left w:val="none" w:sz="0" w:space="0" w:color="auto"/>
        <w:bottom w:val="none" w:sz="0" w:space="0" w:color="auto"/>
        <w:right w:val="none" w:sz="0" w:space="0" w:color="auto"/>
      </w:divBdr>
    </w:div>
    <w:div w:id="1768112151">
      <w:bodyDiv w:val="1"/>
      <w:marLeft w:val="0"/>
      <w:marRight w:val="0"/>
      <w:marTop w:val="0"/>
      <w:marBottom w:val="0"/>
      <w:divBdr>
        <w:top w:val="none" w:sz="0" w:space="0" w:color="auto"/>
        <w:left w:val="none" w:sz="0" w:space="0" w:color="auto"/>
        <w:bottom w:val="none" w:sz="0" w:space="0" w:color="auto"/>
        <w:right w:val="none" w:sz="0" w:space="0" w:color="auto"/>
      </w:divBdr>
    </w:div>
    <w:div w:id="1787430600">
      <w:bodyDiv w:val="1"/>
      <w:marLeft w:val="0"/>
      <w:marRight w:val="0"/>
      <w:marTop w:val="0"/>
      <w:marBottom w:val="0"/>
      <w:divBdr>
        <w:top w:val="none" w:sz="0" w:space="0" w:color="auto"/>
        <w:left w:val="none" w:sz="0" w:space="0" w:color="auto"/>
        <w:bottom w:val="none" w:sz="0" w:space="0" w:color="auto"/>
        <w:right w:val="none" w:sz="0" w:space="0" w:color="auto"/>
      </w:divBdr>
    </w:div>
    <w:div w:id="1874920287">
      <w:bodyDiv w:val="1"/>
      <w:marLeft w:val="0"/>
      <w:marRight w:val="0"/>
      <w:marTop w:val="0"/>
      <w:marBottom w:val="0"/>
      <w:divBdr>
        <w:top w:val="none" w:sz="0" w:space="0" w:color="auto"/>
        <w:left w:val="none" w:sz="0" w:space="0" w:color="auto"/>
        <w:bottom w:val="none" w:sz="0" w:space="0" w:color="auto"/>
        <w:right w:val="none" w:sz="0" w:space="0" w:color="auto"/>
      </w:divBdr>
    </w:div>
    <w:div w:id="1983465271">
      <w:bodyDiv w:val="1"/>
      <w:marLeft w:val="0"/>
      <w:marRight w:val="0"/>
      <w:marTop w:val="0"/>
      <w:marBottom w:val="0"/>
      <w:divBdr>
        <w:top w:val="none" w:sz="0" w:space="0" w:color="auto"/>
        <w:left w:val="none" w:sz="0" w:space="0" w:color="auto"/>
        <w:bottom w:val="none" w:sz="0" w:space="0" w:color="auto"/>
        <w:right w:val="none" w:sz="0" w:space="0" w:color="auto"/>
      </w:divBdr>
    </w:div>
    <w:div w:id="1990673224">
      <w:bodyDiv w:val="1"/>
      <w:marLeft w:val="0"/>
      <w:marRight w:val="0"/>
      <w:marTop w:val="0"/>
      <w:marBottom w:val="0"/>
      <w:divBdr>
        <w:top w:val="none" w:sz="0" w:space="0" w:color="auto"/>
        <w:left w:val="none" w:sz="0" w:space="0" w:color="auto"/>
        <w:bottom w:val="none" w:sz="0" w:space="0" w:color="auto"/>
        <w:right w:val="none" w:sz="0" w:space="0" w:color="auto"/>
      </w:divBdr>
      <w:divsChild>
        <w:div w:id="116292206">
          <w:marLeft w:val="0"/>
          <w:marRight w:val="0"/>
          <w:marTop w:val="0"/>
          <w:marBottom w:val="0"/>
          <w:divBdr>
            <w:top w:val="none" w:sz="0" w:space="0" w:color="auto"/>
            <w:left w:val="none" w:sz="0" w:space="0" w:color="auto"/>
            <w:bottom w:val="none" w:sz="0" w:space="0" w:color="auto"/>
            <w:right w:val="none" w:sz="0" w:space="0" w:color="auto"/>
          </w:divBdr>
          <w:divsChild>
            <w:div w:id="969629459">
              <w:marLeft w:val="0"/>
              <w:marRight w:val="0"/>
              <w:marTop w:val="0"/>
              <w:marBottom w:val="0"/>
              <w:divBdr>
                <w:top w:val="none" w:sz="0" w:space="0" w:color="auto"/>
                <w:left w:val="none" w:sz="0" w:space="0" w:color="auto"/>
                <w:bottom w:val="none" w:sz="0" w:space="0" w:color="auto"/>
                <w:right w:val="none" w:sz="0" w:space="0" w:color="auto"/>
              </w:divBdr>
              <w:divsChild>
                <w:div w:id="986400364">
                  <w:marLeft w:val="0"/>
                  <w:marRight w:val="0"/>
                  <w:marTop w:val="0"/>
                  <w:marBottom w:val="0"/>
                  <w:divBdr>
                    <w:top w:val="none" w:sz="0" w:space="0" w:color="auto"/>
                    <w:left w:val="none" w:sz="0" w:space="0" w:color="auto"/>
                    <w:bottom w:val="none" w:sz="0" w:space="0" w:color="auto"/>
                    <w:right w:val="none" w:sz="0" w:space="0" w:color="auto"/>
                  </w:divBdr>
                  <w:divsChild>
                    <w:div w:id="429200770">
                      <w:marLeft w:val="0"/>
                      <w:marRight w:val="0"/>
                      <w:marTop w:val="0"/>
                      <w:marBottom w:val="0"/>
                      <w:divBdr>
                        <w:top w:val="none" w:sz="0" w:space="0" w:color="auto"/>
                        <w:left w:val="none" w:sz="0" w:space="0" w:color="auto"/>
                        <w:bottom w:val="none" w:sz="0" w:space="0" w:color="auto"/>
                        <w:right w:val="none" w:sz="0" w:space="0" w:color="auto"/>
                      </w:divBdr>
                      <w:divsChild>
                        <w:div w:id="620502349">
                          <w:marLeft w:val="0"/>
                          <w:marRight w:val="0"/>
                          <w:marTop w:val="0"/>
                          <w:marBottom w:val="0"/>
                          <w:divBdr>
                            <w:top w:val="none" w:sz="0" w:space="0" w:color="auto"/>
                            <w:left w:val="none" w:sz="0" w:space="0" w:color="auto"/>
                            <w:bottom w:val="none" w:sz="0" w:space="0" w:color="auto"/>
                            <w:right w:val="none" w:sz="0" w:space="0" w:color="auto"/>
                          </w:divBdr>
                          <w:divsChild>
                            <w:div w:id="1347251045">
                              <w:marLeft w:val="-225"/>
                              <w:marRight w:val="-225"/>
                              <w:marTop w:val="0"/>
                              <w:marBottom w:val="0"/>
                              <w:divBdr>
                                <w:top w:val="none" w:sz="0" w:space="0" w:color="auto"/>
                                <w:left w:val="none" w:sz="0" w:space="0" w:color="auto"/>
                                <w:bottom w:val="none" w:sz="0" w:space="0" w:color="auto"/>
                                <w:right w:val="none" w:sz="0" w:space="0" w:color="auto"/>
                              </w:divBdr>
                              <w:divsChild>
                                <w:div w:id="1784686754">
                                  <w:marLeft w:val="0"/>
                                  <w:marRight w:val="0"/>
                                  <w:marTop w:val="0"/>
                                  <w:marBottom w:val="0"/>
                                  <w:divBdr>
                                    <w:top w:val="none" w:sz="0" w:space="0" w:color="auto"/>
                                    <w:left w:val="none" w:sz="0" w:space="0" w:color="auto"/>
                                    <w:bottom w:val="none" w:sz="0" w:space="0" w:color="auto"/>
                                    <w:right w:val="none" w:sz="0" w:space="0" w:color="auto"/>
                                  </w:divBdr>
                                  <w:divsChild>
                                    <w:div w:id="205028737">
                                      <w:marLeft w:val="0"/>
                                      <w:marRight w:val="0"/>
                                      <w:marTop w:val="0"/>
                                      <w:marBottom w:val="0"/>
                                      <w:divBdr>
                                        <w:top w:val="none" w:sz="0" w:space="0" w:color="auto"/>
                                        <w:left w:val="none" w:sz="0" w:space="0" w:color="auto"/>
                                        <w:bottom w:val="none" w:sz="0" w:space="0" w:color="auto"/>
                                        <w:right w:val="none" w:sz="0" w:space="0" w:color="auto"/>
                                      </w:divBdr>
                                      <w:divsChild>
                                        <w:div w:id="1761561866">
                                          <w:marLeft w:val="0"/>
                                          <w:marRight w:val="0"/>
                                          <w:marTop w:val="0"/>
                                          <w:marBottom w:val="0"/>
                                          <w:divBdr>
                                            <w:top w:val="none" w:sz="0" w:space="0" w:color="auto"/>
                                            <w:left w:val="none" w:sz="0" w:space="0" w:color="auto"/>
                                            <w:bottom w:val="none" w:sz="0" w:space="0" w:color="auto"/>
                                            <w:right w:val="none" w:sz="0" w:space="0" w:color="auto"/>
                                          </w:divBdr>
                                          <w:divsChild>
                                            <w:div w:id="1226572706">
                                              <w:marLeft w:val="0"/>
                                              <w:marRight w:val="0"/>
                                              <w:marTop w:val="0"/>
                                              <w:marBottom w:val="0"/>
                                              <w:divBdr>
                                                <w:top w:val="none" w:sz="0" w:space="0" w:color="auto"/>
                                                <w:left w:val="none" w:sz="0" w:space="0" w:color="auto"/>
                                                <w:bottom w:val="none" w:sz="0" w:space="0" w:color="auto"/>
                                                <w:right w:val="none" w:sz="0" w:space="0" w:color="auto"/>
                                              </w:divBdr>
                                              <w:divsChild>
                                                <w:div w:id="1794786107">
                                                  <w:marLeft w:val="0"/>
                                                  <w:marRight w:val="0"/>
                                                  <w:marTop w:val="0"/>
                                                  <w:marBottom w:val="0"/>
                                                  <w:divBdr>
                                                    <w:top w:val="none" w:sz="0" w:space="0" w:color="auto"/>
                                                    <w:left w:val="none" w:sz="0" w:space="0" w:color="auto"/>
                                                    <w:bottom w:val="none" w:sz="0" w:space="0" w:color="auto"/>
                                                    <w:right w:val="none" w:sz="0" w:space="0" w:color="auto"/>
                                                  </w:divBdr>
                                                  <w:divsChild>
                                                    <w:div w:id="369648710">
                                                      <w:marLeft w:val="0"/>
                                                      <w:marRight w:val="0"/>
                                                      <w:marTop w:val="0"/>
                                                      <w:marBottom w:val="0"/>
                                                      <w:divBdr>
                                                        <w:top w:val="none" w:sz="0" w:space="0" w:color="auto"/>
                                                        <w:left w:val="none" w:sz="0" w:space="0" w:color="auto"/>
                                                        <w:bottom w:val="none" w:sz="0" w:space="0" w:color="auto"/>
                                                        <w:right w:val="none" w:sz="0" w:space="0" w:color="auto"/>
                                                      </w:divBdr>
                                                      <w:divsChild>
                                                        <w:div w:id="99614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635702">
      <w:bodyDiv w:val="1"/>
      <w:marLeft w:val="0"/>
      <w:marRight w:val="0"/>
      <w:marTop w:val="0"/>
      <w:marBottom w:val="0"/>
      <w:divBdr>
        <w:top w:val="none" w:sz="0" w:space="0" w:color="auto"/>
        <w:left w:val="none" w:sz="0" w:space="0" w:color="auto"/>
        <w:bottom w:val="none" w:sz="0" w:space="0" w:color="auto"/>
        <w:right w:val="none" w:sz="0" w:space="0" w:color="auto"/>
      </w:divBdr>
    </w:div>
    <w:div w:id="2008628411">
      <w:bodyDiv w:val="1"/>
      <w:marLeft w:val="0"/>
      <w:marRight w:val="0"/>
      <w:marTop w:val="0"/>
      <w:marBottom w:val="0"/>
      <w:divBdr>
        <w:top w:val="none" w:sz="0" w:space="0" w:color="auto"/>
        <w:left w:val="none" w:sz="0" w:space="0" w:color="auto"/>
        <w:bottom w:val="none" w:sz="0" w:space="0" w:color="auto"/>
        <w:right w:val="none" w:sz="0" w:space="0" w:color="auto"/>
      </w:divBdr>
    </w:div>
    <w:div w:id="2038431973">
      <w:bodyDiv w:val="1"/>
      <w:marLeft w:val="0"/>
      <w:marRight w:val="0"/>
      <w:marTop w:val="0"/>
      <w:marBottom w:val="0"/>
      <w:divBdr>
        <w:top w:val="none" w:sz="0" w:space="0" w:color="auto"/>
        <w:left w:val="none" w:sz="0" w:space="0" w:color="auto"/>
        <w:bottom w:val="none" w:sz="0" w:space="0" w:color="auto"/>
        <w:right w:val="none" w:sz="0" w:space="0" w:color="auto"/>
      </w:divBdr>
    </w:div>
    <w:div w:id="212090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bares@agriculture.gov.a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6B24EF29B14488A4D3E054F39A21B" ma:contentTypeVersion="2" ma:contentTypeDescription="Create a new document." ma:contentTypeScope="" ma:versionID="ea9366ecf14e49713b65f30b7bb9c902">
  <xsd:schema xmlns:xsd="http://www.w3.org/2001/XMLSchema" xmlns:xs="http://www.w3.org/2001/XMLSchema" xmlns:p="http://schemas.microsoft.com/office/2006/metadata/properties" xmlns:ns1="http://schemas.microsoft.com/sharepoint/v3" xmlns:ns2="http://schemas.microsoft.com/sharepoint/v3/fields" targetNamespace="http://schemas.microsoft.com/office/2006/metadata/properties" ma:root="true" ma:fieldsID="33c67d9f52e3aab0097483806a3a0923" ns1:_="" ns2:_="">
    <xsd:import namespace="http://schemas.microsoft.com/sharepoint/v3"/>
    <xsd:import namespace="http://schemas.microsoft.com/sharepoint/v3/fields"/>
    <xsd:element name="properties">
      <xsd:complexType>
        <xsd:sequence>
          <xsd:element name="documentManagement">
            <xsd:complexType>
              <xsd:all>
                <xsd:element ref="ns1:PublishingStartDate" minOccurs="0"/>
                <xsd:element ref="ns1:PublishingExpirationDate" minOccurs="0"/>
                <xsd:element ref="ns2: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10"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8CF44-74A3-41F5-AE0D-003C6A3ECD12}">
  <ds:schemaRefs>
    <ds:schemaRef ds:uri="http://schemas.microsoft.com/sharepoint/v3/contenttype/forms"/>
  </ds:schemaRefs>
</ds:datastoreItem>
</file>

<file path=customXml/itemProps2.xml><?xml version="1.0" encoding="utf-8"?>
<ds:datastoreItem xmlns:ds="http://schemas.openxmlformats.org/officeDocument/2006/customXml" ds:itemID="{A7AFBB91-4DF6-4AD2-ABD3-39F2B511FB87}">
  <ds:schemaRef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802B34BE-4244-4D3A-A87C-3C388A89D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A44B81-01EA-4838-AA91-562C036B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8016</Words>
  <Characters>43289</Characters>
  <Application>Microsoft Office Word</Application>
  <DocSecurity>0</DocSecurity>
  <Lines>848</Lines>
  <Paragraphs>434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50871</CharactersWithSpaces>
  <SharedDoc>false</SharedDoc>
  <HLinks>
    <vt:vector size="96" baseType="variant">
      <vt:variant>
        <vt:i4>1572913</vt:i4>
      </vt:variant>
      <vt:variant>
        <vt:i4>92</vt:i4>
      </vt:variant>
      <vt:variant>
        <vt:i4>0</vt:i4>
      </vt:variant>
      <vt:variant>
        <vt:i4>5</vt:i4>
      </vt:variant>
      <vt:variant>
        <vt:lpwstr/>
      </vt:variant>
      <vt:variant>
        <vt:lpwstr>_Toc349827940</vt:lpwstr>
      </vt:variant>
      <vt:variant>
        <vt:i4>2031665</vt:i4>
      </vt:variant>
      <vt:variant>
        <vt:i4>86</vt:i4>
      </vt:variant>
      <vt:variant>
        <vt:i4>0</vt:i4>
      </vt:variant>
      <vt:variant>
        <vt:i4>5</vt:i4>
      </vt:variant>
      <vt:variant>
        <vt:lpwstr/>
      </vt:variant>
      <vt:variant>
        <vt:lpwstr>_Toc349827939</vt:lpwstr>
      </vt:variant>
      <vt:variant>
        <vt:i4>2031665</vt:i4>
      </vt:variant>
      <vt:variant>
        <vt:i4>80</vt:i4>
      </vt:variant>
      <vt:variant>
        <vt:i4>0</vt:i4>
      </vt:variant>
      <vt:variant>
        <vt:i4>5</vt:i4>
      </vt:variant>
      <vt:variant>
        <vt:lpwstr/>
      </vt:variant>
      <vt:variant>
        <vt:lpwstr>_Toc349827938</vt:lpwstr>
      </vt:variant>
      <vt:variant>
        <vt:i4>2031665</vt:i4>
      </vt:variant>
      <vt:variant>
        <vt:i4>74</vt:i4>
      </vt:variant>
      <vt:variant>
        <vt:i4>0</vt:i4>
      </vt:variant>
      <vt:variant>
        <vt:i4>5</vt:i4>
      </vt:variant>
      <vt:variant>
        <vt:lpwstr/>
      </vt:variant>
      <vt:variant>
        <vt:lpwstr>_Toc349827937</vt:lpwstr>
      </vt:variant>
      <vt:variant>
        <vt:i4>2031665</vt:i4>
      </vt:variant>
      <vt:variant>
        <vt:i4>68</vt:i4>
      </vt:variant>
      <vt:variant>
        <vt:i4>0</vt:i4>
      </vt:variant>
      <vt:variant>
        <vt:i4>5</vt:i4>
      </vt:variant>
      <vt:variant>
        <vt:lpwstr/>
      </vt:variant>
      <vt:variant>
        <vt:lpwstr>_Toc349827936</vt:lpwstr>
      </vt:variant>
      <vt:variant>
        <vt:i4>2031665</vt:i4>
      </vt:variant>
      <vt:variant>
        <vt:i4>62</vt:i4>
      </vt:variant>
      <vt:variant>
        <vt:i4>0</vt:i4>
      </vt:variant>
      <vt:variant>
        <vt:i4>5</vt:i4>
      </vt:variant>
      <vt:variant>
        <vt:lpwstr/>
      </vt:variant>
      <vt:variant>
        <vt:lpwstr>_Toc349827935</vt:lpwstr>
      </vt:variant>
      <vt:variant>
        <vt:i4>2031665</vt:i4>
      </vt:variant>
      <vt:variant>
        <vt:i4>56</vt:i4>
      </vt:variant>
      <vt:variant>
        <vt:i4>0</vt:i4>
      </vt:variant>
      <vt:variant>
        <vt:i4>5</vt:i4>
      </vt:variant>
      <vt:variant>
        <vt:lpwstr/>
      </vt:variant>
      <vt:variant>
        <vt:lpwstr>_Toc349827934</vt:lpwstr>
      </vt:variant>
      <vt:variant>
        <vt:i4>2031665</vt:i4>
      </vt:variant>
      <vt:variant>
        <vt:i4>50</vt:i4>
      </vt:variant>
      <vt:variant>
        <vt:i4>0</vt:i4>
      </vt:variant>
      <vt:variant>
        <vt:i4>5</vt:i4>
      </vt:variant>
      <vt:variant>
        <vt:lpwstr/>
      </vt:variant>
      <vt:variant>
        <vt:lpwstr>_Toc349827933</vt:lpwstr>
      </vt:variant>
      <vt:variant>
        <vt:i4>2031665</vt:i4>
      </vt:variant>
      <vt:variant>
        <vt:i4>44</vt:i4>
      </vt:variant>
      <vt:variant>
        <vt:i4>0</vt:i4>
      </vt:variant>
      <vt:variant>
        <vt:i4>5</vt:i4>
      </vt:variant>
      <vt:variant>
        <vt:lpwstr/>
      </vt:variant>
      <vt:variant>
        <vt:lpwstr>_Toc349827932</vt:lpwstr>
      </vt:variant>
      <vt:variant>
        <vt:i4>2031665</vt:i4>
      </vt:variant>
      <vt:variant>
        <vt:i4>38</vt:i4>
      </vt:variant>
      <vt:variant>
        <vt:i4>0</vt:i4>
      </vt:variant>
      <vt:variant>
        <vt:i4>5</vt:i4>
      </vt:variant>
      <vt:variant>
        <vt:lpwstr/>
      </vt:variant>
      <vt:variant>
        <vt:lpwstr>_Toc349827931</vt:lpwstr>
      </vt:variant>
      <vt:variant>
        <vt:i4>2031665</vt:i4>
      </vt:variant>
      <vt:variant>
        <vt:i4>32</vt:i4>
      </vt:variant>
      <vt:variant>
        <vt:i4>0</vt:i4>
      </vt:variant>
      <vt:variant>
        <vt:i4>5</vt:i4>
      </vt:variant>
      <vt:variant>
        <vt:lpwstr/>
      </vt:variant>
      <vt:variant>
        <vt:lpwstr>_Toc349827930</vt:lpwstr>
      </vt:variant>
      <vt:variant>
        <vt:i4>1966129</vt:i4>
      </vt:variant>
      <vt:variant>
        <vt:i4>26</vt:i4>
      </vt:variant>
      <vt:variant>
        <vt:i4>0</vt:i4>
      </vt:variant>
      <vt:variant>
        <vt:i4>5</vt:i4>
      </vt:variant>
      <vt:variant>
        <vt:lpwstr/>
      </vt:variant>
      <vt:variant>
        <vt:lpwstr>_Toc349827929</vt:lpwstr>
      </vt:variant>
      <vt:variant>
        <vt:i4>1966129</vt:i4>
      </vt:variant>
      <vt:variant>
        <vt:i4>20</vt:i4>
      </vt:variant>
      <vt:variant>
        <vt:i4>0</vt:i4>
      </vt:variant>
      <vt:variant>
        <vt:i4>5</vt:i4>
      </vt:variant>
      <vt:variant>
        <vt:lpwstr/>
      </vt:variant>
      <vt:variant>
        <vt:lpwstr>_Toc349827928</vt:lpwstr>
      </vt:variant>
      <vt:variant>
        <vt:i4>1966129</vt:i4>
      </vt:variant>
      <vt:variant>
        <vt:i4>14</vt:i4>
      </vt:variant>
      <vt:variant>
        <vt:i4>0</vt:i4>
      </vt:variant>
      <vt:variant>
        <vt:i4>5</vt:i4>
      </vt:variant>
      <vt:variant>
        <vt:lpwstr/>
      </vt:variant>
      <vt:variant>
        <vt:lpwstr>_Toc349827927</vt:lpwstr>
      </vt:variant>
      <vt:variant>
        <vt:i4>1966129</vt:i4>
      </vt:variant>
      <vt:variant>
        <vt:i4>8</vt:i4>
      </vt:variant>
      <vt:variant>
        <vt:i4>0</vt:i4>
      </vt:variant>
      <vt:variant>
        <vt:i4>5</vt:i4>
      </vt:variant>
      <vt:variant>
        <vt:lpwstr/>
      </vt:variant>
      <vt:variant>
        <vt:lpwstr>_Toc349827926</vt:lpwstr>
      </vt:variant>
      <vt:variant>
        <vt:i4>1966129</vt:i4>
      </vt:variant>
      <vt:variant>
        <vt:i4>2</vt:i4>
      </vt:variant>
      <vt:variant>
        <vt:i4>0</vt:i4>
      </vt:variant>
      <vt:variant>
        <vt:i4>5</vt:i4>
      </vt:variant>
      <vt:variant>
        <vt:lpwstr/>
      </vt:variant>
      <vt:variant>
        <vt:lpwstr>_Toc349827925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2015-08-18T06:59:00Z</cp:lastPrinted>
  <dcterms:created xsi:type="dcterms:W3CDTF">2016-12-19T04:37:00Z</dcterms:created>
  <dcterms:modified xsi:type="dcterms:W3CDTF">2016-12-19T04:37:00Z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0x01010078F6B24EF29B14488A4D3E054F39A21B</vt:lpwstr>
  </property>
</Properties>
</file>