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DCDC8" w14:textId="77777777" w:rsidR="000D37F0" w:rsidRDefault="000D37F0">
      <w:pPr>
        <w:pStyle w:val="Heading1"/>
      </w:pPr>
      <w:bookmarkStart w:id="0" w:name="_GoBack"/>
      <w:bookmarkEnd w:id="0"/>
      <w:r>
        <w:t>W</w:t>
      </w:r>
      <w:r w:rsidR="001340AE">
        <w:t xml:space="preserve">ater market outlook </w:t>
      </w:r>
    </w:p>
    <w:p w14:paraId="154C45A7" w14:textId="77777777" w:rsidR="0053623B" w:rsidRPr="00C45B7D" w:rsidRDefault="000D37F0" w:rsidP="00C45B7D">
      <w:pPr>
        <w:pStyle w:val="Subtitle"/>
      </w:pPr>
      <w:r>
        <w:t>August 2019</w:t>
      </w:r>
    </w:p>
    <w:p w14:paraId="2A18E2E6" w14:textId="77777777" w:rsidR="002A07E6" w:rsidRPr="002A07E6" w:rsidRDefault="00E715DD" w:rsidP="002A07E6">
      <w:pPr>
        <w:spacing w:after="60"/>
        <w:rPr>
          <w:b/>
          <w:sz w:val="28"/>
          <w:szCs w:val="28"/>
          <w:lang w:val="es-ES"/>
        </w:rPr>
      </w:pPr>
      <w:r>
        <w:rPr>
          <w:b/>
          <w:sz w:val="28"/>
          <w:szCs w:val="28"/>
          <w:lang w:val="es-ES"/>
        </w:rPr>
        <w:t>Tim Westwood, Mihir Gupta and Neal Hughes</w:t>
      </w:r>
    </w:p>
    <w:p w14:paraId="17C5531F" w14:textId="77777777" w:rsidR="0053623B" w:rsidRDefault="00F17467">
      <w:pPr>
        <w:pStyle w:val="Organisation"/>
        <w:tabs>
          <w:tab w:val="left" w:pos="7995"/>
        </w:tabs>
      </w:pPr>
      <w:r>
        <w:t xml:space="preserve">Research by the Australian Bureau of Agricultural and Resource Economics </w:t>
      </w:r>
      <w:r w:rsidR="001340AE">
        <w:t xml:space="preserve">and Sciences </w:t>
      </w:r>
    </w:p>
    <w:p w14:paraId="08127D45" w14:textId="2767655D" w:rsidR="0053623B" w:rsidRDefault="00891F46" w:rsidP="00BF047F">
      <w:pPr>
        <w:pStyle w:val="Publicationseries"/>
      </w:pPr>
      <w:r>
        <w:t>Research report 19.</w:t>
      </w:r>
      <w:r w:rsidR="006366FD">
        <w:t>9</w:t>
      </w:r>
    </w:p>
    <w:p w14:paraId="485C6B99" w14:textId="482BA0B5" w:rsidR="00BF047F" w:rsidRDefault="00891F46" w:rsidP="00BF047F">
      <w:pPr>
        <w:pStyle w:val="Publicationseries"/>
      </w:pPr>
      <w:r>
        <w:t>August 2019</w:t>
      </w:r>
    </w:p>
    <w:p w14:paraId="1C98BAE1" w14:textId="77777777" w:rsidR="00BF047F" w:rsidRDefault="00BF047F" w:rsidP="00BF047F">
      <w:pPr>
        <w:pStyle w:val="Publicationseries"/>
      </w:pPr>
    </w:p>
    <w:p w14:paraId="2A460B9A" w14:textId="77777777" w:rsidR="0053623B" w:rsidRDefault="00F17467" w:rsidP="00BF047F">
      <w:pPr>
        <w:pStyle w:val="Picture"/>
        <w:jc w:val="center"/>
      </w:pPr>
      <w:r>
        <w:drawing>
          <wp:inline distT="0" distB="0" distL="0" distR="0" wp14:anchorId="2DAE26D8" wp14:editId="0D14E977">
            <wp:extent cx="5543550"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p w14:paraId="5C37DFD2" w14:textId="4631C5C9" w:rsidR="0053623B" w:rsidRDefault="00F17467">
      <w:pPr>
        <w:pStyle w:val="Normalsmall"/>
      </w:pPr>
      <w:r>
        <w:br w:type="page"/>
      </w:r>
      <w:r>
        <w:lastRenderedPageBreak/>
        <w:t>© Commonwealth of Australia 201</w:t>
      </w:r>
      <w:r w:rsidR="00DD39B0">
        <w:t>9</w:t>
      </w:r>
    </w:p>
    <w:p w14:paraId="66926310" w14:textId="77777777" w:rsidR="0053623B" w:rsidRDefault="00F17467">
      <w:pPr>
        <w:pStyle w:val="Normalsmall"/>
        <w:rPr>
          <w:rStyle w:val="Strong"/>
        </w:rPr>
      </w:pPr>
      <w:r>
        <w:rPr>
          <w:rStyle w:val="Strong"/>
        </w:rPr>
        <w:t>Ownership of intellectual property rights</w:t>
      </w:r>
    </w:p>
    <w:p w14:paraId="18EF4C9C" w14:textId="77777777" w:rsidR="0053623B" w:rsidRDefault="00F17467">
      <w:pPr>
        <w:pStyle w:val="Normalsmall"/>
      </w:pPr>
      <w:r>
        <w:t>Unless otherwise noted, copyright (and any other intellectual property rights, if any) in this publication is owned by the Commonwealth of Australia (referred to as the Commonwealth).</w:t>
      </w:r>
    </w:p>
    <w:p w14:paraId="2F5AB073" w14:textId="77777777" w:rsidR="0053623B" w:rsidRDefault="00F17467">
      <w:pPr>
        <w:pStyle w:val="Normalsmall"/>
        <w:rPr>
          <w:rStyle w:val="Strong"/>
        </w:rPr>
      </w:pPr>
      <w:r>
        <w:rPr>
          <w:rStyle w:val="Strong"/>
        </w:rPr>
        <w:t>Creative Commons licence</w:t>
      </w:r>
    </w:p>
    <w:p w14:paraId="452FF2F6" w14:textId="77777777" w:rsidR="0053623B" w:rsidRDefault="00F17467">
      <w:pPr>
        <w:pStyle w:val="Normalsmall"/>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14:paraId="5B889045" w14:textId="77777777" w:rsidR="0053623B" w:rsidRDefault="00F17467">
      <w:pPr>
        <w:pStyle w:val="Normalsmall"/>
      </w:pPr>
      <w:r>
        <w:t xml:space="preserve">Inquiries about the licence and any use of this document should be emailed to </w:t>
      </w:r>
      <w:hyperlink r:id="rId10" w:history="1">
        <w:r>
          <w:rPr>
            <w:rStyle w:val="Hyperlink"/>
          </w:rPr>
          <w:t>copyright@agriculture.gov.au</w:t>
        </w:r>
      </w:hyperlink>
      <w:r>
        <w:t>.</w:t>
      </w:r>
    </w:p>
    <w:p w14:paraId="21139D28" w14:textId="77777777" w:rsidR="0053623B" w:rsidRDefault="00F17467">
      <w:pPr>
        <w:pStyle w:val="Normalsmall"/>
      </w:pPr>
      <w:r>
        <w:rPr>
          <w:noProof/>
          <w:lang w:eastAsia="en-AU"/>
        </w:rPr>
        <w:drawing>
          <wp:inline distT="0" distB="0" distL="0" distR="0" wp14:anchorId="764D2829" wp14:editId="090A940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880C533" w14:textId="77777777" w:rsidR="0053623B" w:rsidRDefault="00F17467">
      <w:pPr>
        <w:pStyle w:val="Normalsmall"/>
        <w:rPr>
          <w:rStyle w:val="Strong"/>
        </w:rPr>
      </w:pPr>
      <w:r>
        <w:rPr>
          <w:rStyle w:val="Strong"/>
        </w:rPr>
        <w:t>Cataloguing data</w:t>
      </w:r>
    </w:p>
    <w:p w14:paraId="4F19FBCF" w14:textId="534D217F" w:rsidR="0053623B" w:rsidRPr="00DF4714" w:rsidRDefault="00F17467">
      <w:pPr>
        <w:pStyle w:val="Normalsmall"/>
        <w:rPr>
          <w:highlight w:val="yellow"/>
        </w:rPr>
      </w:pPr>
      <w:r>
        <w:t xml:space="preserve">This publication (and any material sourced from it) should be attributed as: </w:t>
      </w:r>
      <w:r w:rsidR="00AC02DC" w:rsidRPr="00DF4714">
        <w:t>Westwood, T</w:t>
      </w:r>
      <w:r w:rsidR="004E6551">
        <w:t>, Gupta, M, Hughes, N,</w:t>
      </w:r>
      <w:r w:rsidR="00AC02DC" w:rsidRPr="00DF4714">
        <w:t xml:space="preserve"> </w:t>
      </w:r>
      <w:r w:rsidR="00E31CFC">
        <w:t>2019</w:t>
      </w:r>
      <w:r w:rsidRPr="00DF4714">
        <w:t xml:space="preserve">, </w:t>
      </w:r>
      <w:r w:rsidR="00A242DE">
        <w:rPr>
          <w:i/>
        </w:rPr>
        <w:t>W</w:t>
      </w:r>
      <w:r w:rsidR="00AC02DC">
        <w:rPr>
          <w:i/>
        </w:rPr>
        <w:t>ater market outlook</w:t>
      </w:r>
      <w:r w:rsidR="00DD39B0">
        <w:rPr>
          <w:i/>
        </w:rPr>
        <w:t>: August 2019</w:t>
      </w:r>
      <w:r>
        <w:t xml:space="preserve">, ABARES </w:t>
      </w:r>
      <w:r w:rsidR="00DD39B0">
        <w:t>research report 19.9</w:t>
      </w:r>
      <w:r>
        <w:t xml:space="preserve">, Canberra, </w:t>
      </w:r>
      <w:r w:rsidR="00E31CFC">
        <w:t>August</w:t>
      </w:r>
      <w:r>
        <w:t>. CC BY 4.0.</w:t>
      </w:r>
      <w:r w:rsidR="009B2FF9">
        <w:t xml:space="preserve"> </w:t>
      </w:r>
      <w:r w:rsidR="000C30EE">
        <w:t xml:space="preserve"> </w:t>
      </w:r>
      <w:hyperlink r:id="rId12" w:history="1">
        <w:r w:rsidR="00D129A1" w:rsidRPr="002F2C49">
          <w:rPr>
            <w:rStyle w:val="Hyperlink"/>
          </w:rPr>
          <w:t>https://doi.org/10.25814/5d3fa5ac56a54</w:t>
        </w:r>
      </w:hyperlink>
      <w:r w:rsidR="00D129A1">
        <w:t xml:space="preserve"> </w:t>
      </w:r>
    </w:p>
    <w:p w14:paraId="32DE1C93" w14:textId="414E09C9" w:rsidR="00A3139B" w:rsidRPr="00DF4714" w:rsidRDefault="00F17467" w:rsidP="00A3139B">
      <w:pPr>
        <w:pStyle w:val="Normalsmall"/>
      </w:pPr>
      <w:r w:rsidRPr="000C30EE">
        <w:t xml:space="preserve">ISBN </w:t>
      </w:r>
      <w:r w:rsidR="000C30EE" w:rsidRPr="000C30EE">
        <w:t>978-1-74323-439-6</w:t>
      </w:r>
      <w:r w:rsidR="00A3139B" w:rsidRPr="000C30EE" w:rsidDel="00A3139B">
        <w:t xml:space="preserve"> </w:t>
      </w:r>
      <w:r w:rsidR="00A3139B" w:rsidRPr="000C30EE">
        <w:br/>
      </w:r>
      <w:r w:rsidR="00A3139B" w:rsidRPr="00D129A1">
        <w:t>ISSN:</w:t>
      </w:r>
      <w:r w:rsidR="00212402" w:rsidRPr="00D129A1">
        <w:t xml:space="preserve"> </w:t>
      </w:r>
      <w:r w:rsidR="000C30EE" w:rsidRPr="00D129A1">
        <w:t>1447-8358</w:t>
      </w:r>
    </w:p>
    <w:p w14:paraId="0DFB0E38" w14:textId="77777777" w:rsidR="0053623B" w:rsidRDefault="00F17467">
      <w:pPr>
        <w:pStyle w:val="Normalsmall"/>
      </w:pPr>
      <w:r>
        <w:t xml:space="preserve">This publication is available </w:t>
      </w:r>
      <w:r w:rsidRPr="00B90FC9">
        <w:t xml:space="preserve">at </w:t>
      </w:r>
      <w:hyperlink r:id="rId13" w:history="1">
        <w:r w:rsidRPr="00B90FC9">
          <w:rPr>
            <w:rStyle w:val="Hyperlink"/>
          </w:rPr>
          <w:t>agriculture.gov.au/publications</w:t>
        </w:r>
      </w:hyperlink>
      <w:r w:rsidRPr="00B90FC9">
        <w:t>.</w:t>
      </w:r>
    </w:p>
    <w:p w14:paraId="735D3383" w14:textId="77777777" w:rsidR="0053623B" w:rsidRDefault="00F17467">
      <w:pPr>
        <w:pStyle w:val="Normalsmall"/>
        <w:spacing w:after="0"/>
      </w:pPr>
      <w:r>
        <w:t>Department of Agriculture and Water Resources</w:t>
      </w:r>
    </w:p>
    <w:p w14:paraId="598E1922" w14:textId="77777777" w:rsidR="0053623B" w:rsidRDefault="00F17467">
      <w:pPr>
        <w:pStyle w:val="Normalsmall"/>
        <w:spacing w:after="0"/>
      </w:pPr>
      <w:r>
        <w:t>GPO Box 858 Canberra ACT 2601</w:t>
      </w:r>
    </w:p>
    <w:p w14:paraId="3B670099" w14:textId="77777777" w:rsidR="0053623B" w:rsidRDefault="00F17467">
      <w:pPr>
        <w:pStyle w:val="Normalsmall"/>
        <w:spacing w:after="0"/>
      </w:pPr>
      <w:r>
        <w:t>Telephone 1800 900 090</w:t>
      </w:r>
    </w:p>
    <w:p w14:paraId="798EBFDA" w14:textId="77777777" w:rsidR="0053623B" w:rsidRDefault="00F17467">
      <w:pPr>
        <w:pStyle w:val="Normalsmall"/>
      </w:pPr>
      <w:r>
        <w:t xml:space="preserve">Web </w:t>
      </w:r>
      <w:hyperlink r:id="rId14" w:history="1">
        <w:r>
          <w:rPr>
            <w:rStyle w:val="Hyperlink"/>
          </w:rPr>
          <w:t>agriculture.gov.au</w:t>
        </w:r>
      </w:hyperlink>
    </w:p>
    <w:p w14:paraId="7462F8F7" w14:textId="77777777" w:rsidR="0053623B" w:rsidRDefault="00F17467">
      <w:pPr>
        <w:pStyle w:val="Normalsmall"/>
      </w:pPr>
      <w: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3F615CB" w14:textId="77777777" w:rsidR="00FA4489" w:rsidRDefault="00FA4489">
      <w:pPr>
        <w:pStyle w:val="TOCHeading"/>
        <w:rPr>
          <w:rFonts w:ascii="Cambria" w:eastAsiaTheme="minorHAnsi" w:hAnsi="Cambria"/>
          <w:bCs w:val="0"/>
          <w:color w:val="auto"/>
          <w:sz w:val="22"/>
          <w:szCs w:val="22"/>
          <w:lang w:eastAsia="en-US"/>
        </w:rPr>
      </w:pPr>
    </w:p>
    <w:p w14:paraId="62AEBC2D" w14:textId="77777777" w:rsidR="00AC5513" w:rsidRDefault="00AC5513" w:rsidP="00DF4714"/>
    <w:p w14:paraId="6475E35C" w14:textId="77777777" w:rsidR="00AC5513" w:rsidRPr="001008B9" w:rsidRDefault="00AC5513" w:rsidP="00DF4714"/>
    <w:p w14:paraId="19A03889" w14:textId="77777777" w:rsidR="00FA4489" w:rsidRDefault="00FA4489">
      <w:pPr>
        <w:pStyle w:val="TOCHeading"/>
        <w:rPr>
          <w:rFonts w:ascii="Cambria" w:eastAsiaTheme="minorHAnsi" w:hAnsi="Cambria"/>
          <w:bCs w:val="0"/>
          <w:color w:val="auto"/>
          <w:sz w:val="22"/>
          <w:szCs w:val="22"/>
          <w:lang w:eastAsia="en-US"/>
        </w:rPr>
      </w:pPr>
    </w:p>
    <w:p w14:paraId="32A599C4" w14:textId="77777777" w:rsidR="00FA4489" w:rsidRDefault="00FA4489">
      <w:pPr>
        <w:pStyle w:val="TOCHeading"/>
        <w:rPr>
          <w:rFonts w:ascii="Cambria" w:eastAsiaTheme="minorHAnsi" w:hAnsi="Cambria"/>
          <w:bCs w:val="0"/>
          <w:color w:val="auto"/>
          <w:sz w:val="22"/>
          <w:szCs w:val="22"/>
          <w:lang w:eastAsia="en-US"/>
        </w:rPr>
      </w:pPr>
    </w:p>
    <w:p w14:paraId="1608BE4F" w14:textId="77777777" w:rsidR="00FA4489" w:rsidRDefault="00FA4489">
      <w:pPr>
        <w:pStyle w:val="TOCHeading"/>
        <w:rPr>
          <w:rFonts w:ascii="Cambria" w:eastAsiaTheme="minorHAnsi" w:hAnsi="Cambria"/>
          <w:bCs w:val="0"/>
          <w:color w:val="auto"/>
          <w:sz w:val="22"/>
          <w:szCs w:val="22"/>
          <w:lang w:eastAsia="en-US"/>
        </w:rPr>
      </w:pPr>
    </w:p>
    <w:p w14:paraId="6879A8D3" w14:textId="77777777" w:rsidR="00FA4489" w:rsidRDefault="00FA4489">
      <w:pPr>
        <w:pStyle w:val="TOCHeading"/>
        <w:rPr>
          <w:rFonts w:ascii="Cambria" w:eastAsiaTheme="minorHAnsi" w:hAnsi="Cambria"/>
          <w:bCs w:val="0"/>
          <w:color w:val="auto"/>
          <w:sz w:val="22"/>
          <w:szCs w:val="22"/>
          <w:lang w:eastAsia="en-US"/>
        </w:rPr>
      </w:pPr>
    </w:p>
    <w:p w14:paraId="1E4E9579" w14:textId="77777777" w:rsidR="00FA4489" w:rsidRDefault="00FA4489">
      <w:pPr>
        <w:pStyle w:val="TOCHeading"/>
        <w:rPr>
          <w:rFonts w:ascii="Cambria" w:eastAsiaTheme="minorHAnsi" w:hAnsi="Cambria"/>
          <w:bCs w:val="0"/>
          <w:color w:val="auto"/>
          <w:sz w:val="22"/>
          <w:szCs w:val="22"/>
          <w:lang w:eastAsia="en-US"/>
        </w:rPr>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7C90F3C" w14:textId="77777777" w:rsidR="0053623B" w:rsidRDefault="00F17467">
          <w:pPr>
            <w:pStyle w:val="TOCHeading"/>
          </w:pPr>
          <w:r>
            <w:t>Contents</w:t>
          </w:r>
        </w:p>
        <w:p w14:paraId="1461E917" w14:textId="77777777" w:rsidR="007D41E3" w:rsidRDefault="00F1746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4962331" w:history="1">
            <w:r w:rsidR="007D41E3" w:rsidRPr="00E652F5">
              <w:rPr>
                <w:rStyle w:val="Hyperlink"/>
              </w:rPr>
              <w:t>Summary</w:t>
            </w:r>
            <w:r w:rsidR="007D41E3">
              <w:rPr>
                <w:webHidden/>
              </w:rPr>
              <w:tab/>
            </w:r>
            <w:r w:rsidR="007D41E3">
              <w:rPr>
                <w:webHidden/>
              </w:rPr>
              <w:fldChar w:fldCharType="begin"/>
            </w:r>
            <w:r w:rsidR="007D41E3">
              <w:rPr>
                <w:webHidden/>
              </w:rPr>
              <w:instrText xml:space="preserve"> PAGEREF _Toc14962331 \h </w:instrText>
            </w:r>
            <w:r w:rsidR="007D41E3">
              <w:rPr>
                <w:webHidden/>
              </w:rPr>
            </w:r>
            <w:r w:rsidR="007D41E3">
              <w:rPr>
                <w:webHidden/>
              </w:rPr>
              <w:fldChar w:fldCharType="separate"/>
            </w:r>
            <w:r w:rsidR="00200004">
              <w:rPr>
                <w:webHidden/>
              </w:rPr>
              <w:t>4</w:t>
            </w:r>
            <w:r w:rsidR="007D41E3">
              <w:rPr>
                <w:webHidden/>
              </w:rPr>
              <w:fldChar w:fldCharType="end"/>
            </w:r>
          </w:hyperlink>
        </w:p>
        <w:p w14:paraId="0B37C8E3" w14:textId="77777777" w:rsidR="007D41E3" w:rsidRDefault="003315DF">
          <w:pPr>
            <w:pStyle w:val="TOC1"/>
            <w:rPr>
              <w:rFonts w:asciiTheme="minorHAnsi" w:eastAsiaTheme="minorEastAsia" w:hAnsiTheme="minorHAnsi"/>
              <w:b w:val="0"/>
              <w:lang w:eastAsia="en-AU"/>
            </w:rPr>
          </w:pPr>
          <w:hyperlink w:anchor="_Toc14962332" w:history="1">
            <w:r w:rsidR="007D41E3" w:rsidRPr="00E652F5">
              <w:rPr>
                <w:rStyle w:val="Hyperlink"/>
              </w:rPr>
              <w:t>Recent water market conditions</w:t>
            </w:r>
            <w:r w:rsidR="007D41E3">
              <w:rPr>
                <w:webHidden/>
              </w:rPr>
              <w:tab/>
            </w:r>
            <w:r w:rsidR="007D41E3">
              <w:rPr>
                <w:webHidden/>
              </w:rPr>
              <w:fldChar w:fldCharType="begin"/>
            </w:r>
            <w:r w:rsidR="007D41E3">
              <w:rPr>
                <w:webHidden/>
              </w:rPr>
              <w:instrText xml:space="preserve"> PAGEREF _Toc14962332 \h </w:instrText>
            </w:r>
            <w:r w:rsidR="007D41E3">
              <w:rPr>
                <w:webHidden/>
              </w:rPr>
            </w:r>
            <w:r w:rsidR="007D41E3">
              <w:rPr>
                <w:webHidden/>
              </w:rPr>
              <w:fldChar w:fldCharType="separate"/>
            </w:r>
            <w:r w:rsidR="00200004">
              <w:rPr>
                <w:webHidden/>
              </w:rPr>
              <w:t>6</w:t>
            </w:r>
            <w:r w:rsidR="007D41E3">
              <w:rPr>
                <w:webHidden/>
              </w:rPr>
              <w:fldChar w:fldCharType="end"/>
            </w:r>
          </w:hyperlink>
        </w:p>
        <w:p w14:paraId="76226269" w14:textId="77777777" w:rsidR="007D41E3" w:rsidRDefault="003315DF">
          <w:pPr>
            <w:pStyle w:val="TOC1"/>
            <w:rPr>
              <w:rFonts w:asciiTheme="minorHAnsi" w:eastAsiaTheme="minorEastAsia" w:hAnsiTheme="minorHAnsi"/>
              <w:b w:val="0"/>
              <w:lang w:eastAsia="en-AU"/>
            </w:rPr>
          </w:pPr>
          <w:hyperlink w:anchor="_Toc14962333" w:history="1">
            <w:r w:rsidR="007D41E3" w:rsidRPr="00E652F5">
              <w:rPr>
                <w:rStyle w:val="Hyperlink"/>
              </w:rPr>
              <w:t>2019–20 water market scenarios</w:t>
            </w:r>
            <w:r w:rsidR="007D41E3">
              <w:rPr>
                <w:webHidden/>
              </w:rPr>
              <w:tab/>
            </w:r>
            <w:r w:rsidR="007D41E3">
              <w:rPr>
                <w:webHidden/>
              </w:rPr>
              <w:fldChar w:fldCharType="begin"/>
            </w:r>
            <w:r w:rsidR="007D41E3">
              <w:rPr>
                <w:webHidden/>
              </w:rPr>
              <w:instrText xml:space="preserve"> PAGEREF _Toc14962333 \h </w:instrText>
            </w:r>
            <w:r w:rsidR="007D41E3">
              <w:rPr>
                <w:webHidden/>
              </w:rPr>
            </w:r>
            <w:r w:rsidR="007D41E3">
              <w:rPr>
                <w:webHidden/>
              </w:rPr>
              <w:fldChar w:fldCharType="separate"/>
            </w:r>
            <w:r w:rsidR="00200004">
              <w:rPr>
                <w:webHidden/>
              </w:rPr>
              <w:t>9</w:t>
            </w:r>
            <w:r w:rsidR="007D41E3">
              <w:rPr>
                <w:webHidden/>
              </w:rPr>
              <w:fldChar w:fldCharType="end"/>
            </w:r>
          </w:hyperlink>
        </w:p>
        <w:p w14:paraId="20264DF5" w14:textId="77777777" w:rsidR="007D41E3" w:rsidRDefault="003315DF">
          <w:pPr>
            <w:pStyle w:val="TOC1"/>
            <w:rPr>
              <w:rFonts w:asciiTheme="minorHAnsi" w:eastAsiaTheme="minorEastAsia" w:hAnsiTheme="minorHAnsi"/>
              <w:b w:val="0"/>
              <w:lang w:eastAsia="en-AU"/>
            </w:rPr>
          </w:pPr>
          <w:hyperlink w:anchor="_Toc14962334" w:history="1">
            <w:r w:rsidR="007D41E3" w:rsidRPr="00E652F5">
              <w:rPr>
                <w:rStyle w:val="Hyperlink"/>
              </w:rPr>
              <w:t>Appendix A: ABARES outlook scenarios</w:t>
            </w:r>
            <w:r w:rsidR="007D41E3">
              <w:rPr>
                <w:webHidden/>
              </w:rPr>
              <w:tab/>
            </w:r>
            <w:r w:rsidR="007D41E3">
              <w:rPr>
                <w:webHidden/>
              </w:rPr>
              <w:fldChar w:fldCharType="begin"/>
            </w:r>
            <w:r w:rsidR="007D41E3">
              <w:rPr>
                <w:webHidden/>
              </w:rPr>
              <w:instrText xml:space="preserve"> PAGEREF _Toc14962334 \h </w:instrText>
            </w:r>
            <w:r w:rsidR="007D41E3">
              <w:rPr>
                <w:webHidden/>
              </w:rPr>
            </w:r>
            <w:r w:rsidR="007D41E3">
              <w:rPr>
                <w:webHidden/>
              </w:rPr>
              <w:fldChar w:fldCharType="separate"/>
            </w:r>
            <w:r w:rsidR="00200004">
              <w:rPr>
                <w:webHidden/>
              </w:rPr>
              <w:t>13</w:t>
            </w:r>
            <w:r w:rsidR="007D41E3">
              <w:rPr>
                <w:webHidden/>
              </w:rPr>
              <w:fldChar w:fldCharType="end"/>
            </w:r>
          </w:hyperlink>
        </w:p>
        <w:p w14:paraId="7889748F" w14:textId="77777777" w:rsidR="007D41E3" w:rsidRDefault="003315DF">
          <w:pPr>
            <w:pStyle w:val="TOC1"/>
            <w:rPr>
              <w:rFonts w:asciiTheme="minorHAnsi" w:eastAsiaTheme="minorEastAsia" w:hAnsiTheme="minorHAnsi"/>
              <w:b w:val="0"/>
              <w:lang w:eastAsia="en-AU"/>
            </w:rPr>
          </w:pPr>
          <w:hyperlink w:anchor="_Toc14962335" w:history="1">
            <w:r w:rsidR="007D41E3" w:rsidRPr="00E652F5">
              <w:rPr>
                <w:rStyle w:val="Hyperlink"/>
              </w:rPr>
              <w:t>References</w:t>
            </w:r>
            <w:r w:rsidR="007D41E3">
              <w:rPr>
                <w:webHidden/>
              </w:rPr>
              <w:tab/>
            </w:r>
            <w:r w:rsidR="007D41E3">
              <w:rPr>
                <w:webHidden/>
              </w:rPr>
              <w:fldChar w:fldCharType="begin"/>
            </w:r>
            <w:r w:rsidR="007D41E3">
              <w:rPr>
                <w:webHidden/>
              </w:rPr>
              <w:instrText xml:space="preserve"> PAGEREF _Toc14962335 \h </w:instrText>
            </w:r>
            <w:r w:rsidR="007D41E3">
              <w:rPr>
                <w:webHidden/>
              </w:rPr>
            </w:r>
            <w:r w:rsidR="007D41E3">
              <w:rPr>
                <w:webHidden/>
              </w:rPr>
              <w:fldChar w:fldCharType="separate"/>
            </w:r>
            <w:r w:rsidR="00200004">
              <w:rPr>
                <w:webHidden/>
              </w:rPr>
              <w:t>18</w:t>
            </w:r>
            <w:r w:rsidR="007D41E3">
              <w:rPr>
                <w:webHidden/>
              </w:rPr>
              <w:fldChar w:fldCharType="end"/>
            </w:r>
          </w:hyperlink>
        </w:p>
        <w:p w14:paraId="162CBC37" w14:textId="77777777" w:rsidR="0053623B" w:rsidRDefault="00F17467">
          <w:r>
            <w:rPr>
              <w:b/>
              <w:noProof/>
            </w:rPr>
            <w:fldChar w:fldCharType="end"/>
          </w:r>
        </w:p>
      </w:sdtContent>
    </w:sdt>
    <w:p w14:paraId="4D3D3B0F" w14:textId="77777777" w:rsidR="0053623B" w:rsidRDefault="00F17467">
      <w:pPr>
        <w:pStyle w:val="TOCHeading2"/>
        <w:rPr>
          <w:rStyle w:val="Strong"/>
        </w:rPr>
      </w:pPr>
      <w:r>
        <w:rPr>
          <w:rStyle w:val="Strong"/>
        </w:rPr>
        <w:t>Tables</w:t>
      </w:r>
    </w:p>
    <w:p w14:paraId="480B909E" w14:textId="77777777" w:rsidR="007D41E3" w:rsidRDefault="00F17467">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4962336" w:history="1">
        <w:r w:rsidR="007D41E3" w:rsidRPr="00F24831">
          <w:rPr>
            <w:rStyle w:val="Hyperlink"/>
            <w:noProof/>
          </w:rPr>
          <w:t>Table 1: ABARES water allocation price scenarios for 2019–20</w:t>
        </w:r>
        <w:r w:rsidR="007D41E3">
          <w:rPr>
            <w:noProof/>
            <w:webHidden/>
          </w:rPr>
          <w:tab/>
        </w:r>
        <w:r w:rsidR="007D41E3">
          <w:rPr>
            <w:noProof/>
            <w:webHidden/>
          </w:rPr>
          <w:fldChar w:fldCharType="begin"/>
        </w:r>
        <w:r w:rsidR="007D41E3">
          <w:rPr>
            <w:noProof/>
            <w:webHidden/>
          </w:rPr>
          <w:instrText xml:space="preserve"> PAGEREF _Toc14962336 \h </w:instrText>
        </w:r>
        <w:r w:rsidR="007D41E3">
          <w:rPr>
            <w:noProof/>
            <w:webHidden/>
          </w:rPr>
        </w:r>
        <w:r w:rsidR="007D41E3">
          <w:rPr>
            <w:noProof/>
            <w:webHidden/>
          </w:rPr>
          <w:fldChar w:fldCharType="separate"/>
        </w:r>
        <w:r w:rsidR="00200004">
          <w:rPr>
            <w:noProof/>
            <w:webHidden/>
          </w:rPr>
          <w:t>10</w:t>
        </w:r>
        <w:r w:rsidR="007D41E3">
          <w:rPr>
            <w:noProof/>
            <w:webHidden/>
          </w:rPr>
          <w:fldChar w:fldCharType="end"/>
        </w:r>
      </w:hyperlink>
    </w:p>
    <w:p w14:paraId="7EB7E9D1"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37" w:history="1">
        <w:r w:rsidR="007D41E3" w:rsidRPr="00F24831">
          <w:rPr>
            <w:rStyle w:val="Hyperlink"/>
            <w:noProof/>
          </w:rPr>
          <w:t>Table A1 ABARES outlook scenarios matched against state outlook scenarios</w:t>
        </w:r>
        <w:r w:rsidR="007D41E3">
          <w:rPr>
            <w:noProof/>
            <w:webHidden/>
          </w:rPr>
          <w:tab/>
        </w:r>
        <w:r w:rsidR="007D41E3">
          <w:rPr>
            <w:noProof/>
            <w:webHidden/>
          </w:rPr>
          <w:fldChar w:fldCharType="begin"/>
        </w:r>
        <w:r w:rsidR="007D41E3">
          <w:rPr>
            <w:noProof/>
            <w:webHidden/>
          </w:rPr>
          <w:instrText xml:space="preserve"> PAGEREF _Toc14962337 \h </w:instrText>
        </w:r>
        <w:r w:rsidR="007D41E3">
          <w:rPr>
            <w:noProof/>
            <w:webHidden/>
          </w:rPr>
        </w:r>
        <w:r w:rsidR="007D41E3">
          <w:rPr>
            <w:noProof/>
            <w:webHidden/>
          </w:rPr>
          <w:fldChar w:fldCharType="separate"/>
        </w:r>
        <w:r w:rsidR="00200004">
          <w:rPr>
            <w:noProof/>
            <w:webHidden/>
          </w:rPr>
          <w:t>13</w:t>
        </w:r>
        <w:r w:rsidR="007D41E3">
          <w:rPr>
            <w:noProof/>
            <w:webHidden/>
          </w:rPr>
          <w:fldChar w:fldCharType="end"/>
        </w:r>
      </w:hyperlink>
    </w:p>
    <w:p w14:paraId="7091F0C2"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38" w:history="1">
        <w:r w:rsidR="007D41E3" w:rsidRPr="00F24831">
          <w:rPr>
            <w:rStyle w:val="Hyperlink"/>
            <w:noProof/>
          </w:rPr>
          <w:t>Table A2 Rainfall forecast for 2019–20</w:t>
        </w:r>
        <w:r w:rsidR="007D41E3">
          <w:rPr>
            <w:noProof/>
            <w:webHidden/>
          </w:rPr>
          <w:tab/>
        </w:r>
        <w:r w:rsidR="007D41E3">
          <w:rPr>
            <w:noProof/>
            <w:webHidden/>
          </w:rPr>
          <w:fldChar w:fldCharType="begin"/>
        </w:r>
        <w:r w:rsidR="007D41E3">
          <w:rPr>
            <w:noProof/>
            <w:webHidden/>
          </w:rPr>
          <w:instrText xml:space="preserve"> PAGEREF _Toc14962338 \h </w:instrText>
        </w:r>
        <w:r w:rsidR="007D41E3">
          <w:rPr>
            <w:noProof/>
            <w:webHidden/>
          </w:rPr>
        </w:r>
        <w:r w:rsidR="007D41E3">
          <w:rPr>
            <w:noProof/>
            <w:webHidden/>
          </w:rPr>
          <w:fldChar w:fldCharType="separate"/>
        </w:r>
        <w:r w:rsidR="00200004">
          <w:rPr>
            <w:noProof/>
            <w:webHidden/>
          </w:rPr>
          <w:t>14</w:t>
        </w:r>
        <w:r w:rsidR="007D41E3">
          <w:rPr>
            <w:noProof/>
            <w:webHidden/>
          </w:rPr>
          <w:fldChar w:fldCharType="end"/>
        </w:r>
      </w:hyperlink>
    </w:p>
    <w:p w14:paraId="29CE29CE"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39" w:history="1">
        <w:r w:rsidR="007D41E3" w:rsidRPr="00F24831">
          <w:rPr>
            <w:rStyle w:val="Hyperlink"/>
            <w:noProof/>
          </w:rPr>
          <w:t>Table A3 Allocation forecasts for 2019–20, as at 15 July 2019</w:t>
        </w:r>
        <w:r w:rsidR="007D41E3">
          <w:rPr>
            <w:noProof/>
            <w:webHidden/>
          </w:rPr>
          <w:tab/>
        </w:r>
        <w:r w:rsidR="007D41E3">
          <w:rPr>
            <w:noProof/>
            <w:webHidden/>
          </w:rPr>
          <w:fldChar w:fldCharType="begin"/>
        </w:r>
        <w:r w:rsidR="007D41E3">
          <w:rPr>
            <w:noProof/>
            <w:webHidden/>
          </w:rPr>
          <w:instrText xml:space="preserve"> PAGEREF _Toc14962339 \h </w:instrText>
        </w:r>
        <w:r w:rsidR="007D41E3">
          <w:rPr>
            <w:noProof/>
            <w:webHidden/>
          </w:rPr>
        </w:r>
        <w:r w:rsidR="007D41E3">
          <w:rPr>
            <w:noProof/>
            <w:webHidden/>
          </w:rPr>
          <w:fldChar w:fldCharType="separate"/>
        </w:r>
        <w:r w:rsidR="00200004">
          <w:rPr>
            <w:noProof/>
            <w:webHidden/>
          </w:rPr>
          <w:t>15</w:t>
        </w:r>
        <w:r w:rsidR="007D41E3">
          <w:rPr>
            <w:noProof/>
            <w:webHidden/>
          </w:rPr>
          <w:fldChar w:fldCharType="end"/>
        </w:r>
      </w:hyperlink>
    </w:p>
    <w:p w14:paraId="652689E4"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0" w:history="1">
        <w:r w:rsidR="007D41E3" w:rsidRPr="00F24831">
          <w:rPr>
            <w:rStyle w:val="Hyperlink"/>
            <w:noProof/>
          </w:rPr>
          <w:t>Table A4 March allocation forecasts for 2019–20</w:t>
        </w:r>
        <w:r w:rsidR="007D41E3">
          <w:rPr>
            <w:noProof/>
            <w:webHidden/>
          </w:rPr>
          <w:tab/>
        </w:r>
        <w:r w:rsidR="007D41E3">
          <w:rPr>
            <w:noProof/>
            <w:webHidden/>
          </w:rPr>
          <w:fldChar w:fldCharType="begin"/>
        </w:r>
        <w:r w:rsidR="007D41E3">
          <w:rPr>
            <w:noProof/>
            <w:webHidden/>
          </w:rPr>
          <w:instrText xml:space="preserve"> PAGEREF _Toc14962340 \h </w:instrText>
        </w:r>
        <w:r w:rsidR="007D41E3">
          <w:rPr>
            <w:noProof/>
            <w:webHidden/>
          </w:rPr>
        </w:r>
        <w:r w:rsidR="007D41E3">
          <w:rPr>
            <w:noProof/>
            <w:webHidden/>
          </w:rPr>
          <w:fldChar w:fldCharType="separate"/>
        </w:r>
        <w:r w:rsidR="00200004">
          <w:rPr>
            <w:noProof/>
            <w:webHidden/>
          </w:rPr>
          <w:t>15</w:t>
        </w:r>
        <w:r w:rsidR="007D41E3">
          <w:rPr>
            <w:noProof/>
            <w:webHidden/>
          </w:rPr>
          <w:fldChar w:fldCharType="end"/>
        </w:r>
      </w:hyperlink>
    </w:p>
    <w:p w14:paraId="1284E9AA"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1" w:history="1">
        <w:r w:rsidR="007D41E3" w:rsidRPr="00F24831">
          <w:rPr>
            <w:rStyle w:val="Hyperlink"/>
            <w:noProof/>
          </w:rPr>
          <w:t>Table A5: Volume carried over into 2019–20, comparison between July and March</w:t>
        </w:r>
        <w:r w:rsidR="007D41E3">
          <w:rPr>
            <w:noProof/>
            <w:webHidden/>
          </w:rPr>
          <w:tab/>
        </w:r>
        <w:r w:rsidR="007D41E3">
          <w:rPr>
            <w:noProof/>
            <w:webHidden/>
          </w:rPr>
          <w:fldChar w:fldCharType="begin"/>
        </w:r>
        <w:r w:rsidR="007D41E3">
          <w:rPr>
            <w:noProof/>
            <w:webHidden/>
          </w:rPr>
          <w:instrText xml:space="preserve"> PAGEREF _Toc14962341 \h </w:instrText>
        </w:r>
        <w:r w:rsidR="007D41E3">
          <w:rPr>
            <w:noProof/>
            <w:webHidden/>
          </w:rPr>
        </w:r>
        <w:r w:rsidR="007D41E3">
          <w:rPr>
            <w:noProof/>
            <w:webHidden/>
          </w:rPr>
          <w:fldChar w:fldCharType="separate"/>
        </w:r>
        <w:r w:rsidR="00200004">
          <w:rPr>
            <w:noProof/>
            <w:webHidden/>
          </w:rPr>
          <w:t>16</w:t>
        </w:r>
        <w:r w:rsidR="007D41E3">
          <w:rPr>
            <w:noProof/>
            <w:webHidden/>
          </w:rPr>
          <w:fldChar w:fldCharType="end"/>
        </w:r>
      </w:hyperlink>
    </w:p>
    <w:p w14:paraId="1004DF93"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2" w:history="1">
        <w:r w:rsidR="007D41E3" w:rsidRPr="00F24831">
          <w:rPr>
            <w:rStyle w:val="Hyperlink"/>
            <w:noProof/>
          </w:rPr>
          <w:t>Table A6 Projected carryover volume into 2020–21</w:t>
        </w:r>
        <w:r w:rsidR="007D41E3">
          <w:rPr>
            <w:noProof/>
            <w:webHidden/>
          </w:rPr>
          <w:tab/>
        </w:r>
        <w:r w:rsidR="007D41E3">
          <w:rPr>
            <w:noProof/>
            <w:webHidden/>
          </w:rPr>
          <w:fldChar w:fldCharType="begin"/>
        </w:r>
        <w:r w:rsidR="007D41E3">
          <w:rPr>
            <w:noProof/>
            <w:webHidden/>
          </w:rPr>
          <w:instrText xml:space="preserve"> PAGEREF _Toc14962342 \h </w:instrText>
        </w:r>
        <w:r w:rsidR="007D41E3">
          <w:rPr>
            <w:noProof/>
            <w:webHidden/>
          </w:rPr>
        </w:r>
        <w:r w:rsidR="007D41E3">
          <w:rPr>
            <w:noProof/>
            <w:webHidden/>
          </w:rPr>
          <w:fldChar w:fldCharType="separate"/>
        </w:r>
        <w:r w:rsidR="00200004">
          <w:rPr>
            <w:noProof/>
            <w:webHidden/>
          </w:rPr>
          <w:t>17</w:t>
        </w:r>
        <w:r w:rsidR="007D41E3">
          <w:rPr>
            <w:noProof/>
            <w:webHidden/>
          </w:rPr>
          <w:fldChar w:fldCharType="end"/>
        </w:r>
      </w:hyperlink>
    </w:p>
    <w:p w14:paraId="1EB4EA1C" w14:textId="77777777" w:rsidR="00EA3735" w:rsidRDefault="00F17467" w:rsidP="00EA3735">
      <w:pPr>
        <w:pStyle w:val="TableofFigures"/>
        <w:tabs>
          <w:tab w:val="right" w:leader="dot" w:pos="9060"/>
        </w:tabs>
      </w:pPr>
      <w:r>
        <w:rPr>
          <w:noProof/>
        </w:rPr>
        <w:fldChar w:fldCharType="end"/>
      </w:r>
    </w:p>
    <w:p w14:paraId="1D8602ED" w14:textId="77777777" w:rsidR="0053623B" w:rsidRDefault="0053623B">
      <w:pPr>
        <w:spacing w:before="120" w:after="120"/>
      </w:pPr>
    </w:p>
    <w:p w14:paraId="392AEDE7" w14:textId="77777777" w:rsidR="0053623B" w:rsidRDefault="00832C58">
      <w:pPr>
        <w:pStyle w:val="TOCHeading2"/>
        <w:rPr>
          <w:rStyle w:val="Strong"/>
        </w:rPr>
      </w:pPr>
      <w:r w:rsidRPr="00EA3735">
        <w:rPr>
          <w:rStyle w:val="Strong"/>
        </w:rPr>
        <w:t>Figure</w:t>
      </w:r>
      <w:r w:rsidR="00F17467" w:rsidRPr="00EA3735">
        <w:rPr>
          <w:rStyle w:val="Strong"/>
        </w:rPr>
        <w:t>s</w:t>
      </w:r>
    </w:p>
    <w:p w14:paraId="3DA6955B" w14:textId="77777777" w:rsidR="007D41E3" w:rsidRDefault="00F17467">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4962343" w:history="1">
        <w:r w:rsidR="007D41E3" w:rsidRPr="0007462F">
          <w:rPr>
            <w:rStyle w:val="Hyperlink"/>
            <w:noProof/>
          </w:rPr>
          <w:t>Figure 1 Water allocations in 2018–19 for major entitlements in the southern basin</w:t>
        </w:r>
        <w:r w:rsidR="007D41E3">
          <w:rPr>
            <w:noProof/>
            <w:webHidden/>
          </w:rPr>
          <w:tab/>
        </w:r>
        <w:r w:rsidR="007D41E3">
          <w:rPr>
            <w:noProof/>
            <w:webHidden/>
          </w:rPr>
          <w:fldChar w:fldCharType="begin"/>
        </w:r>
        <w:r w:rsidR="007D41E3">
          <w:rPr>
            <w:noProof/>
            <w:webHidden/>
          </w:rPr>
          <w:instrText xml:space="preserve"> PAGEREF _Toc14962343 \h </w:instrText>
        </w:r>
        <w:r w:rsidR="007D41E3">
          <w:rPr>
            <w:noProof/>
            <w:webHidden/>
          </w:rPr>
        </w:r>
        <w:r w:rsidR="007D41E3">
          <w:rPr>
            <w:noProof/>
            <w:webHidden/>
          </w:rPr>
          <w:fldChar w:fldCharType="separate"/>
        </w:r>
        <w:r w:rsidR="00200004">
          <w:rPr>
            <w:noProof/>
            <w:webHidden/>
          </w:rPr>
          <w:t>6</w:t>
        </w:r>
        <w:r w:rsidR="007D41E3">
          <w:rPr>
            <w:noProof/>
            <w:webHidden/>
          </w:rPr>
          <w:fldChar w:fldCharType="end"/>
        </w:r>
      </w:hyperlink>
    </w:p>
    <w:p w14:paraId="3ABC8CAA"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4" w:history="1">
        <w:r w:rsidR="007D41E3" w:rsidRPr="0007462F">
          <w:rPr>
            <w:rStyle w:val="Hyperlink"/>
            <w:noProof/>
          </w:rPr>
          <w:t>Figure 2 Allocation prices and storage volumes in the southern Murray-Darling Basin</w:t>
        </w:r>
        <w:r w:rsidR="007D41E3">
          <w:rPr>
            <w:noProof/>
            <w:webHidden/>
          </w:rPr>
          <w:tab/>
        </w:r>
        <w:r w:rsidR="007D41E3">
          <w:rPr>
            <w:noProof/>
            <w:webHidden/>
          </w:rPr>
          <w:fldChar w:fldCharType="begin"/>
        </w:r>
        <w:r w:rsidR="007D41E3">
          <w:rPr>
            <w:noProof/>
            <w:webHidden/>
          </w:rPr>
          <w:instrText xml:space="preserve"> PAGEREF _Toc14962344 \h </w:instrText>
        </w:r>
        <w:r w:rsidR="007D41E3">
          <w:rPr>
            <w:noProof/>
            <w:webHidden/>
          </w:rPr>
        </w:r>
        <w:r w:rsidR="007D41E3">
          <w:rPr>
            <w:noProof/>
            <w:webHidden/>
          </w:rPr>
          <w:fldChar w:fldCharType="separate"/>
        </w:r>
        <w:r w:rsidR="00200004">
          <w:rPr>
            <w:noProof/>
            <w:webHidden/>
          </w:rPr>
          <w:t>7</w:t>
        </w:r>
        <w:r w:rsidR="007D41E3">
          <w:rPr>
            <w:noProof/>
            <w:webHidden/>
          </w:rPr>
          <w:fldChar w:fldCharType="end"/>
        </w:r>
      </w:hyperlink>
    </w:p>
    <w:p w14:paraId="6E6D2FF8"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5" w:history="1">
        <w:r w:rsidR="007D41E3" w:rsidRPr="0007462F">
          <w:rPr>
            <w:rStyle w:val="Hyperlink"/>
            <w:noProof/>
          </w:rPr>
          <w:t>Figure 3 Opening water allocations in 2019-20 for major entitlements</w:t>
        </w:r>
        <w:r w:rsidR="007D41E3">
          <w:rPr>
            <w:noProof/>
            <w:webHidden/>
          </w:rPr>
          <w:tab/>
        </w:r>
        <w:r w:rsidR="007D41E3">
          <w:rPr>
            <w:noProof/>
            <w:webHidden/>
          </w:rPr>
          <w:fldChar w:fldCharType="begin"/>
        </w:r>
        <w:r w:rsidR="007D41E3">
          <w:rPr>
            <w:noProof/>
            <w:webHidden/>
          </w:rPr>
          <w:instrText xml:space="preserve"> PAGEREF _Toc14962345 \h </w:instrText>
        </w:r>
        <w:r w:rsidR="007D41E3">
          <w:rPr>
            <w:noProof/>
            <w:webHidden/>
          </w:rPr>
        </w:r>
        <w:r w:rsidR="007D41E3">
          <w:rPr>
            <w:noProof/>
            <w:webHidden/>
          </w:rPr>
          <w:fldChar w:fldCharType="separate"/>
        </w:r>
        <w:r w:rsidR="00200004">
          <w:rPr>
            <w:noProof/>
            <w:webHidden/>
          </w:rPr>
          <w:t>7</w:t>
        </w:r>
        <w:r w:rsidR="007D41E3">
          <w:rPr>
            <w:noProof/>
            <w:webHidden/>
          </w:rPr>
          <w:fldChar w:fldCharType="end"/>
        </w:r>
      </w:hyperlink>
    </w:p>
    <w:p w14:paraId="6DD6319B"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6" w:history="1">
        <w:r w:rsidR="007D41E3" w:rsidRPr="0007462F">
          <w:rPr>
            <w:rStyle w:val="Hyperlink"/>
            <w:noProof/>
          </w:rPr>
          <w:t>Figure 4 Chance of above median rainfall – August to October</w:t>
        </w:r>
        <w:r w:rsidR="007D41E3">
          <w:rPr>
            <w:noProof/>
            <w:webHidden/>
          </w:rPr>
          <w:tab/>
        </w:r>
        <w:r w:rsidR="007D41E3">
          <w:rPr>
            <w:noProof/>
            <w:webHidden/>
          </w:rPr>
          <w:fldChar w:fldCharType="begin"/>
        </w:r>
        <w:r w:rsidR="007D41E3">
          <w:rPr>
            <w:noProof/>
            <w:webHidden/>
          </w:rPr>
          <w:instrText xml:space="preserve"> PAGEREF _Toc14962346 \h </w:instrText>
        </w:r>
        <w:r w:rsidR="007D41E3">
          <w:rPr>
            <w:noProof/>
            <w:webHidden/>
          </w:rPr>
        </w:r>
        <w:r w:rsidR="007D41E3">
          <w:rPr>
            <w:noProof/>
            <w:webHidden/>
          </w:rPr>
          <w:fldChar w:fldCharType="separate"/>
        </w:r>
        <w:r w:rsidR="00200004">
          <w:rPr>
            <w:noProof/>
            <w:webHidden/>
          </w:rPr>
          <w:t>8</w:t>
        </w:r>
        <w:r w:rsidR="007D41E3">
          <w:rPr>
            <w:noProof/>
            <w:webHidden/>
          </w:rPr>
          <w:fldChar w:fldCharType="end"/>
        </w:r>
      </w:hyperlink>
    </w:p>
    <w:p w14:paraId="4D39F288"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7" w:history="1">
        <w:r w:rsidR="007D41E3" w:rsidRPr="0007462F">
          <w:rPr>
            <w:rStyle w:val="Hyperlink"/>
            <w:noProof/>
          </w:rPr>
          <w:t>Figure 5 Water allocation scenarios for 2019–20 (closing – 30 June 2020)</w:t>
        </w:r>
        <w:r w:rsidR="007D41E3">
          <w:rPr>
            <w:noProof/>
            <w:webHidden/>
          </w:rPr>
          <w:tab/>
        </w:r>
        <w:r w:rsidR="007D41E3">
          <w:rPr>
            <w:noProof/>
            <w:webHidden/>
          </w:rPr>
          <w:fldChar w:fldCharType="begin"/>
        </w:r>
        <w:r w:rsidR="007D41E3">
          <w:rPr>
            <w:noProof/>
            <w:webHidden/>
          </w:rPr>
          <w:instrText xml:space="preserve"> PAGEREF _Toc14962347 \h </w:instrText>
        </w:r>
        <w:r w:rsidR="007D41E3">
          <w:rPr>
            <w:noProof/>
            <w:webHidden/>
          </w:rPr>
        </w:r>
        <w:r w:rsidR="007D41E3">
          <w:rPr>
            <w:noProof/>
            <w:webHidden/>
          </w:rPr>
          <w:fldChar w:fldCharType="separate"/>
        </w:r>
        <w:r w:rsidR="00200004">
          <w:rPr>
            <w:noProof/>
            <w:webHidden/>
          </w:rPr>
          <w:t>9</w:t>
        </w:r>
        <w:r w:rsidR="007D41E3">
          <w:rPr>
            <w:noProof/>
            <w:webHidden/>
          </w:rPr>
          <w:fldChar w:fldCharType="end"/>
        </w:r>
      </w:hyperlink>
    </w:p>
    <w:p w14:paraId="431A228C"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8" w:history="1">
        <w:r w:rsidR="007D41E3" w:rsidRPr="0007462F">
          <w:rPr>
            <w:rStyle w:val="Hyperlink"/>
            <w:noProof/>
          </w:rPr>
          <w:t>Figure 6 Allocation price scenarios, in the Victorian Murray below Barmah</w:t>
        </w:r>
        <w:r w:rsidR="007D41E3" w:rsidRPr="0007462F">
          <w:rPr>
            <w:rStyle w:val="Hyperlink"/>
            <w:noProof/>
            <w:lang w:eastAsia="ja-JP"/>
          </w:rPr>
          <w:t xml:space="preserve"> – 2016 to 2020</w:t>
        </w:r>
        <w:r w:rsidR="007D41E3">
          <w:rPr>
            <w:noProof/>
            <w:webHidden/>
          </w:rPr>
          <w:tab/>
        </w:r>
        <w:r w:rsidR="007D41E3">
          <w:rPr>
            <w:noProof/>
            <w:webHidden/>
          </w:rPr>
          <w:fldChar w:fldCharType="begin"/>
        </w:r>
        <w:r w:rsidR="007D41E3">
          <w:rPr>
            <w:noProof/>
            <w:webHidden/>
          </w:rPr>
          <w:instrText xml:space="preserve"> PAGEREF _Toc14962348 \h </w:instrText>
        </w:r>
        <w:r w:rsidR="007D41E3">
          <w:rPr>
            <w:noProof/>
            <w:webHidden/>
          </w:rPr>
        </w:r>
        <w:r w:rsidR="007D41E3">
          <w:rPr>
            <w:noProof/>
            <w:webHidden/>
          </w:rPr>
          <w:fldChar w:fldCharType="separate"/>
        </w:r>
        <w:r w:rsidR="00200004">
          <w:rPr>
            <w:noProof/>
            <w:webHidden/>
          </w:rPr>
          <w:t>10</w:t>
        </w:r>
        <w:r w:rsidR="007D41E3">
          <w:rPr>
            <w:noProof/>
            <w:webHidden/>
          </w:rPr>
          <w:fldChar w:fldCharType="end"/>
        </w:r>
      </w:hyperlink>
    </w:p>
    <w:p w14:paraId="5CAC3836"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49" w:history="1">
        <w:r w:rsidR="007D41E3" w:rsidRPr="0007462F">
          <w:rPr>
            <w:rStyle w:val="Hyperlink"/>
            <w:noProof/>
          </w:rPr>
          <w:t>Figure 7 Total available water allocation supply in the sMDB</w:t>
        </w:r>
        <w:r w:rsidR="007D41E3">
          <w:rPr>
            <w:noProof/>
            <w:webHidden/>
          </w:rPr>
          <w:tab/>
        </w:r>
        <w:r w:rsidR="007D41E3">
          <w:rPr>
            <w:noProof/>
            <w:webHidden/>
          </w:rPr>
          <w:fldChar w:fldCharType="begin"/>
        </w:r>
        <w:r w:rsidR="007D41E3">
          <w:rPr>
            <w:noProof/>
            <w:webHidden/>
          </w:rPr>
          <w:instrText xml:space="preserve"> PAGEREF _Toc14962349 \h </w:instrText>
        </w:r>
        <w:r w:rsidR="007D41E3">
          <w:rPr>
            <w:noProof/>
            <w:webHidden/>
          </w:rPr>
        </w:r>
        <w:r w:rsidR="007D41E3">
          <w:rPr>
            <w:noProof/>
            <w:webHidden/>
          </w:rPr>
          <w:fldChar w:fldCharType="separate"/>
        </w:r>
        <w:r w:rsidR="00200004">
          <w:rPr>
            <w:noProof/>
            <w:webHidden/>
          </w:rPr>
          <w:t>11</w:t>
        </w:r>
        <w:r w:rsidR="007D41E3">
          <w:rPr>
            <w:noProof/>
            <w:webHidden/>
          </w:rPr>
          <w:fldChar w:fldCharType="end"/>
        </w:r>
      </w:hyperlink>
    </w:p>
    <w:p w14:paraId="55F56A46" w14:textId="77777777" w:rsidR="007D41E3" w:rsidRDefault="003315DF">
      <w:pPr>
        <w:pStyle w:val="TableofFigures"/>
        <w:tabs>
          <w:tab w:val="right" w:leader="dot" w:pos="9060"/>
        </w:tabs>
        <w:rPr>
          <w:rFonts w:asciiTheme="minorHAnsi" w:eastAsiaTheme="minorEastAsia" w:hAnsiTheme="minorHAnsi"/>
          <w:noProof/>
          <w:lang w:eastAsia="en-AU"/>
        </w:rPr>
      </w:pPr>
      <w:hyperlink w:anchor="_Toc14962350" w:history="1">
        <w:r w:rsidR="007D41E3" w:rsidRPr="0007462F">
          <w:rPr>
            <w:rStyle w:val="Hyperlink"/>
            <w:noProof/>
          </w:rPr>
          <w:t>Figure 8 Proportion of water carried over relative to annual rainfall</w:t>
        </w:r>
        <w:r w:rsidR="007D41E3">
          <w:rPr>
            <w:noProof/>
            <w:webHidden/>
          </w:rPr>
          <w:tab/>
        </w:r>
        <w:r w:rsidR="007D41E3">
          <w:rPr>
            <w:noProof/>
            <w:webHidden/>
          </w:rPr>
          <w:fldChar w:fldCharType="begin"/>
        </w:r>
        <w:r w:rsidR="007D41E3">
          <w:rPr>
            <w:noProof/>
            <w:webHidden/>
          </w:rPr>
          <w:instrText xml:space="preserve"> PAGEREF _Toc14962350 \h </w:instrText>
        </w:r>
        <w:r w:rsidR="007D41E3">
          <w:rPr>
            <w:noProof/>
            <w:webHidden/>
          </w:rPr>
        </w:r>
        <w:r w:rsidR="007D41E3">
          <w:rPr>
            <w:noProof/>
            <w:webHidden/>
          </w:rPr>
          <w:fldChar w:fldCharType="separate"/>
        </w:r>
        <w:r w:rsidR="00200004">
          <w:rPr>
            <w:noProof/>
            <w:webHidden/>
          </w:rPr>
          <w:t>12</w:t>
        </w:r>
        <w:r w:rsidR="007D41E3">
          <w:rPr>
            <w:noProof/>
            <w:webHidden/>
          </w:rPr>
          <w:fldChar w:fldCharType="end"/>
        </w:r>
      </w:hyperlink>
    </w:p>
    <w:p w14:paraId="3BB11AF5" w14:textId="77777777" w:rsidR="0053623B" w:rsidRDefault="00F17467">
      <w:r>
        <w:fldChar w:fldCharType="end"/>
      </w:r>
    </w:p>
    <w:p w14:paraId="1463F030" w14:textId="77777777" w:rsidR="0053623B" w:rsidRDefault="00F17467">
      <w:pPr>
        <w:pStyle w:val="Heading2"/>
        <w:numPr>
          <w:ilvl w:val="0"/>
          <w:numId w:val="0"/>
        </w:numPr>
        <w:ind w:left="709" w:hanging="709"/>
      </w:pPr>
      <w:bookmarkStart w:id="1" w:name="_Toc430782149"/>
      <w:bookmarkStart w:id="2" w:name="_Toc14962331"/>
      <w:r>
        <w:lastRenderedPageBreak/>
        <w:t>Summary</w:t>
      </w:r>
      <w:bookmarkEnd w:id="1"/>
      <w:bookmarkEnd w:id="2"/>
    </w:p>
    <w:p w14:paraId="59022A57" w14:textId="485E1504" w:rsidR="00DE1E00" w:rsidRDefault="006073B1" w:rsidP="00DE1E00">
      <w:pPr>
        <w:rPr>
          <w:lang w:eastAsia="ja-JP"/>
        </w:rPr>
      </w:pPr>
      <w:r>
        <w:rPr>
          <w:lang w:eastAsia="ja-JP"/>
        </w:rPr>
        <w:t xml:space="preserve">This report provides ABARES outlook for </w:t>
      </w:r>
      <w:r w:rsidR="00694662">
        <w:rPr>
          <w:lang w:eastAsia="ja-JP"/>
        </w:rPr>
        <w:t>water allocation prices</w:t>
      </w:r>
      <w:r w:rsidR="00C40BB2">
        <w:rPr>
          <w:lang w:eastAsia="ja-JP"/>
        </w:rPr>
        <w:t xml:space="preserve"> in the southern Murray-Darling Basin</w:t>
      </w:r>
      <w:r>
        <w:rPr>
          <w:lang w:eastAsia="ja-JP"/>
        </w:rPr>
        <w:t xml:space="preserve"> </w:t>
      </w:r>
      <w:r w:rsidR="00756895">
        <w:rPr>
          <w:lang w:eastAsia="ja-JP"/>
        </w:rPr>
        <w:t xml:space="preserve">(MDB) </w:t>
      </w:r>
      <w:r>
        <w:rPr>
          <w:lang w:eastAsia="ja-JP"/>
        </w:rPr>
        <w:t>for 2019-20</w:t>
      </w:r>
      <w:r w:rsidR="00C40BB2">
        <w:rPr>
          <w:lang w:eastAsia="ja-JP"/>
        </w:rPr>
        <w:t xml:space="preserve">. This outlook updates </w:t>
      </w:r>
      <w:r w:rsidR="00590758">
        <w:rPr>
          <w:lang w:eastAsia="ja-JP"/>
        </w:rPr>
        <w:t xml:space="preserve">the </w:t>
      </w:r>
      <w:r w:rsidR="000D37F0">
        <w:rPr>
          <w:lang w:eastAsia="ja-JP"/>
        </w:rPr>
        <w:t xml:space="preserve">previous </w:t>
      </w:r>
      <w:hyperlink r:id="rId15" w:history="1">
        <w:r w:rsidR="00590758" w:rsidRPr="00590758">
          <w:rPr>
            <w:rStyle w:val="Hyperlink"/>
            <w:lang w:eastAsia="ja-JP"/>
          </w:rPr>
          <w:t>March Outlook</w:t>
        </w:r>
      </w:hyperlink>
      <w:r w:rsidR="00C40BB2">
        <w:rPr>
          <w:lang w:eastAsia="ja-JP"/>
        </w:rPr>
        <w:t xml:space="preserve">, using revised allocation </w:t>
      </w:r>
      <w:r w:rsidR="00E31CFC">
        <w:rPr>
          <w:lang w:eastAsia="ja-JP"/>
        </w:rPr>
        <w:t xml:space="preserve">announcements </w:t>
      </w:r>
      <w:r w:rsidR="00C40BB2">
        <w:rPr>
          <w:lang w:eastAsia="ja-JP"/>
        </w:rPr>
        <w:t>from state water agencies</w:t>
      </w:r>
      <w:r w:rsidR="00E31CFC">
        <w:rPr>
          <w:lang w:eastAsia="ja-JP"/>
        </w:rPr>
        <w:t xml:space="preserve"> and seasonal conditions from the Bureau of Meteorology (BOM)</w:t>
      </w:r>
      <w:r w:rsidR="00C40BB2">
        <w:rPr>
          <w:lang w:eastAsia="ja-JP"/>
        </w:rPr>
        <w:t xml:space="preserve">. </w:t>
      </w:r>
      <w:r w:rsidR="00DE1E00">
        <w:rPr>
          <w:lang w:eastAsia="ja-JP"/>
        </w:rPr>
        <w:t xml:space="preserve">A brief summary of market conditions prevailing in </w:t>
      </w:r>
      <w:r w:rsidR="00AC5513">
        <w:rPr>
          <w:lang w:eastAsia="ja-JP"/>
        </w:rPr>
        <w:t>2018–19</w:t>
      </w:r>
      <w:r w:rsidR="00DE1E00">
        <w:rPr>
          <w:lang w:eastAsia="ja-JP"/>
        </w:rPr>
        <w:t xml:space="preserve"> is </w:t>
      </w:r>
      <w:r w:rsidR="00C40BB2">
        <w:rPr>
          <w:lang w:eastAsia="ja-JP"/>
        </w:rPr>
        <w:t>also provided</w:t>
      </w:r>
      <w:r w:rsidR="00DE1E00">
        <w:rPr>
          <w:lang w:eastAsia="ja-JP"/>
        </w:rPr>
        <w:t xml:space="preserve">. </w:t>
      </w:r>
    </w:p>
    <w:p w14:paraId="431F41B1" w14:textId="165AF864" w:rsidR="00EA7994" w:rsidRDefault="00E01726" w:rsidP="00DE1E00">
      <w:pPr>
        <w:rPr>
          <w:lang w:eastAsia="ja-JP"/>
        </w:rPr>
      </w:pPr>
      <w:r>
        <w:rPr>
          <w:lang w:eastAsia="ja-JP"/>
        </w:rPr>
        <w:t>The ABARES Water Trade model (WTM) is used to simulate potential 2019–20 water allocation prices for four representative scenarios</w:t>
      </w:r>
      <w:r w:rsidR="00DE1E00">
        <w:rPr>
          <w:lang w:eastAsia="ja-JP"/>
        </w:rPr>
        <w:t xml:space="preserve">: </w:t>
      </w:r>
      <w:r w:rsidR="003102F6" w:rsidRPr="003342F7">
        <w:rPr>
          <w:i/>
          <w:lang w:eastAsia="ja-JP"/>
        </w:rPr>
        <w:t>ex</w:t>
      </w:r>
      <w:r w:rsidR="00427DF4">
        <w:rPr>
          <w:i/>
          <w:lang w:eastAsia="ja-JP"/>
        </w:rPr>
        <w:t>treme</w:t>
      </w:r>
      <w:r w:rsidR="003102F6" w:rsidRPr="003342F7">
        <w:rPr>
          <w:i/>
          <w:lang w:eastAsia="ja-JP"/>
        </w:rPr>
        <w:t xml:space="preserve"> dry</w:t>
      </w:r>
      <w:r w:rsidR="003102F6">
        <w:rPr>
          <w:lang w:eastAsia="ja-JP"/>
        </w:rPr>
        <w:t xml:space="preserve">, </w:t>
      </w:r>
      <w:r w:rsidR="00AC5513" w:rsidRPr="00AC5513">
        <w:rPr>
          <w:i/>
          <w:lang w:eastAsia="ja-JP"/>
        </w:rPr>
        <w:t>dry</w:t>
      </w:r>
      <w:r w:rsidR="00DE1E00">
        <w:rPr>
          <w:lang w:eastAsia="ja-JP"/>
        </w:rPr>
        <w:t xml:space="preserve">, </w:t>
      </w:r>
      <w:r w:rsidR="00DE1E00">
        <w:rPr>
          <w:i/>
          <w:lang w:eastAsia="ja-JP"/>
        </w:rPr>
        <w:t>average</w:t>
      </w:r>
      <w:r w:rsidR="00DE1E00">
        <w:rPr>
          <w:lang w:eastAsia="ja-JP"/>
        </w:rPr>
        <w:t xml:space="preserve"> and </w:t>
      </w:r>
      <w:r w:rsidR="00AC5513" w:rsidRPr="00AC5513">
        <w:rPr>
          <w:i/>
          <w:lang w:eastAsia="ja-JP"/>
        </w:rPr>
        <w:t>wet</w:t>
      </w:r>
      <w:r>
        <w:rPr>
          <w:i/>
          <w:lang w:eastAsia="ja-JP"/>
        </w:rPr>
        <w:t xml:space="preserve">. </w:t>
      </w:r>
      <w:r>
        <w:rPr>
          <w:lang w:eastAsia="ja-JP"/>
        </w:rPr>
        <w:t>E</w:t>
      </w:r>
      <w:r w:rsidR="00C40BB2">
        <w:rPr>
          <w:lang w:eastAsia="ja-JP"/>
        </w:rPr>
        <w:t xml:space="preserve">ach </w:t>
      </w:r>
      <w:r>
        <w:rPr>
          <w:lang w:eastAsia="ja-JP"/>
        </w:rPr>
        <w:t xml:space="preserve">scenario </w:t>
      </w:r>
      <w:r w:rsidR="00C40BB2">
        <w:rPr>
          <w:lang w:eastAsia="ja-JP"/>
        </w:rPr>
        <w:t>in</w:t>
      </w:r>
      <w:r>
        <w:rPr>
          <w:lang w:eastAsia="ja-JP"/>
        </w:rPr>
        <w:t>cludes</w:t>
      </w:r>
      <w:r w:rsidR="00C40BB2">
        <w:rPr>
          <w:lang w:eastAsia="ja-JP"/>
        </w:rPr>
        <w:t xml:space="preserve"> </w:t>
      </w:r>
      <w:r>
        <w:rPr>
          <w:lang w:eastAsia="ja-JP"/>
        </w:rPr>
        <w:t xml:space="preserve">estimates of potential </w:t>
      </w:r>
      <w:r w:rsidR="00C40BB2">
        <w:rPr>
          <w:lang w:eastAsia="ja-JP"/>
        </w:rPr>
        <w:t xml:space="preserve">future allocation </w:t>
      </w:r>
      <w:r w:rsidR="00427DF4">
        <w:rPr>
          <w:lang w:eastAsia="ja-JP"/>
        </w:rPr>
        <w:t>percentages, rainfall,</w:t>
      </w:r>
      <w:r w:rsidR="00C40BB2">
        <w:rPr>
          <w:lang w:eastAsia="ja-JP"/>
        </w:rPr>
        <w:t xml:space="preserve"> and commodity prices</w:t>
      </w:r>
      <w:r>
        <w:rPr>
          <w:lang w:eastAsia="ja-JP"/>
        </w:rPr>
        <w:t xml:space="preserve"> drawing </w:t>
      </w:r>
      <w:r w:rsidR="00DE1E00">
        <w:rPr>
          <w:lang w:eastAsia="ja-JP"/>
        </w:rPr>
        <w:t>on state government outlooks</w:t>
      </w:r>
      <w:r w:rsidR="001008B9">
        <w:rPr>
          <w:lang w:eastAsia="ja-JP"/>
        </w:rPr>
        <w:t>,</w:t>
      </w:r>
      <w:r w:rsidR="00DE1E00">
        <w:rPr>
          <w:lang w:eastAsia="ja-JP"/>
        </w:rPr>
        <w:t xml:space="preserve"> </w:t>
      </w:r>
      <w:r>
        <w:rPr>
          <w:lang w:eastAsia="ja-JP"/>
        </w:rPr>
        <w:t xml:space="preserve">along with </w:t>
      </w:r>
      <w:r w:rsidR="00DE1E00">
        <w:rPr>
          <w:lang w:eastAsia="ja-JP"/>
        </w:rPr>
        <w:t xml:space="preserve">a number of additional assumptions </w:t>
      </w:r>
      <w:r w:rsidR="000F23D3">
        <w:rPr>
          <w:lang w:eastAsia="ja-JP"/>
        </w:rPr>
        <w:t>made by ABARES</w:t>
      </w:r>
      <w:r w:rsidR="00FF1692">
        <w:rPr>
          <w:lang w:eastAsia="ja-JP"/>
        </w:rPr>
        <w:t xml:space="preserve"> (</w:t>
      </w:r>
      <w:r w:rsidR="001B1C17">
        <w:rPr>
          <w:lang w:eastAsia="ja-JP"/>
        </w:rPr>
        <w:t xml:space="preserve">see </w:t>
      </w:r>
      <w:r w:rsidR="00606528">
        <w:rPr>
          <w:lang w:eastAsia="ja-JP"/>
        </w:rPr>
        <w:fldChar w:fldCharType="begin"/>
      </w:r>
      <w:r w:rsidR="00606528">
        <w:rPr>
          <w:lang w:eastAsia="ja-JP"/>
        </w:rPr>
        <w:instrText xml:space="preserve"> REF _Ref12885542 \h </w:instrText>
      </w:r>
      <w:r w:rsidR="00606528">
        <w:rPr>
          <w:lang w:eastAsia="ja-JP"/>
        </w:rPr>
      </w:r>
      <w:r w:rsidR="00606528">
        <w:rPr>
          <w:lang w:eastAsia="ja-JP"/>
        </w:rPr>
        <w:fldChar w:fldCharType="separate"/>
      </w:r>
      <w:r w:rsidR="00200004">
        <w:t>Appendix A: ABARES outlook scenarios</w:t>
      </w:r>
      <w:r w:rsidR="00606528">
        <w:rPr>
          <w:lang w:eastAsia="ja-JP"/>
        </w:rPr>
        <w:fldChar w:fldCharType="end"/>
      </w:r>
      <w:r w:rsidR="00FF1692">
        <w:rPr>
          <w:lang w:eastAsia="ja-JP"/>
        </w:rPr>
        <w:t>)</w:t>
      </w:r>
      <w:r w:rsidR="00DE1E00">
        <w:rPr>
          <w:lang w:eastAsia="ja-JP"/>
        </w:rPr>
        <w:t>.</w:t>
      </w:r>
      <w:r w:rsidR="00B13971">
        <w:rPr>
          <w:lang w:eastAsia="ja-JP"/>
        </w:rPr>
        <w:t xml:space="preserve"> </w:t>
      </w:r>
    </w:p>
    <w:p w14:paraId="21280755" w14:textId="77777777" w:rsidR="00EA7994" w:rsidRDefault="000D37F0" w:rsidP="00EA7994">
      <w:pPr>
        <w:pStyle w:val="Style2"/>
      </w:pPr>
      <w:r>
        <w:t xml:space="preserve">Water supply </w:t>
      </w:r>
      <w:r w:rsidR="001B1C17">
        <w:t xml:space="preserve">is </w:t>
      </w:r>
      <w:r w:rsidR="00CD5780">
        <w:t xml:space="preserve">low but still </w:t>
      </w:r>
      <w:r w:rsidR="00884C27">
        <w:t>above Millennium drought</w:t>
      </w:r>
      <w:r w:rsidR="00CD5780">
        <w:t xml:space="preserve"> levels</w:t>
      </w:r>
    </w:p>
    <w:p w14:paraId="17AE0E2A" w14:textId="51F2378C" w:rsidR="00884C27" w:rsidRDefault="00884C27" w:rsidP="00EA7994">
      <w:pPr>
        <w:rPr>
          <w:lang w:eastAsia="ja-JP"/>
        </w:rPr>
      </w:pPr>
      <w:r>
        <w:rPr>
          <w:lang w:eastAsia="ja-JP"/>
        </w:rPr>
        <w:t xml:space="preserve">Drought conditions over the last 12 months have led to significant reductions in storage volumes and low opening </w:t>
      </w:r>
      <w:r w:rsidR="00CD5780">
        <w:rPr>
          <w:lang w:eastAsia="ja-JP"/>
        </w:rPr>
        <w:t xml:space="preserve">allocations in 2019-20.  </w:t>
      </w:r>
      <w:r w:rsidR="00BA4FE0">
        <w:rPr>
          <w:lang w:eastAsia="ja-JP"/>
        </w:rPr>
        <w:t>Further, t</w:t>
      </w:r>
      <w:r w:rsidR="00CD5780">
        <w:rPr>
          <w:lang w:eastAsia="ja-JP"/>
        </w:rPr>
        <w:t xml:space="preserve">he current </w:t>
      </w:r>
      <w:r w:rsidR="00E31CFC">
        <w:rPr>
          <w:lang w:eastAsia="ja-JP"/>
        </w:rPr>
        <w:t>BOM</w:t>
      </w:r>
      <w:r w:rsidR="00CD5780">
        <w:rPr>
          <w:lang w:eastAsia="ja-JP"/>
        </w:rPr>
        <w:t xml:space="preserve"> climate outlook suggests drier than average conditions are likely at least until October.  </w:t>
      </w:r>
      <w:r w:rsidR="00E31CFC">
        <w:rPr>
          <w:lang w:eastAsia="ja-JP"/>
        </w:rPr>
        <w:t>However, w</w:t>
      </w:r>
      <w:r w:rsidR="00CD5780">
        <w:rPr>
          <w:lang w:eastAsia="ja-JP"/>
        </w:rPr>
        <w:t>ater availability is being supported by significant carryover</w:t>
      </w:r>
      <w:r w:rsidR="001A6563">
        <w:rPr>
          <w:lang w:eastAsia="ja-JP"/>
        </w:rPr>
        <w:t xml:space="preserve"> reserves, with around 31</w:t>
      </w:r>
      <w:r w:rsidR="001B1C17">
        <w:rPr>
          <w:lang w:eastAsia="ja-JP"/>
        </w:rPr>
        <w:t>% of 2018-19 supply (around 1,600</w:t>
      </w:r>
      <w:r w:rsidR="00CD5780">
        <w:rPr>
          <w:lang w:eastAsia="ja-JP"/>
        </w:rPr>
        <w:t xml:space="preserve"> GL) being carried into 2019-20.</w:t>
      </w:r>
    </w:p>
    <w:p w14:paraId="0B622346" w14:textId="4264ECB7" w:rsidR="003848A1" w:rsidRPr="00CD5780" w:rsidRDefault="000F0428" w:rsidP="00EA7994">
      <w:pPr>
        <w:rPr>
          <w:lang w:eastAsia="ja-JP"/>
        </w:rPr>
      </w:pPr>
      <w:r>
        <w:rPr>
          <w:lang w:eastAsia="ja-JP"/>
        </w:rPr>
        <w:t xml:space="preserve">Across the southern basin, </w:t>
      </w:r>
      <w:r w:rsidR="00884C27">
        <w:rPr>
          <w:lang w:eastAsia="ja-JP"/>
        </w:rPr>
        <w:t>around 3,</w:t>
      </w:r>
      <w:r w:rsidR="0003763B">
        <w:rPr>
          <w:lang w:eastAsia="ja-JP"/>
        </w:rPr>
        <w:t>442</w:t>
      </w:r>
      <w:r w:rsidR="00884C27">
        <w:rPr>
          <w:lang w:eastAsia="ja-JP"/>
        </w:rPr>
        <w:t xml:space="preserve"> GL of water </w:t>
      </w:r>
      <w:r w:rsidR="00CD5780">
        <w:rPr>
          <w:lang w:eastAsia="ja-JP"/>
        </w:rPr>
        <w:t xml:space="preserve">allocation </w:t>
      </w:r>
      <w:r w:rsidR="00884C27">
        <w:rPr>
          <w:lang w:eastAsia="ja-JP"/>
        </w:rPr>
        <w:t xml:space="preserve">is forecast to be </w:t>
      </w:r>
      <w:r>
        <w:rPr>
          <w:lang w:eastAsia="ja-JP"/>
        </w:rPr>
        <w:t xml:space="preserve">available for irrigation use in the </w:t>
      </w:r>
      <w:r w:rsidRPr="00884C27">
        <w:rPr>
          <w:i/>
          <w:lang w:eastAsia="ja-JP"/>
        </w:rPr>
        <w:t>dry</w:t>
      </w:r>
      <w:r w:rsidR="00884C27">
        <w:rPr>
          <w:lang w:eastAsia="ja-JP"/>
        </w:rPr>
        <w:t xml:space="preserve"> scenario by the end of 2019-20</w:t>
      </w:r>
      <w:r w:rsidR="00CD5780">
        <w:rPr>
          <w:lang w:eastAsia="ja-JP"/>
        </w:rPr>
        <w:t xml:space="preserve"> (</w:t>
      </w:r>
      <w:r w:rsidR="001B1C17">
        <w:rPr>
          <w:lang w:eastAsia="ja-JP"/>
        </w:rPr>
        <w:t>including</w:t>
      </w:r>
      <w:r w:rsidR="00CD5780">
        <w:rPr>
          <w:lang w:eastAsia="ja-JP"/>
        </w:rPr>
        <w:t xml:space="preserve"> carryover</w:t>
      </w:r>
      <w:r w:rsidR="001B1C17">
        <w:rPr>
          <w:lang w:eastAsia="ja-JP"/>
        </w:rPr>
        <w:t xml:space="preserve"> and excluding environmental water</w:t>
      </w:r>
      <w:r w:rsidR="00CD5780">
        <w:rPr>
          <w:lang w:eastAsia="ja-JP"/>
        </w:rPr>
        <w:t>)</w:t>
      </w:r>
      <w:r w:rsidR="00B722A1">
        <w:rPr>
          <w:lang w:eastAsia="ja-JP"/>
        </w:rPr>
        <w:t>. This would be a 25</w:t>
      </w:r>
      <w:r w:rsidR="00884C27">
        <w:rPr>
          <w:lang w:eastAsia="ja-JP"/>
        </w:rPr>
        <w:t xml:space="preserve">% decline relative to 2018-19 but </w:t>
      </w:r>
      <w:r w:rsidR="00CD5780">
        <w:rPr>
          <w:lang w:eastAsia="ja-JP"/>
        </w:rPr>
        <w:t xml:space="preserve">still </w:t>
      </w:r>
      <w:r w:rsidR="00884C27">
        <w:rPr>
          <w:lang w:eastAsia="ja-JP"/>
        </w:rPr>
        <w:t xml:space="preserve">higher than the worst of the </w:t>
      </w:r>
      <w:r w:rsidR="00CD5780">
        <w:rPr>
          <w:lang w:eastAsia="ja-JP"/>
        </w:rPr>
        <w:t>Millennium</w:t>
      </w:r>
      <w:r w:rsidR="00884C27">
        <w:rPr>
          <w:lang w:eastAsia="ja-JP"/>
        </w:rPr>
        <w:t xml:space="preserve"> </w:t>
      </w:r>
      <w:r w:rsidR="00B722A1">
        <w:rPr>
          <w:lang w:eastAsia="ja-JP"/>
        </w:rPr>
        <w:t>drought (where supply averaged 2,590</w:t>
      </w:r>
      <w:r w:rsidR="00884C27">
        <w:rPr>
          <w:lang w:eastAsia="ja-JP"/>
        </w:rPr>
        <w:t xml:space="preserve"> </w:t>
      </w:r>
      <w:r w:rsidR="004860E2">
        <w:rPr>
          <w:lang w:eastAsia="ja-JP"/>
        </w:rPr>
        <w:t xml:space="preserve">GL </w:t>
      </w:r>
      <w:r w:rsidR="00884C27">
        <w:rPr>
          <w:lang w:eastAsia="ja-JP"/>
        </w:rPr>
        <w:t>between</w:t>
      </w:r>
      <w:r w:rsidR="00B722A1">
        <w:rPr>
          <w:lang w:eastAsia="ja-JP"/>
        </w:rPr>
        <w:t xml:space="preserve"> 2007-08</w:t>
      </w:r>
      <w:r w:rsidR="00CD5780">
        <w:rPr>
          <w:lang w:eastAsia="ja-JP"/>
        </w:rPr>
        <w:t xml:space="preserve"> and</w:t>
      </w:r>
      <w:r w:rsidR="00B722A1">
        <w:rPr>
          <w:lang w:eastAsia="ja-JP"/>
        </w:rPr>
        <w:t xml:space="preserve"> 2008-09)</w:t>
      </w:r>
      <w:r w:rsidR="00AF0BA0">
        <w:rPr>
          <w:lang w:eastAsia="ja-JP"/>
        </w:rPr>
        <w:t xml:space="preserve">. The less likely </w:t>
      </w:r>
      <w:r w:rsidR="00AF0BA0">
        <w:rPr>
          <w:i/>
          <w:lang w:eastAsia="ja-JP"/>
        </w:rPr>
        <w:t xml:space="preserve">extreme dry </w:t>
      </w:r>
      <w:r w:rsidR="00884C27">
        <w:rPr>
          <w:lang w:eastAsia="ja-JP"/>
        </w:rPr>
        <w:t xml:space="preserve">scenario would see water allocation supply fall to around </w:t>
      </w:r>
      <w:r w:rsidR="00E97C63">
        <w:rPr>
          <w:lang w:eastAsia="ja-JP"/>
        </w:rPr>
        <w:t>2,802</w:t>
      </w:r>
      <w:r w:rsidR="00884C27">
        <w:rPr>
          <w:lang w:eastAsia="ja-JP"/>
        </w:rPr>
        <w:t xml:space="preserve"> GL.</w:t>
      </w:r>
      <w:r w:rsidR="00CD5780">
        <w:rPr>
          <w:lang w:eastAsia="ja-JP"/>
        </w:rPr>
        <w:t xml:space="preserve"> Under the </w:t>
      </w:r>
      <w:r w:rsidR="00CD5780">
        <w:rPr>
          <w:i/>
          <w:lang w:eastAsia="ja-JP"/>
        </w:rPr>
        <w:t xml:space="preserve">average </w:t>
      </w:r>
      <w:r w:rsidR="00CD5780">
        <w:rPr>
          <w:lang w:eastAsia="ja-JP"/>
        </w:rPr>
        <w:t xml:space="preserve">and </w:t>
      </w:r>
      <w:r w:rsidR="00CD5780" w:rsidRPr="001B1C17">
        <w:rPr>
          <w:i/>
          <w:lang w:eastAsia="ja-JP"/>
        </w:rPr>
        <w:t xml:space="preserve">wet </w:t>
      </w:r>
      <w:r w:rsidR="00CD5780">
        <w:rPr>
          <w:lang w:eastAsia="ja-JP"/>
        </w:rPr>
        <w:t xml:space="preserve">scenarios water availability is forecast to increase as high as </w:t>
      </w:r>
      <w:r w:rsidR="0003763B">
        <w:rPr>
          <w:lang w:eastAsia="ja-JP"/>
        </w:rPr>
        <w:t>6,112</w:t>
      </w:r>
      <w:r w:rsidR="004860E2">
        <w:rPr>
          <w:lang w:eastAsia="ja-JP"/>
        </w:rPr>
        <w:t xml:space="preserve"> GL</w:t>
      </w:r>
      <w:r w:rsidR="00CD5780">
        <w:rPr>
          <w:lang w:eastAsia="ja-JP"/>
        </w:rPr>
        <w:t>.</w:t>
      </w:r>
    </w:p>
    <w:p w14:paraId="4EEFE8E1" w14:textId="77777777" w:rsidR="00826C2F" w:rsidRPr="00382C5F" w:rsidRDefault="00A767F7" w:rsidP="00826C2F">
      <w:pPr>
        <w:pStyle w:val="Style2"/>
        <w:rPr>
          <w:rFonts w:ascii="Estrangelo Edessa" w:hAnsi="Estrangelo Edessa" w:cs="Estrangelo Edessa"/>
        </w:rPr>
      </w:pPr>
      <w:r>
        <w:t>H</w:t>
      </w:r>
      <w:r w:rsidR="000D37F0">
        <w:t xml:space="preserve">igh water </w:t>
      </w:r>
      <w:r>
        <w:t xml:space="preserve">allocation </w:t>
      </w:r>
      <w:r w:rsidR="000D37F0">
        <w:t xml:space="preserve">prices are likely to continue </w:t>
      </w:r>
    </w:p>
    <w:p w14:paraId="64C5DF45" w14:textId="0DDD04C3" w:rsidR="008B1CBD" w:rsidRDefault="008B1CBD" w:rsidP="00DE1E00">
      <w:pPr>
        <w:rPr>
          <w:lang w:eastAsia="ja-JP"/>
        </w:rPr>
      </w:pPr>
      <w:r>
        <w:rPr>
          <w:lang w:eastAsia="ja-JP"/>
        </w:rPr>
        <w:t>Over the course of 2018-19 water allocation prices incr</w:t>
      </w:r>
      <w:r w:rsidR="001B1C17">
        <w:rPr>
          <w:lang w:eastAsia="ja-JP"/>
        </w:rPr>
        <w:t>eased dramatic</w:t>
      </w:r>
      <w:r w:rsidR="00AF0BA0">
        <w:rPr>
          <w:lang w:eastAsia="ja-JP"/>
        </w:rPr>
        <w:t>ally from around $250 per ML in July 2018</w:t>
      </w:r>
      <w:r w:rsidR="001B1C17">
        <w:rPr>
          <w:lang w:eastAsia="ja-JP"/>
        </w:rPr>
        <w:t xml:space="preserve"> to over $500 per ML</w:t>
      </w:r>
      <w:r>
        <w:rPr>
          <w:lang w:eastAsia="ja-JP"/>
        </w:rPr>
        <w:t xml:space="preserve"> </w:t>
      </w:r>
      <w:r w:rsidR="00AF0BA0">
        <w:rPr>
          <w:lang w:eastAsia="ja-JP"/>
        </w:rPr>
        <w:t xml:space="preserve">in </w:t>
      </w:r>
      <w:r w:rsidR="00E01726">
        <w:rPr>
          <w:lang w:eastAsia="ja-JP"/>
        </w:rPr>
        <w:t xml:space="preserve">June </w:t>
      </w:r>
      <w:r w:rsidR="00AF0BA0">
        <w:rPr>
          <w:lang w:eastAsia="ja-JP"/>
        </w:rPr>
        <w:t xml:space="preserve">2019 </w:t>
      </w:r>
      <w:r>
        <w:rPr>
          <w:lang w:eastAsia="ja-JP"/>
        </w:rPr>
        <w:t>(</w:t>
      </w:r>
      <w:r w:rsidR="001B1C17">
        <w:rPr>
          <w:lang w:eastAsia="ja-JP"/>
        </w:rPr>
        <w:t xml:space="preserve">for </w:t>
      </w:r>
      <w:r>
        <w:rPr>
          <w:lang w:eastAsia="ja-JP"/>
        </w:rPr>
        <w:t xml:space="preserve">an annual </w:t>
      </w:r>
      <w:r w:rsidR="00AF0BA0">
        <w:rPr>
          <w:lang w:eastAsia="ja-JP"/>
        </w:rPr>
        <w:t xml:space="preserve">average </w:t>
      </w:r>
      <w:r>
        <w:rPr>
          <w:lang w:eastAsia="ja-JP"/>
        </w:rPr>
        <w:t>price of</w:t>
      </w:r>
      <w:r w:rsidR="001B1C17">
        <w:rPr>
          <w:lang w:eastAsia="ja-JP"/>
        </w:rPr>
        <w:t xml:space="preserve"> around $450</w:t>
      </w:r>
      <w:r>
        <w:rPr>
          <w:lang w:eastAsia="ja-JP"/>
        </w:rPr>
        <w:t xml:space="preserve">). Currently </w:t>
      </w:r>
      <w:r w:rsidR="001B1C17">
        <w:rPr>
          <w:lang w:eastAsia="ja-JP"/>
        </w:rPr>
        <w:t>water</w:t>
      </w:r>
      <w:r>
        <w:rPr>
          <w:lang w:eastAsia="ja-JP"/>
        </w:rPr>
        <w:t xml:space="preserve"> prices </w:t>
      </w:r>
      <w:r w:rsidR="00AF0BA0">
        <w:rPr>
          <w:lang w:eastAsia="ja-JP"/>
        </w:rPr>
        <w:t>have been trading in excess of $600 per ML in most southern MDB regions.</w:t>
      </w:r>
      <w:r>
        <w:rPr>
          <w:lang w:eastAsia="ja-JP"/>
        </w:rPr>
        <w:t xml:space="preserve"> </w:t>
      </w:r>
    </w:p>
    <w:p w14:paraId="16134A9D" w14:textId="1920C2F6" w:rsidR="00826C2F" w:rsidRDefault="00A64EF8" w:rsidP="00DE1E00">
      <w:r>
        <w:rPr>
          <w:lang w:eastAsia="ja-JP"/>
        </w:rPr>
        <w:t>I</w:t>
      </w:r>
      <w:r>
        <w:t xml:space="preserve">n the </w:t>
      </w:r>
      <w:r w:rsidRPr="00ED51D2">
        <w:rPr>
          <w:i/>
        </w:rPr>
        <w:t>dry</w:t>
      </w:r>
      <w:r>
        <w:t xml:space="preserve"> scenario, </w:t>
      </w:r>
      <w:r w:rsidR="008B1CBD">
        <w:t xml:space="preserve">an average </w:t>
      </w:r>
      <w:r w:rsidR="00AF0BA0">
        <w:t>annual water allocation price for 2019-20 of</w:t>
      </w:r>
      <w:r w:rsidR="0003763B">
        <w:t xml:space="preserve"> around $526</w:t>
      </w:r>
      <w:r w:rsidR="008B1CBD">
        <w:t xml:space="preserve"> per ML is estimated</w:t>
      </w:r>
      <w:r w:rsidR="00AF0BA0">
        <w:t xml:space="preserve">, with </w:t>
      </w:r>
      <w:r w:rsidR="008B1CBD">
        <w:t>$</w:t>
      </w:r>
      <w:r w:rsidR="0003763B">
        <w:t>651</w:t>
      </w:r>
      <w:r w:rsidR="008B1CBD">
        <w:t xml:space="preserve"> </w:t>
      </w:r>
      <w:r w:rsidR="00AF0BA0">
        <w:t xml:space="preserve">estimated </w:t>
      </w:r>
      <w:r w:rsidR="008B1CBD">
        <w:t xml:space="preserve">under the </w:t>
      </w:r>
      <w:r w:rsidR="008B1CBD" w:rsidRPr="00AF0BA0">
        <w:rPr>
          <w:i/>
        </w:rPr>
        <w:t>extreme dry</w:t>
      </w:r>
      <w:r w:rsidR="008B1CBD">
        <w:t xml:space="preserve"> scenario</w:t>
      </w:r>
      <w:r w:rsidR="00AF0BA0">
        <w:t xml:space="preserve"> (for the Murray below Barmah trading zones)</w:t>
      </w:r>
      <w:r w:rsidR="008B1CBD">
        <w:t xml:space="preserve">. Prices are expected to </w:t>
      </w:r>
      <w:r w:rsidR="00FE212F">
        <w:t>decrease</w:t>
      </w:r>
      <w:r w:rsidR="008B1CBD">
        <w:t xml:space="preserve"> </w:t>
      </w:r>
      <w:r w:rsidR="00FE212F">
        <w:t>substantially</w:t>
      </w:r>
      <w:r w:rsidR="00AF0BA0">
        <w:t xml:space="preserve"> if a </w:t>
      </w:r>
      <w:r w:rsidR="008B1CBD">
        <w:t xml:space="preserve">shift to </w:t>
      </w:r>
      <w:r w:rsidR="0001178F">
        <w:t xml:space="preserve">average or </w:t>
      </w:r>
      <w:r w:rsidR="008B1CBD">
        <w:t xml:space="preserve">wetter </w:t>
      </w:r>
      <w:r w:rsidR="00AF0BA0">
        <w:t>conditions occ</w:t>
      </w:r>
      <w:r w:rsidR="0003763B">
        <w:t>urs, with annual price</w:t>
      </w:r>
      <w:r w:rsidR="0001178F">
        <w:t>s</w:t>
      </w:r>
      <w:r w:rsidR="0003763B">
        <w:t xml:space="preserve"> of </w:t>
      </w:r>
      <w:r w:rsidR="00E31CFC">
        <w:t xml:space="preserve">$332 and </w:t>
      </w:r>
      <w:r w:rsidR="0003763B">
        <w:t>$258</w:t>
      </w:r>
      <w:r w:rsidR="008B1CBD">
        <w:t xml:space="preserve"> estimated under the </w:t>
      </w:r>
      <w:r w:rsidR="00E31CFC">
        <w:rPr>
          <w:i/>
        </w:rPr>
        <w:t xml:space="preserve">average </w:t>
      </w:r>
      <w:r w:rsidR="00E31CFC">
        <w:t xml:space="preserve">and </w:t>
      </w:r>
      <w:r w:rsidR="008B1CBD" w:rsidRPr="00AF0BA0">
        <w:rPr>
          <w:i/>
        </w:rPr>
        <w:t>wet</w:t>
      </w:r>
      <w:r w:rsidR="008B1CBD">
        <w:t xml:space="preserve"> scenario</w:t>
      </w:r>
      <w:r w:rsidR="00E31CFC">
        <w:t>s</w:t>
      </w:r>
      <w:r w:rsidR="0001178F">
        <w:t>,</w:t>
      </w:r>
      <w:r w:rsidR="00E31CFC">
        <w:t xml:space="preserve"> respectively</w:t>
      </w:r>
      <w:r w:rsidR="008B1CBD">
        <w:t>.</w:t>
      </w:r>
    </w:p>
    <w:p w14:paraId="7D2215C4" w14:textId="165DD7CE" w:rsidR="00493BE9" w:rsidRDefault="00FE212F" w:rsidP="003342F7">
      <w:pPr>
        <w:pStyle w:val="Style2"/>
      </w:pPr>
      <w:bookmarkStart w:id="3" w:name="_Toc430782150"/>
      <w:r>
        <w:t xml:space="preserve">Murrumbidgee import </w:t>
      </w:r>
      <w:r w:rsidR="00786929">
        <w:t xml:space="preserve">and Barmah </w:t>
      </w:r>
      <w:r w:rsidR="00AF0BA0">
        <w:t>choke</w:t>
      </w:r>
      <w:r w:rsidR="00786929">
        <w:t xml:space="preserve"> </w:t>
      </w:r>
      <w:r w:rsidR="00E31CFC">
        <w:t>limit</w:t>
      </w:r>
      <w:r w:rsidR="0001178F">
        <w:t>s</w:t>
      </w:r>
      <w:r w:rsidR="00E31CFC">
        <w:t xml:space="preserve"> </w:t>
      </w:r>
      <w:r>
        <w:t xml:space="preserve">may be in force </w:t>
      </w:r>
    </w:p>
    <w:p w14:paraId="1FA9EAE7" w14:textId="3E073476" w:rsidR="00E72A8C" w:rsidRDefault="00FE212F" w:rsidP="00EA27FA">
      <w:r>
        <w:t xml:space="preserve">Water supply </w:t>
      </w:r>
      <w:r w:rsidR="00AF0BA0">
        <w:t>remains highly limited in the Murrumbidgee</w:t>
      </w:r>
      <w:r>
        <w:t xml:space="preserve"> </w:t>
      </w:r>
      <w:r w:rsidR="00AF0BA0">
        <w:t xml:space="preserve">with </w:t>
      </w:r>
      <w:r>
        <w:t xml:space="preserve">limited carryover </w:t>
      </w:r>
      <w:r w:rsidR="00AF0BA0">
        <w:t xml:space="preserve">reserves </w:t>
      </w:r>
      <w:r>
        <w:t xml:space="preserve">and </w:t>
      </w:r>
      <w:r w:rsidR="003D3FA6">
        <w:t xml:space="preserve">zero opening general security allocations.  Under the </w:t>
      </w:r>
      <w:r w:rsidR="003D3FA6">
        <w:rPr>
          <w:i/>
        </w:rPr>
        <w:t>dry</w:t>
      </w:r>
      <w:r>
        <w:t xml:space="preserve"> </w:t>
      </w:r>
      <w:r w:rsidR="0003763B">
        <w:t xml:space="preserve">and </w:t>
      </w:r>
      <w:r w:rsidR="0003763B">
        <w:rPr>
          <w:i/>
        </w:rPr>
        <w:t xml:space="preserve">average </w:t>
      </w:r>
      <w:r w:rsidR="003D3FA6">
        <w:t>scenario</w:t>
      </w:r>
      <w:r w:rsidR="0003763B">
        <w:t>s</w:t>
      </w:r>
      <w:r w:rsidR="003D3FA6">
        <w:t xml:space="preserve"> the Murrumbidgee Inter-valley Trade (IVT) import limit is expected to bind, leading </w:t>
      </w:r>
      <w:r>
        <w:t xml:space="preserve">to higher prices in this region </w:t>
      </w:r>
      <w:r w:rsidR="0003763B">
        <w:t>compared to other regions in the southern basin</w:t>
      </w:r>
      <w:r w:rsidR="003D3FA6">
        <w:t xml:space="preserve">. In the </w:t>
      </w:r>
      <w:r w:rsidR="003D3FA6" w:rsidRPr="00ED51D2">
        <w:rPr>
          <w:i/>
        </w:rPr>
        <w:t>wet</w:t>
      </w:r>
      <w:r w:rsidR="003D3FA6">
        <w:t xml:space="preserve"> scenario, the Murrumbidgee reverts to its usual trade position o</w:t>
      </w:r>
      <w:r w:rsidR="00CF38A2">
        <w:t>f being a net exporter of water.</w:t>
      </w:r>
    </w:p>
    <w:p w14:paraId="54A56C92" w14:textId="3D07F24B" w:rsidR="00AD450B" w:rsidRDefault="00BA4FE0" w:rsidP="00EA27FA">
      <w:r>
        <w:lastRenderedPageBreak/>
        <w:t>T</w:t>
      </w:r>
      <w:r w:rsidR="00AD450B">
        <w:t>he Barmah Choke trade constrain</w:t>
      </w:r>
      <w:r w:rsidR="003D3FA6">
        <w:t>t is expected to bind</w:t>
      </w:r>
      <w:r w:rsidR="00AD450B">
        <w:t xml:space="preserve"> in the </w:t>
      </w:r>
      <w:r w:rsidR="00AD450B" w:rsidRPr="00C169A3">
        <w:rPr>
          <w:i/>
        </w:rPr>
        <w:t>dry</w:t>
      </w:r>
      <w:r w:rsidR="00AD450B">
        <w:t xml:space="preserve"> and </w:t>
      </w:r>
      <w:r w:rsidR="00427DF4">
        <w:rPr>
          <w:i/>
        </w:rPr>
        <w:t>extreme</w:t>
      </w:r>
      <w:r w:rsidR="00AD450B" w:rsidRPr="00ED51D2">
        <w:rPr>
          <w:i/>
        </w:rPr>
        <w:t xml:space="preserve"> dry</w:t>
      </w:r>
      <w:r w:rsidR="00AD450B">
        <w:t xml:space="preserve"> scenarios, leading to </w:t>
      </w:r>
      <w:r w:rsidR="00E72A8C">
        <w:t>lower water allocation prices in the above Bar</w:t>
      </w:r>
      <w:r w:rsidR="00E97C63">
        <w:t>mah trading zones: $491 and $545</w:t>
      </w:r>
      <w:r w:rsidR="00E72A8C">
        <w:t xml:space="preserve"> per ML under the </w:t>
      </w:r>
      <w:r w:rsidR="00E72A8C">
        <w:rPr>
          <w:i/>
        </w:rPr>
        <w:t xml:space="preserve">dry </w:t>
      </w:r>
      <w:r w:rsidR="00E72A8C">
        <w:t xml:space="preserve">and </w:t>
      </w:r>
      <w:r w:rsidR="00427DF4">
        <w:rPr>
          <w:i/>
        </w:rPr>
        <w:t>extreme</w:t>
      </w:r>
      <w:r w:rsidR="00E72A8C">
        <w:rPr>
          <w:i/>
        </w:rPr>
        <w:t xml:space="preserve"> dry</w:t>
      </w:r>
      <w:r w:rsidR="00E72A8C">
        <w:t xml:space="preserve"> scenarios respectively</w:t>
      </w:r>
      <w:r w:rsidR="00AD450B">
        <w:t>.</w:t>
      </w:r>
    </w:p>
    <w:p w14:paraId="6942EFE8" w14:textId="730C730B" w:rsidR="00EA7994" w:rsidRDefault="00AD450B" w:rsidP="00EA7994">
      <w:pPr>
        <w:pStyle w:val="Heading4"/>
        <w:numPr>
          <w:ilvl w:val="0"/>
          <w:numId w:val="0"/>
        </w:numPr>
        <w:ind w:left="964" w:hanging="964"/>
      </w:pPr>
      <w:r>
        <w:t>There is p</w:t>
      </w:r>
      <w:r w:rsidR="00EA7994">
        <w:t>otential fo</w:t>
      </w:r>
      <w:r w:rsidR="00BA4FE0">
        <w:t>r higher prices as we approach</w:t>
      </w:r>
      <w:r w:rsidR="00EA7994">
        <w:t xml:space="preserve"> 20</w:t>
      </w:r>
      <w:r w:rsidR="005B1E51">
        <w:t>20–</w:t>
      </w:r>
      <w:r w:rsidR="00EA7994">
        <w:t>21</w:t>
      </w:r>
    </w:p>
    <w:p w14:paraId="47FA9370" w14:textId="5837455C" w:rsidR="00E72A8C" w:rsidRDefault="00AD450B" w:rsidP="00EA7994">
      <w:pPr>
        <w:rPr>
          <w:lang w:eastAsia="ja-JP"/>
        </w:rPr>
      </w:pPr>
      <w:r>
        <w:rPr>
          <w:lang w:eastAsia="ja-JP"/>
        </w:rPr>
        <w:t xml:space="preserve">If </w:t>
      </w:r>
      <w:r w:rsidRPr="00E72A8C">
        <w:rPr>
          <w:i/>
          <w:lang w:eastAsia="ja-JP"/>
        </w:rPr>
        <w:t xml:space="preserve">dry </w:t>
      </w:r>
      <w:r w:rsidR="00FE212F">
        <w:rPr>
          <w:lang w:eastAsia="ja-JP"/>
        </w:rPr>
        <w:t xml:space="preserve">or </w:t>
      </w:r>
      <w:r w:rsidR="00FE212F" w:rsidRPr="00E72A8C">
        <w:rPr>
          <w:i/>
          <w:lang w:eastAsia="ja-JP"/>
        </w:rPr>
        <w:t>ex</w:t>
      </w:r>
      <w:r w:rsidR="00427DF4">
        <w:rPr>
          <w:i/>
          <w:lang w:eastAsia="ja-JP"/>
        </w:rPr>
        <w:t>treme</w:t>
      </w:r>
      <w:r w:rsidR="00FE212F" w:rsidRPr="00E72A8C">
        <w:rPr>
          <w:i/>
          <w:lang w:eastAsia="ja-JP"/>
        </w:rPr>
        <w:t xml:space="preserve"> dry </w:t>
      </w:r>
      <w:r>
        <w:rPr>
          <w:lang w:eastAsia="ja-JP"/>
        </w:rPr>
        <w:t xml:space="preserve">conditions </w:t>
      </w:r>
      <w:r w:rsidR="00FE212F">
        <w:rPr>
          <w:lang w:eastAsia="ja-JP"/>
        </w:rPr>
        <w:t xml:space="preserve">do </w:t>
      </w:r>
      <w:r>
        <w:rPr>
          <w:lang w:eastAsia="ja-JP"/>
        </w:rPr>
        <w:t>eventuate in 20</w:t>
      </w:r>
      <w:r w:rsidR="005B1E51">
        <w:rPr>
          <w:lang w:eastAsia="ja-JP"/>
        </w:rPr>
        <w:t>19–</w:t>
      </w:r>
      <w:r w:rsidR="00E72A8C">
        <w:rPr>
          <w:lang w:eastAsia="ja-JP"/>
        </w:rPr>
        <w:t>20</w:t>
      </w:r>
      <w:r>
        <w:rPr>
          <w:lang w:eastAsia="ja-JP"/>
        </w:rPr>
        <w:t xml:space="preserve"> </w:t>
      </w:r>
      <w:r w:rsidR="00BA4FE0">
        <w:rPr>
          <w:lang w:eastAsia="ja-JP"/>
        </w:rPr>
        <w:t xml:space="preserve">storage and </w:t>
      </w:r>
      <w:r w:rsidR="00E72A8C">
        <w:rPr>
          <w:lang w:eastAsia="ja-JP"/>
        </w:rPr>
        <w:t xml:space="preserve">carryover reserves would diminish and water supply into </w:t>
      </w:r>
      <w:r w:rsidR="00E31CFC">
        <w:rPr>
          <w:lang w:eastAsia="ja-JP"/>
        </w:rPr>
        <w:t>20</w:t>
      </w:r>
      <w:r w:rsidR="00E72A8C">
        <w:rPr>
          <w:lang w:eastAsia="ja-JP"/>
        </w:rPr>
        <w:t xml:space="preserve">20-21 could become extremely limited. In this situation higher water prices would be expected </w:t>
      </w:r>
      <w:r w:rsidR="00BA4FE0">
        <w:rPr>
          <w:lang w:eastAsia="ja-JP"/>
        </w:rPr>
        <w:t xml:space="preserve">prior to the beginning of the </w:t>
      </w:r>
      <w:r w:rsidR="00E31CFC">
        <w:rPr>
          <w:lang w:eastAsia="ja-JP"/>
        </w:rPr>
        <w:t>20</w:t>
      </w:r>
      <w:r w:rsidR="00BA4FE0">
        <w:rPr>
          <w:lang w:eastAsia="ja-JP"/>
        </w:rPr>
        <w:t xml:space="preserve">20-21 </w:t>
      </w:r>
      <w:r w:rsidR="00E72A8C">
        <w:rPr>
          <w:lang w:eastAsia="ja-JP"/>
        </w:rPr>
        <w:t xml:space="preserve">water year, </w:t>
      </w:r>
      <w:r w:rsidR="00BA4FE0">
        <w:rPr>
          <w:lang w:eastAsia="ja-JP"/>
        </w:rPr>
        <w:t>driven by demand for carryover</w:t>
      </w:r>
      <w:r w:rsidR="00E01726">
        <w:rPr>
          <w:lang w:eastAsia="ja-JP"/>
        </w:rPr>
        <w:t xml:space="preserve"> water</w:t>
      </w:r>
      <w:r w:rsidR="00E72A8C">
        <w:rPr>
          <w:lang w:eastAsia="ja-JP"/>
        </w:rPr>
        <w:t>.</w:t>
      </w:r>
    </w:p>
    <w:p w14:paraId="72F708B3" w14:textId="77777777" w:rsidR="0053623B" w:rsidRDefault="00694662">
      <w:pPr>
        <w:pStyle w:val="Heading2"/>
        <w:numPr>
          <w:ilvl w:val="0"/>
          <w:numId w:val="0"/>
        </w:numPr>
        <w:ind w:left="720" w:hanging="720"/>
      </w:pPr>
      <w:bookmarkStart w:id="4" w:name="_Toc14962332"/>
      <w:bookmarkEnd w:id="3"/>
      <w:r>
        <w:lastRenderedPageBreak/>
        <w:t>Recent</w:t>
      </w:r>
      <w:r w:rsidR="001340AE">
        <w:t xml:space="preserve"> water market conditions</w:t>
      </w:r>
      <w:bookmarkEnd w:id="4"/>
    </w:p>
    <w:p w14:paraId="0A15B324" w14:textId="77777777" w:rsidR="00A40C32" w:rsidRPr="00A40C32" w:rsidRDefault="00A40C32" w:rsidP="00A40C32">
      <w:pPr>
        <w:pStyle w:val="Heading4"/>
        <w:numPr>
          <w:ilvl w:val="0"/>
          <w:numId w:val="0"/>
        </w:numPr>
        <w:ind w:left="964" w:hanging="964"/>
        <w:rPr>
          <w:lang w:eastAsia="ja-JP"/>
        </w:rPr>
      </w:pPr>
      <w:r>
        <w:rPr>
          <w:lang w:eastAsia="ja-JP"/>
        </w:rPr>
        <w:t>Water markets in 20</w:t>
      </w:r>
      <w:r w:rsidR="005B1E51">
        <w:rPr>
          <w:lang w:eastAsia="ja-JP"/>
        </w:rPr>
        <w:t>18–</w:t>
      </w:r>
      <w:r>
        <w:rPr>
          <w:lang w:eastAsia="ja-JP"/>
        </w:rPr>
        <w:t>19</w:t>
      </w:r>
    </w:p>
    <w:p w14:paraId="7D862625" w14:textId="455A04F0" w:rsidR="00F17BCA" w:rsidRDefault="00373C9A" w:rsidP="000B0FD4">
      <w:pPr>
        <w:rPr>
          <w:lang w:eastAsia="ja-JP"/>
        </w:rPr>
      </w:pPr>
      <w:r w:rsidRPr="001531E5">
        <w:rPr>
          <w:lang w:eastAsia="ja-JP"/>
        </w:rPr>
        <w:t xml:space="preserve">Drought conditions in </w:t>
      </w:r>
      <w:r w:rsidR="0001178F">
        <w:rPr>
          <w:lang w:eastAsia="ja-JP"/>
        </w:rPr>
        <w:t>New South Wales</w:t>
      </w:r>
      <w:r>
        <w:rPr>
          <w:lang w:eastAsia="ja-JP"/>
        </w:rPr>
        <w:t xml:space="preserve"> have contributed to low supply and high prices for water allocatio</w:t>
      </w:r>
      <w:r w:rsidR="00F17BCA">
        <w:rPr>
          <w:lang w:eastAsia="ja-JP"/>
        </w:rPr>
        <w:t>ns in the s</w:t>
      </w:r>
      <w:r w:rsidR="00E31CFC">
        <w:rPr>
          <w:lang w:eastAsia="ja-JP"/>
        </w:rPr>
        <w:t xml:space="preserve">outhern </w:t>
      </w:r>
      <w:r w:rsidR="00F17BCA">
        <w:rPr>
          <w:lang w:eastAsia="ja-JP"/>
        </w:rPr>
        <w:t>MDB</w:t>
      </w:r>
      <w:r w:rsidR="00E31CFC">
        <w:rPr>
          <w:lang w:eastAsia="ja-JP"/>
        </w:rPr>
        <w:t xml:space="preserve"> (sMDB)</w:t>
      </w:r>
      <w:r w:rsidR="00F17BCA">
        <w:rPr>
          <w:lang w:eastAsia="ja-JP"/>
        </w:rPr>
        <w:t xml:space="preserve"> during 2018–19, particularly since January. While high security entitlements in Victoria received 100 per cent allocations in 20</w:t>
      </w:r>
      <w:r w:rsidR="005B1E51">
        <w:rPr>
          <w:lang w:eastAsia="ja-JP"/>
        </w:rPr>
        <w:t>18–</w:t>
      </w:r>
      <w:r w:rsidR="00F17BCA">
        <w:rPr>
          <w:lang w:eastAsia="ja-JP"/>
        </w:rPr>
        <w:t xml:space="preserve">19, general security entitlements in NSW </w:t>
      </w:r>
      <w:r w:rsidR="00756895">
        <w:rPr>
          <w:lang w:eastAsia="ja-JP"/>
        </w:rPr>
        <w:t xml:space="preserve">were significantly below average, at </w:t>
      </w:r>
      <w:r w:rsidR="00F17BCA">
        <w:rPr>
          <w:lang w:eastAsia="ja-JP"/>
        </w:rPr>
        <w:t xml:space="preserve">0 per cent in the </w:t>
      </w:r>
      <w:r w:rsidR="0001178F">
        <w:rPr>
          <w:lang w:eastAsia="ja-JP"/>
        </w:rPr>
        <w:t xml:space="preserve">New South Wales </w:t>
      </w:r>
      <w:r w:rsidR="00F17BCA">
        <w:rPr>
          <w:lang w:eastAsia="ja-JP"/>
        </w:rPr>
        <w:t>Murray and 7 per cent in the Murrumbidgee</w:t>
      </w:r>
      <w:r w:rsidR="00B956F8">
        <w:rPr>
          <w:lang w:eastAsia="ja-JP"/>
        </w:rPr>
        <w:t xml:space="preserve"> (Figure 1)</w:t>
      </w:r>
      <w:r w:rsidR="00F17BCA">
        <w:rPr>
          <w:lang w:eastAsia="ja-JP"/>
        </w:rPr>
        <w:t>.</w:t>
      </w:r>
    </w:p>
    <w:p w14:paraId="1E7250E1" w14:textId="77777777" w:rsidR="00B956F8" w:rsidRDefault="00B956F8" w:rsidP="00B956F8">
      <w:pPr>
        <w:pStyle w:val="Caption"/>
      </w:pPr>
      <w:bookmarkStart w:id="5" w:name="_Ref13129832"/>
      <w:bookmarkStart w:id="6" w:name="_Toc14962343"/>
      <w:r>
        <w:t xml:space="preserve">Figure </w:t>
      </w:r>
      <w:r>
        <w:rPr>
          <w:noProof/>
        </w:rPr>
        <w:fldChar w:fldCharType="begin"/>
      </w:r>
      <w:r>
        <w:rPr>
          <w:noProof/>
        </w:rPr>
        <w:instrText xml:space="preserve"> SEQ Figure \* ARABIC </w:instrText>
      </w:r>
      <w:r>
        <w:rPr>
          <w:noProof/>
        </w:rPr>
        <w:fldChar w:fldCharType="separate"/>
      </w:r>
      <w:r w:rsidR="00200004">
        <w:rPr>
          <w:noProof/>
        </w:rPr>
        <w:t>1</w:t>
      </w:r>
      <w:r>
        <w:rPr>
          <w:noProof/>
        </w:rPr>
        <w:fldChar w:fldCharType="end"/>
      </w:r>
      <w:bookmarkEnd w:id="5"/>
      <w:r>
        <w:t xml:space="preserve"> Water allocations in 20</w:t>
      </w:r>
      <w:r w:rsidR="005B1E51">
        <w:t>18–</w:t>
      </w:r>
      <w:r>
        <w:t>19 for major entitlements in the southern basin</w:t>
      </w:r>
      <w:bookmarkEnd w:id="6"/>
    </w:p>
    <w:p w14:paraId="22958FE5" w14:textId="6E82D089" w:rsidR="0028723C" w:rsidRDefault="00504EEA" w:rsidP="00A40C32">
      <w:r w:rsidRPr="00504EEA">
        <w:rPr>
          <w:noProof/>
          <w:lang w:eastAsia="en-AU"/>
        </w:rPr>
        <w:drawing>
          <wp:inline distT="0" distB="0" distL="0" distR="0" wp14:anchorId="42422A4C" wp14:editId="3F3FE6FD">
            <wp:extent cx="5615796" cy="261881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548" cy="2621026"/>
                    </a:xfrm>
                    <a:prstGeom prst="rect">
                      <a:avLst/>
                    </a:prstGeom>
                    <a:noFill/>
                    <a:ln>
                      <a:noFill/>
                    </a:ln>
                  </pic:spPr>
                </pic:pic>
              </a:graphicData>
            </a:graphic>
          </wp:inline>
        </w:drawing>
      </w:r>
    </w:p>
    <w:p w14:paraId="5EBE1AF5" w14:textId="299EF9C7" w:rsidR="00A40C32" w:rsidRDefault="00A40C32" w:rsidP="00A40C32">
      <w:pPr>
        <w:rPr>
          <w:lang w:eastAsia="ja-JP"/>
        </w:rPr>
      </w:pPr>
      <w:r>
        <w:rPr>
          <w:lang w:eastAsia="ja-JP"/>
        </w:rPr>
        <w:t>For the southern basin as a whole, 20</w:t>
      </w:r>
      <w:r w:rsidR="002908C8">
        <w:rPr>
          <w:lang w:eastAsia="ja-JP"/>
        </w:rPr>
        <w:t>18–19 has seen the lowest level of water available for irrigation</w:t>
      </w:r>
      <w:r>
        <w:rPr>
          <w:lang w:eastAsia="ja-JP"/>
        </w:rPr>
        <w:t xml:space="preserve"> since 2009–10 (taking into account allocations, carryover and water recovery volumes, see</w:t>
      </w:r>
      <w:r w:rsidR="00735714">
        <w:rPr>
          <w:lang w:eastAsia="ja-JP"/>
        </w:rPr>
        <w:t xml:space="preserve"> </w:t>
      </w:r>
      <w:r w:rsidR="00735714">
        <w:rPr>
          <w:lang w:eastAsia="ja-JP"/>
        </w:rPr>
        <w:fldChar w:fldCharType="begin"/>
      </w:r>
      <w:r w:rsidR="00735714">
        <w:rPr>
          <w:lang w:eastAsia="ja-JP"/>
        </w:rPr>
        <w:instrText xml:space="preserve"> REF _Ref13043738 \h </w:instrText>
      </w:r>
      <w:r w:rsidR="00735714">
        <w:rPr>
          <w:lang w:eastAsia="ja-JP"/>
        </w:rPr>
      </w:r>
      <w:r w:rsidR="00735714">
        <w:rPr>
          <w:lang w:eastAsia="ja-JP"/>
        </w:rPr>
        <w:fldChar w:fldCharType="separate"/>
      </w:r>
      <w:r w:rsidR="00200004">
        <w:t xml:space="preserve">Figure </w:t>
      </w:r>
      <w:r w:rsidR="00200004">
        <w:rPr>
          <w:noProof/>
        </w:rPr>
        <w:t>7</w:t>
      </w:r>
      <w:r w:rsidR="00735714">
        <w:rPr>
          <w:lang w:eastAsia="ja-JP"/>
        </w:rPr>
        <w:fldChar w:fldCharType="end"/>
      </w:r>
      <w:r w:rsidR="00AD5024">
        <w:rPr>
          <w:lang w:eastAsia="ja-JP"/>
        </w:rPr>
        <w:t>)</w:t>
      </w:r>
      <w:r>
        <w:rPr>
          <w:lang w:eastAsia="ja-JP"/>
        </w:rPr>
        <w:t>. While total storage volumes were higher in 20</w:t>
      </w:r>
      <w:r w:rsidR="005B1E51">
        <w:rPr>
          <w:lang w:eastAsia="ja-JP"/>
        </w:rPr>
        <w:t>18–</w:t>
      </w:r>
      <w:r>
        <w:rPr>
          <w:lang w:eastAsia="ja-JP"/>
        </w:rPr>
        <w:t xml:space="preserve">19 than 2015–16, allocations were lower, because a higher proportion of </w:t>
      </w:r>
      <w:r w:rsidR="002908C8">
        <w:rPr>
          <w:lang w:eastAsia="ja-JP"/>
        </w:rPr>
        <w:t>water was stored</w:t>
      </w:r>
      <w:r>
        <w:rPr>
          <w:lang w:eastAsia="ja-JP"/>
        </w:rPr>
        <w:t xml:space="preserve"> in Victoria where water sharing rules are more conservative (a smaller proportion of stored water is allocated).</w:t>
      </w:r>
    </w:p>
    <w:p w14:paraId="3E1D0FE2" w14:textId="6503F7F3" w:rsidR="00D60D12" w:rsidRDefault="00D60D12" w:rsidP="00D60D12">
      <w:pPr>
        <w:rPr>
          <w:lang w:eastAsia="ja-JP"/>
        </w:rPr>
      </w:pPr>
      <w:r>
        <w:rPr>
          <w:lang w:eastAsia="ja-JP"/>
        </w:rPr>
        <w:t xml:space="preserve">The disparity in water supply also created demand for water imports into </w:t>
      </w:r>
      <w:r w:rsidR="0001178F">
        <w:rPr>
          <w:lang w:eastAsia="ja-JP"/>
        </w:rPr>
        <w:t xml:space="preserve">New South Wales </w:t>
      </w:r>
      <w:r>
        <w:rPr>
          <w:lang w:eastAsia="ja-JP"/>
        </w:rPr>
        <w:t>in 20</w:t>
      </w:r>
      <w:r w:rsidR="005B1E51">
        <w:rPr>
          <w:lang w:eastAsia="ja-JP"/>
        </w:rPr>
        <w:t>18–</w:t>
      </w:r>
      <w:r>
        <w:rPr>
          <w:lang w:eastAsia="ja-JP"/>
        </w:rPr>
        <w:t xml:space="preserve">19. The Murrumbidgee IVT account remained near its lower limit for most of the year, constraining imports and leading to periods of higher prices in the Murrumbidgee relative to the Murray. </w:t>
      </w:r>
    </w:p>
    <w:p w14:paraId="7BF713A2" w14:textId="6B6D3418" w:rsidR="00373C9A" w:rsidRDefault="00E5002D" w:rsidP="000B0FD4">
      <w:pPr>
        <w:rPr>
          <w:lang w:eastAsia="ja-JP"/>
        </w:rPr>
      </w:pPr>
      <w:r>
        <w:rPr>
          <w:lang w:eastAsia="ja-JP"/>
        </w:rPr>
        <w:t>Initial allocation forecasts for 20</w:t>
      </w:r>
      <w:r w:rsidR="005B1E51">
        <w:rPr>
          <w:lang w:eastAsia="ja-JP"/>
        </w:rPr>
        <w:t>19–</w:t>
      </w:r>
      <w:r>
        <w:rPr>
          <w:lang w:eastAsia="ja-JP"/>
        </w:rPr>
        <w:t xml:space="preserve">20 from state water agencies were </w:t>
      </w:r>
      <w:r w:rsidR="00F17BCA">
        <w:rPr>
          <w:lang w:eastAsia="ja-JP"/>
        </w:rPr>
        <w:t xml:space="preserve">also </w:t>
      </w:r>
      <w:r w:rsidR="00BA4FE0">
        <w:rPr>
          <w:lang w:eastAsia="ja-JP"/>
        </w:rPr>
        <w:t>relatively low</w:t>
      </w:r>
      <w:r>
        <w:rPr>
          <w:lang w:eastAsia="ja-JP"/>
        </w:rPr>
        <w:t>, further driv</w:t>
      </w:r>
      <w:r w:rsidR="00E31CFC">
        <w:rPr>
          <w:lang w:eastAsia="ja-JP"/>
        </w:rPr>
        <w:t>ing up prices towards the end</w:t>
      </w:r>
      <w:r w:rsidR="00BA4FE0">
        <w:rPr>
          <w:lang w:eastAsia="ja-JP"/>
        </w:rPr>
        <w:t xml:space="preserve"> of the water year</w:t>
      </w:r>
      <w:r w:rsidR="004D752E">
        <w:rPr>
          <w:lang w:eastAsia="ja-JP"/>
        </w:rPr>
        <w:t>.</w:t>
      </w:r>
      <w:r w:rsidR="00F17BCA" w:rsidRPr="006479A3">
        <w:rPr>
          <w:lang w:eastAsia="ja-JP"/>
        </w:rPr>
        <w:t xml:space="preserve"> Water markets in the southern basin closed the 20</w:t>
      </w:r>
      <w:r w:rsidR="005B1E51">
        <w:rPr>
          <w:lang w:eastAsia="ja-JP"/>
        </w:rPr>
        <w:t>18–</w:t>
      </w:r>
      <w:r w:rsidR="00F17BCA" w:rsidRPr="006479A3">
        <w:rPr>
          <w:lang w:eastAsia="ja-JP"/>
        </w:rPr>
        <w:t xml:space="preserve">19 water year </w:t>
      </w:r>
      <w:r w:rsidR="004D752E">
        <w:rPr>
          <w:lang w:eastAsia="ja-JP"/>
        </w:rPr>
        <w:t xml:space="preserve">at a </w:t>
      </w:r>
      <w:r w:rsidR="002D1215" w:rsidRPr="006479A3">
        <w:rPr>
          <w:lang w:eastAsia="ja-JP"/>
        </w:rPr>
        <w:t xml:space="preserve">price of </w:t>
      </w:r>
      <w:r w:rsidR="004D752E">
        <w:rPr>
          <w:lang w:eastAsia="ja-JP"/>
        </w:rPr>
        <w:t xml:space="preserve">around </w:t>
      </w:r>
      <w:r w:rsidR="002D1215" w:rsidRPr="006479A3">
        <w:rPr>
          <w:lang w:eastAsia="ja-JP"/>
        </w:rPr>
        <w:t>$548</w:t>
      </w:r>
      <w:r w:rsidR="00ED51D2">
        <w:rPr>
          <w:lang w:eastAsia="ja-JP"/>
        </w:rPr>
        <w:t xml:space="preserve"> per </w:t>
      </w:r>
      <w:r w:rsidR="00F17BCA" w:rsidRPr="006479A3">
        <w:rPr>
          <w:lang w:eastAsia="ja-JP"/>
        </w:rPr>
        <w:t>ML</w:t>
      </w:r>
      <w:r w:rsidR="0031779C" w:rsidRPr="006479A3">
        <w:rPr>
          <w:lang w:eastAsia="ja-JP"/>
        </w:rPr>
        <w:t>.</w:t>
      </w:r>
    </w:p>
    <w:p w14:paraId="50B93971" w14:textId="26C4A4FA" w:rsidR="00A40C32" w:rsidRDefault="00A40C32" w:rsidP="00A40C32">
      <w:pPr>
        <w:rPr>
          <w:lang w:eastAsia="ja-JP"/>
        </w:rPr>
      </w:pPr>
      <w:r>
        <w:rPr>
          <w:lang w:eastAsia="ja-JP"/>
        </w:rPr>
        <w:t xml:space="preserve">ABARES </w:t>
      </w:r>
      <w:r w:rsidR="00BA4FE0">
        <w:rPr>
          <w:lang w:eastAsia="ja-JP"/>
        </w:rPr>
        <w:t>modelling results suggest</w:t>
      </w:r>
      <w:r>
        <w:rPr>
          <w:lang w:eastAsia="ja-JP"/>
        </w:rPr>
        <w:t xml:space="preserve"> that a combination of low supply and high </w:t>
      </w:r>
      <w:r w:rsidR="00E31CFC">
        <w:rPr>
          <w:lang w:eastAsia="ja-JP"/>
        </w:rPr>
        <w:t>irrigation water requirements</w:t>
      </w:r>
      <w:r w:rsidR="00E31CFC">
        <w:rPr>
          <w:lang w:eastAsia="ja-JP"/>
        </w:rPr>
        <w:sym w:font="Symbol" w:char="F0BE"/>
      </w:r>
      <w:r>
        <w:rPr>
          <w:lang w:eastAsia="ja-JP"/>
        </w:rPr>
        <w:t>due to low rainfall and high temperatures</w:t>
      </w:r>
      <w:r w:rsidR="00E31CFC">
        <w:rPr>
          <w:lang w:eastAsia="ja-JP"/>
        </w:rPr>
        <w:sym w:font="Symbol" w:char="F0BE"/>
      </w:r>
      <w:r>
        <w:rPr>
          <w:lang w:eastAsia="ja-JP"/>
        </w:rPr>
        <w:t xml:space="preserve">can explain </w:t>
      </w:r>
      <w:r w:rsidR="00BA4FE0">
        <w:rPr>
          <w:lang w:eastAsia="ja-JP"/>
        </w:rPr>
        <w:t>much of</w:t>
      </w:r>
      <w:r>
        <w:rPr>
          <w:lang w:eastAsia="ja-JP"/>
        </w:rPr>
        <w:t xml:space="preserve"> </w:t>
      </w:r>
      <w:r w:rsidR="00E31CFC">
        <w:rPr>
          <w:lang w:eastAsia="ja-JP"/>
        </w:rPr>
        <w:t xml:space="preserve">the </w:t>
      </w:r>
      <w:r>
        <w:rPr>
          <w:lang w:eastAsia="ja-JP"/>
        </w:rPr>
        <w:t xml:space="preserve">observed increase in prices in 2018–19. </w:t>
      </w:r>
      <w:r w:rsidR="00BA4FE0">
        <w:rPr>
          <w:lang w:eastAsia="ja-JP"/>
        </w:rPr>
        <w:t>G</w:t>
      </w:r>
      <w:r>
        <w:rPr>
          <w:lang w:eastAsia="ja-JP"/>
        </w:rPr>
        <w:t xml:space="preserve">rowth in water demand also appears to have occurred in recent years (likely </w:t>
      </w:r>
      <w:r w:rsidR="00756895">
        <w:rPr>
          <w:lang w:eastAsia="ja-JP"/>
        </w:rPr>
        <w:t xml:space="preserve">in part </w:t>
      </w:r>
      <w:r>
        <w:rPr>
          <w:lang w:eastAsia="ja-JP"/>
        </w:rPr>
        <w:t xml:space="preserve">due to </w:t>
      </w:r>
      <w:r w:rsidR="00BA4FE0">
        <w:rPr>
          <w:lang w:eastAsia="ja-JP"/>
        </w:rPr>
        <w:t xml:space="preserve">maturing </w:t>
      </w:r>
      <w:r>
        <w:rPr>
          <w:lang w:eastAsia="ja-JP"/>
        </w:rPr>
        <w:t>almond plantations)</w:t>
      </w:r>
      <w:r w:rsidR="00BA4FE0">
        <w:rPr>
          <w:lang w:eastAsia="ja-JP"/>
        </w:rPr>
        <w:t xml:space="preserve"> and this has also contributed to higher prices</w:t>
      </w:r>
      <w:r>
        <w:rPr>
          <w:lang w:eastAsia="ja-JP"/>
        </w:rPr>
        <w:t xml:space="preserve">. </w:t>
      </w:r>
    </w:p>
    <w:p w14:paraId="6CDD8D2C" w14:textId="77777777" w:rsidR="0089564C" w:rsidRDefault="0089564C" w:rsidP="002D731A">
      <w:pPr>
        <w:pStyle w:val="Caption"/>
        <w:rPr>
          <w:lang w:eastAsia="ja-JP"/>
        </w:rPr>
      </w:pPr>
      <w:bookmarkStart w:id="7" w:name="_Ref12885306"/>
      <w:bookmarkStart w:id="8" w:name="_Toc14962344"/>
      <w:r w:rsidRPr="00BA4FE0">
        <w:lastRenderedPageBreak/>
        <w:t xml:space="preserve">Figure </w:t>
      </w:r>
      <w:r w:rsidRPr="00BA4FE0">
        <w:rPr>
          <w:noProof/>
        </w:rPr>
        <w:fldChar w:fldCharType="begin"/>
      </w:r>
      <w:r w:rsidRPr="00BA4FE0">
        <w:rPr>
          <w:noProof/>
        </w:rPr>
        <w:instrText xml:space="preserve"> SEQ Figure \* ARABIC </w:instrText>
      </w:r>
      <w:r w:rsidRPr="00BA4FE0">
        <w:rPr>
          <w:noProof/>
        </w:rPr>
        <w:fldChar w:fldCharType="separate"/>
      </w:r>
      <w:r w:rsidR="00200004">
        <w:rPr>
          <w:noProof/>
        </w:rPr>
        <w:t>2</w:t>
      </w:r>
      <w:r w:rsidRPr="00BA4FE0">
        <w:rPr>
          <w:noProof/>
        </w:rPr>
        <w:fldChar w:fldCharType="end"/>
      </w:r>
      <w:bookmarkEnd w:id="7"/>
      <w:r w:rsidRPr="00BA4FE0">
        <w:t xml:space="preserve"> </w:t>
      </w:r>
      <w:r w:rsidR="003A0F57" w:rsidRPr="00BA4FE0">
        <w:t>Allocation prices and storage</w:t>
      </w:r>
      <w:r w:rsidR="003A0F57">
        <w:t xml:space="preserve"> volumes in the southern Murray-Darling Basin</w:t>
      </w:r>
      <w:bookmarkEnd w:id="8"/>
      <w:r w:rsidR="00212402">
        <w:rPr>
          <w:lang w:eastAsia="ja-JP"/>
        </w:rPr>
        <w:t xml:space="preserve"> </w:t>
      </w:r>
      <w:r w:rsidR="00291E67" w:rsidRPr="00291E67">
        <w:rPr>
          <w:lang w:eastAsia="ja-JP"/>
        </w:rPr>
        <w:t xml:space="preserve"> </w:t>
      </w:r>
    </w:p>
    <w:p w14:paraId="0A7DCB1F" w14:textId="0BA6A54C" w:rsidR="00590A01" w:rsidRPr="00590A01" w:rsidRDefault="004E6551" w:rsidP="00590A01">
      <w:pPr>
        <w:rPr>
          <w:lang w:eastAsia="ja-JP"/>
        </w:rPr>
      </w:pPr>
      <w:r w:rsidRPr="004E6551">
        <w:rPr>
          <w:noProof/>
          <w:lang w:eastAsia="en-AU"/>
        </w:rPr>
        <w:drawing>
          <wp:inline distT="0" distB="0" distL="0" distR="0" wp14:anchorId="5B639D6B" wp14:editId="5BCB26BA">
            <wp:extent cx="5574295" cy="34236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72"/>
                    <a:stretch/>
                  </pic:blipFill>
                  <pic:spPr bwMode="auto">
                    <a:xfrm>
                      <a:off x="0" y="0"/>
                      <a:ext cx="5574295" cy="3423600"/>
                    </a:xfrm>
                    <a:prstGeom prst="rect">
                      <a:avLst/>
                    </a:prstGeom>
                    <a:noFill/>
                    <a:ln>
                      <a:noFill/>
                    </a:ln>
                    <a:extLst>
                      <a:ext uri="{53640926-AAD7-44D8-BBD7-CCE9431645EC}">
                        <a14:shadowObscured xmlns:a14="http://schemas.microsoft.com/office/drawing/2010/main"/>
                      </a:ext>
                    </a:extLst>
                  </pic:spPr>
                </pic:pic>
              </a:graphicData>
            </a:graphic>
          </wp:inline>
        </w:drawing>
      </w:r>
    </w:p>
    <w:p w14:paraId="16E61ABD" w14:textId="64866D5A" w:rsidR="00B2001D" w:rsidRDefault="00B2001D" w:rsidP="00B2001D">
      <w:pPr>
        <w:pStyle w:val="Normalsmall"/>
        <w:rPr>
          <w:lang w:eastAsia="ja-JP"/>
        </w:rPr>
      </w:pPr>
      <w:r w:rsidRPr="001008B9">
        <w:rPr>
          <w:b/>
          <w:lang w:eastAsia="ja-JP"/>
        </w:rPr>
        <w:t>Source:</w:t>
      </w:r>
      <w:r>
        <w:rPr>
          <w:b/>
          <w:lang w:eastAsia="ja-JP"/>
        </w:rPr>
        <w:t xml:space="preserve"> </w:t>
      </w:r>
      <w:r>
        <w:rPr>
          <w:lang w:eastAsia="ja-JP"/>
        </w:rPr>
        <w:t xml:space="preserve">BOM, </w:t>
      </w:r>
      <w:r w:rsidRPr="00AA69DB">
        <w:t>GMW</w:t>
      </w:r>
      <w:r>
        <w:t xml:space="preserve">, </w:t>
      </w:r>
      <w:r w:rsidRPr="00AA69DB">
        <w:t>SAWater</w:t>
      </w:r>
      <w:r>
        <w:t xml:space="preserve">, </w:t>
      </w:r>
      <w:r w:rsidRPr="00AA69DB">
        <w:t>WaterNSW</w:t>
      </w:r>
      <w:r w:rsidR="00A046BF">
        <w:t>. Current allocation price as indicated on RuralCo Water.</w:t>
      </w:r>
      <w:r>
        <w:br/>
      </w:r>
      <w:r w:rsidRPr="0051488C">
        <w:rPr>
          <w:b/>
          <w:lang w:eastAsia="ja-JP"/>
        </w:rPr>
        <w:t>Note:</w:t>
      </w:r>
      <w:r>
        <w:rPr>
          <w:b/>
          <w:lang w:eastAsia="ja-JP"/>
        </w:rPr>
        <w:t xml:space="preserve"> </w:t>
      </w:r>
      <w:r w:rsidRPr="004B1453">
        <w:rPr>
          <w:lang w:eastAsia="ja-JP"/>
        </w:rPr>
        <w:t>Water</w:t>
      </w:r>
      <w:r>
        <w:rPr>
          <w:b/>
          <w:lang w:eastAsia="ja-JP"/>
        </w:rPr>
        <w:t xml:space="preserve"> </w:t>
      </w:r>
      <w:r>
        <w:rPr>
          <w:lang w:eastAsia="ja-JP"/>
        </w:rPr>
        <w:t xml:space="preserve">prices in 2019 dollar terms. </w:t>
      </w:r>
      <w:r w:rsidRPr="0051488C">
        <w:rPr>
          <w:lang w:eastAsia="ja-JP"/>
        </w:rPr>
        <w:t>Storages include; Dartmouth, Hume, Yarrawonga Weir, Lake Victoria, Menindee Lakes, Blowering, Burrinjuck, Lake Elidon, Lake Eppalock, Cairn Curran, Laanecoorie. Warranga Basin is excluded due to lack of data</w:t>
      </w:r>
      <w:r>
        <w:rPr>
          <w:lang w:eastAsia="ja-JP"/>
        </w:rPr>
        <w:t>.</w:t>
      </w:r>
    </w:p>
    <w:p w14:paraId="520744E5" w14:textId="77777777" w:rsidR="004D752E" w:rsidRPr="00A40C32" w:rsidRDefault="004D752E" w:rsidP="004D752E">
      <w:pPr>
        <w:pStyle w:val="Heading4"/>
        <w:numPr>
          <w:ilvl w:val="0"/>
          <w:numId w:val="0"/>
        </w:numPr>
        <w:ind w:left="964" w:hanging="964"/>
        <w:rPr>
          <w:lang w:eastAsia="ja-JP"/>
        </w:rPr>
      </w:pPr>
      <w:r>
        <w:rPr>
          <w:lang w:eastAsia="ja-JP"/>
        </w:rPr>
        <w:t>Water markets in 2019-20</w:t>
      </w:r>
    </w:p>
    <w:p w14:paraId="7BEAE266" w14:textId="373F9FC5" w:rsidR="004D752E" w:rsidRDefault="004D752E" w:rsidP="00C45B7D">
      <w:pPr>
        <w:pStyle w:val="Normalsmall"/>
        <w:rPr>
          <w:lang w:eastAsia="ja-JP"/>
        </w:rPr>
      </w:pPr>
      <w:r w:rsidRPr="004D752E">
        <w:rPr>
          <w:sz w:val="22"/>
          <w:szCs w:val="22"/>
          <w:lang w:eastAsia="ja-JP"/>
        </w:rPr>
        <w:t>Opening water allocations for major entitlement types in 2019-20 are shown in Figure 3. As expected opening allocation</w:t>
      </w:r>
      <w:r w:rsidR="00E97C63">
        <w:rPr>
          <w:sz w:val="22"/>
          <w:szCs w:val="22"/>
          <w:lang w:eastAsia="ja-JP"/>
        </w:rPr>
        <w:t>s are below average, with just 6</w:t>
      </w:r>
      <w:r w:rsidRPr="004D752E">
        <w:rPr>
          <w:sz w:val="22"/>
          <w:szCs w:val="22"/>
          <w:lang w:eastAsia="ja-JP"/>
        </w:rPr>
        <w:t xml:space="preserve">% opening allocation for Victorian High Reliability </w:t>
      </w:r>
      <w:r w:rsidR="00E97C63">
        <w:rPr>
          <w:sz w:val="22"/>
          <w:szCs w:val="22"/>
          <w:lang w:eastAsia="ja-JP"/>
        </w:rPr>
        <w:t xml:space="preserve">(in the Murray) </w:t>
      </w:r>
      <w:r w:rsidRPr="004D752E">
        <w:rPr>
          <w:sz w:val="22"/>
          <w:szCs w:val="22"/>
          <w:lang w:eastAsia="ja-JP"/>
        </w:rPr>
        <w:t xml:space="preserve">and 0% for </w:t>
      </w:r>
      <w:r w:rsidR="0001178F">
        <w:rPr>
          <w:sz w:val="22"/>
          <w:szCs w:val="22"/>
          <w:lang w:eastAsia="ja-JP"/>
        </w:rPr>
        <w:t xml:space="preserve">New South Wales </w:t>
      </w:r>
      <w:r w:rsidRPr="004D752E">
        <w:rPr>
          <w:sz w:val="22"/>
          <w:szCs w:val="22"/>
          <w:lang w:eastAsia="ja-JP"/>
        </w:rPr>
        <w:t>General Security</w:t>
      </w:r>
      <w:r w:rsidR="00694662">
        <w:rPr>
          <w:sz w:val="22"/>
          <w:szCs w:val="22"/>
          <w:lang w:eastAsia="ja-JP"/>
        </w:rPr>
        <w:t xml:space="preserve"> </w:t>
      </w:r>
      <w:r w:rsidR="00694662" w:rsidRPr="004D752E">
        <w:rPr>
          <w:sz w:val="22"/>
          <w:szCs w:val="22"/>
          <w:lang w:eastAsia="ja-JP"/>
        </w:rPr>
        <w:t>(Figure 3)</w:t>
      </w:r>
      <w:r w:rsidRPr="004D752E">
        <w:rPr>
          <w:sz w:val="22"/>
          <w:szCs w:val="22"/>
          <w:lang w:eastAsia="ja-JP"/>
        </w:rPr>
        <w:t xml:space="preserve">. However, current water availability is much higher </w:t>
      </w:r>
      <w:r w:rsidR="00756895">
        <w:rPr>
          <w:sz w:val="22"/>
          <w:szCs w:val="22"/>
          <w:lang w:eastAsia="ja-JP"/>
        </w:rPr>
        <w:t xml:space="preserve">than these allocation levels, </w:t>
      </w:r>
      <w:r w:rsidR="00AF24A3">
        <w:rPr>
          <w:sz w:val="22"/>
          <w:szCs w:val="22"/>
          <w:lang w:eastAsia="ja-JP"/>
        </w:rPr>
        <w:t xml:space="preserve">after </w:t>
      </w:r>
      <w:r>
        <w:rPr>
          <w:sz w:val="22"/>
          <w:szCs w:val="22"/>
          <w:lang w:eastAsia="ja-JP"/>
        </w:rPr>
        <w:t>taking</w:t>
      </w:r>
      <w:r w:rsidRPr="004D752E">
        <w:rPr>
          <w:sz w:val="22"/>
          <w:szCs w:val="22"/>
          <w:lang w:eastAsia="ja-JP"/>
        </w:rPr>
        <w:t xml:space="preserve"> into account carryover </w:t>
      </w:r>
      <w:r w:rsidR="00AF24A3">
        <w:rPr>
          <w:sz w:val="22"/>
          <w:szCs w:val="22"/>
          <w:lang w:eastAsia="ja-JP"/>
        </w:rPr>
        <w:t>from 2018-19</w:t>
      </w:r>
      <w:r w:rsidRPr="004D752E">
        <w:rPr>
          <w:sz w:val="22"/>
          <w:szCs w:val="22"/>
          <w:lang w:eastAsia="ja-JP"/>
        </w:rPr>
        <w:t>.</w:t>
      </w:r>
      <w:r>
        <w:rPr>
          <w:lang w:eastAsia="ja-JP"/>
        </w:rPr>
        <w:t xml:space="preserve"> </w:t>
      </w:r>
      <w:r w:rsidRPr="00C45B7D">
        <w:rPr>
          <w:sz w:val="22"/>
          <w:szCs w:val="22"/>
          <w:lang w:eastAsia="ja-JP"/>
        </w:rPr>
        <w:t xml:space="preserve">In the first two weeks of July, water allocations were trading </w:t>
      </w:r>
      <w:r w:rsidRPr="00BA4FE0">
        <w:rPr>
          <w:sz w:val="22"/>
          <w:szCs w:val="22"/>
          <w:lang w:eastAsia="ja-JP"/>
        </w:rPr>
        <w:t>around $</w:t>
      </w:r>
      <w:r w:rsidR="003A0F57" w:rsidRPr="00BA4FE0">
        <w:rPr>
          <w:sz w:val="22"/>
          <w:szCs w:val="22"/>
          <w:lang w:eastAsia="ja-JP"/>
        </w:rPr>
        <w:t xml:space="preserve">620 per </w:t>
      </w:r>
      <w:r w:rsidRPr="00BA4FE0">
        <w:rPr>
          <w:sz w:val="22"/>
          <w:szCs w:val="22"/>
          <w:lang w:eastAsia="ja-JP"/>
        </w:rPr>
        <w:t>ML</w:t>
      </w:r>
      <w:r w:rsidRPr="00C45B7D">
        <w:rPr>
          <w:sz w:val="22"/>
          <w:szCs w:val="22"/>
          <w:lang w:eastAsia="ja-JP"/>
        </w:rPr>
        <w:t xml:space="preserve"> in the Murray and the Murrumbidgee</w:t>
      </w:r>
      <w:r w:rsidRPr="004D752E">
        <w:rPr>
          <w:sz w:val="22"/>
          <w:szCs w:val="22"/>
          <w:lang w:eastAsia="ja-JP"/>
        </w:rPr>
        <w:t>.</w:t>
      </w:r>
    </w:p>
    <w:p w14:paraId="7CFC61C1" w14:textId="77777777" w:rsidR="004D752E" w:rsidRDefault="004D752E" w:rsidP="004D752E">
      <w:pPr>
        <w:pStyle w:val="Caption"/>
      </w:pPr>
      <w:bookmarkStart w:id="9" w:name="_Ref13675732"/>
      <w:bookmarkStart w:id="10" w:name="_Toc14962345"/>
      <w:r>
        <w:t xml:space="preserve">Figure </w:t>
      </w:r>
      <w:r>
        <w:rPr>
          <w:noProof/>
        </w:rPr>
        <w:fldChar w:fldCharType="begin"/>
      </w:r>
      <w:r>
        <w:rPr>
          <w:noProof/>
        </w:rPr>
        <w:instrText xml:space="preserve"> SEQ Figure \* ARABIC </w:instrText>
      </w:r>
      <w:r>
        <w:rPr>
          <w:noProof/>
        </w:rPr>
        <w:fldChar w:fldCharType="separate"/>
      </w:r>
      <w:r w:rsidR="00200004">
        <w:rPr>
          <w:noProof/>
        </w:rPr>
        <w:t>3</w:t>
      </w:r>
      <w:r>
        <w:rPr>
          <w:noProof/>
        </w:rPr>
        <w:fldChar w:fldCharType="end"/>
      </w:r>
      <w:bookmarkEnd w:id="9"/>
      <w:r>
        <w:t xml:space="preserve"> </w:t>
      </w:r>
      <w:r w:rsidRPr="008155D7">
        <w:t xml:space="preserve">Opening water allocations </w:t>
      </w:r>
      <w:r w:rsidR="00AF64AF">
        <w:t>in</w:t>
      </w:r>
      <w:r w:rsidRPr="008155D7">
        <w:t xml:space="preserve"> 2019-20</w:t>
      </w:r>
      <w:r w:rsidR="00AF64AF">
        <w:t xml:space="preserve"> for major entitlements</w:t>
      </w:r>
      <w:bookmarkEnd w:id="10"/>
    </w:p>
    <w:p w14:paraId="0806CFD5" w14:textId="74B6269D" w:rsidR="004D752E" w:rsidRPr="00F2368F" w:rsidRDefault="00A046BF" w:rsidP="00E97C63">
      <w:pPr>
        <w:pStyle w:val="FigureTableNoteSource"/>
      </w:pPr>
      <w:r w:rsidRPr="00A046BF">
        <w:rPr>
          <w:noProof/>
          <w:lang w:eastAsia="en-AU"/>
        </w:rPr>
        <w:drawing>
          <wp:inline distT="0" distB="0" distL="0" distR="0" wp14:anchorId="1A427D33" wp14:editId="28C43BCD">
            <wp:extent cx="5512279" cy="2479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17" b="2235"/>
                    <a:stretch/>
                  </pic:blipFill>
                  <pic:spPr bwMode="auto">
                    <a:xfrm>
                      <a:off x="0" y="0"/>
                      <a:ext cx="5569040" cy="2504840"/>
                    </a:xfrm>
                    <a:prstGeom prst="rect">
                      <a:avLst/>
                    </a:prstGeom>
                    <a:noFill/>
                    <a:ln>
                      <a:noFill/>
                    </a:ln>
                    <a:extLst>
                      <a:ext uri="{53640926-AAD7-44D8-BBD7-CCE9431645EC}">
                        <a14:shadowObscured xmlns:a14="http://schemas.microsoft.com/office/drawing/2010/main"/>
                      </a:ext>
                    </a:extLst>
                  </pic:spPr>
                </pic:pic>
              </a:graphicData>
            </a:graphic>
          </wp:inline>
        </w:drawing>
      </w:r>
      <w:r w:rsidR="00E97C63">
        <w:br/>
      </w:r>
      <w:r w:rsidR="00F2368F" w:rsidRPr="00F2368F">
        <w:rPr>
          <w:b/>
        </w:rPr>
        <w:t xml:space="preserve">Source: </w:t>
      </w:r>
      <w:r w:rsidR="00F2368F" w:rsidRPr="00F2368F">
        <w:t>SA DEW, NSW DPI, NVRM</w:t>
      </w:r>
    </w:p>
    <w:p w14:paraId="085FC1AD" w14:textId="560B8EF6" w:rsidR="00A40C32" w:rsidRDefault="004D752E" w:rsidP="00A40C32">
      <w:pPr>
        <w:pStyle w:val="Heading4"/>
        <w:numPr>
          <w:ilvl w:val="0"/>
          <w:numId w:val="0"/>
        </w:numPr>
        <w:ind w:left="964" w:hanging="964"/>
        <w:rPr>
          <w:lang w:eastAsia="ja-JP"/>
        </w:rPr>
      </w:pPr>
      <w:r>
        <w:rPr>
          <w:lang w:eastAsia="ja-JP"/>
        </w:rPr>
        <w:lastRenderedPageBreak/>
        <w:t xml:space="preserve">Seasonal </w:t>
      </w:r>
      <w:r w:rsidR="00AF2FA7">
        <w:rPr>
          <w:lang w:eastAsia="ja-JP"/>
        </w:rPr>
        <w:t>climate</w:t>
      </w:r>
      <w:r>
        <w:rPr>
          <w:lang w:eastAsia="ja-JP"/>
        </w:rPr>
        <w:t xml:space="preserve"> outlook</w:t>
      </w:r>
    </w:p>
    <w:p w14:paraId="5C95AC2A" w14:textId="37BA27F4" w:rsidR="005E0CE8" w:rsidRDefault="004D752E" w:rsidP="000B0FD4">
      <w:pPr>
        <w:rPr>
          <w:lang w:eastAsia="ja-JP"/>
        </w:rPr>
      </w:pPr>
      <w:r>
        <w:rPr>
          <w:lang w:eastAsia="ja-JP"/>
        </w:rPr>
        <w:t>W</w:t>
      </w:r>
      <w:r w:rsidR="00B956F8">
        <w:rPr>
          <w:lang w:eastAsia="ja-JP"/>
        </w:rPr>
        <w:t>inter rains towards the end of 20</w:t>
      </w:r>
      <w:r w:rsidR="005B1E51">
        <w:rPr>
          <w:lang w:eastAsia="ja-JP"/>
        </w:rPr>
        <w:t>18–</w:t>
      </w:r>
      <w:r w:rsidR="00B956F8">
        <w:rPr>
          <w:lang w:eastAsia="ja-JP"/>
        </w:rPr>
        <w:t>19 have helped impro</w:t>
      </w:r>
      <w:r w:rsidR="005E0CE8">
        <w:rPr>
          <w:lang w:eastAsia="ja-JP"/>
        </w:rPr>
        <w:t xml:space="preserve">ve conditions across the southern basin, </w:t>
      </w:r>
      <w:r>
        <w:rPr>
          <w:lang w:eastAsia="ja-JP"/>
        </w:rPr>
        <w:t xml:space="preserve">leading to some </w:t>
      </w:r>
      <w:r w:rsidR="00B956F8">
        <w:rPr>
          <w:lang w:eastAsia="ja-JP"/>
        </w:rPr>
        <w:t xml:space="preserve">slight increases in storage </w:t>
      </w:r>
      <w:r w:rsidR="005E0CE8">
        <w:rPr>
          <w:lang w:eastAsia="ja-JP"/>
        </w:rPr>
        <w:t>levels</w:t>
      </w:r>
      <w:r>
        <w:rPr>
          <w:lang w:eastAsia="ja-JP"/>
        </w:rPr>
        <w:t>.</w:t>
      </w:r>
      <w:r w:rsidR="005E0CE8">
        <w:rPr>
          <w:lang w:eastAsia="ja-JP"/>
        </w:rPr>
        <w:t xml:space="preserve"> Nevertheless, </w:t>
      </w:r>
      <w:r w:rsidR="00B956F8">
        <w:rPr>
          <w:lang w:eastAsia="ja-JP"/>
        </w:rPr>
        <w:t>the BOM seasonal outlook for July to September (</w:t>
      </w:r>
      <w:r w:rsidR="006479A3">
        <w:rPr>
          <w:lang w:eastAsia="ja-JP"/>
        </w:rPr>
        <w:t>BOM 2019a</w:t>
      </w:r>
      <w:r w:rsidR="00B956F8">
        <w:rPr>
          <w:lang w:eastAsia="ja-JP"/>
        </w:rPr>
        <w:t xml:space="preserve">) suggests less than average rainfall </w:t>
      </w:r>
      <w:r>
        <w:rPr>
          <w:lang w:eastAsia="ja-JP"/>
        </w:rPr>
        <w:t xml:space="preserve">is likely </w:t>
      </w:r>
      <w:r w:rsidR="00B956F8">
        <w:rPr>
          <w:lang w:eastAsia="ja-JP"/>
        </w:rPr>
        <w:t xml:space="preserve">for </w:t>
      </w:r>
      <w:r>
        <w:rPr>
          <w:lang w:eastAsia="ja-JP"/>
        </w:rPr>
        <w:t xml:space="preserve">much </w:t>
      </w:r>
      <w:r w:rsidR="00B956F8">
        <w:rPr>
          <w:lang w:eastAsia="ja-JP"/>
        </w:rPr>
        <w:t>of the southern basin</w:t>
      </w:r>
      <w:r>
        <w:rPr>
          <w:lang w:eastAsia="ja-JP"/>
        </w:rPr>
        <w:t xml:space="preserve"> in winter and autumn,</w:t>
      </w:r>
      <w:r w:rsidR="00D24511">
        <w:rPr>
          <w:lang w:eastAsia="ja-JP"/>
        </w:rPr>
        <w:t xml:space="preserve"> </w:t>
      </w:r>
      <w:r>
        <w:rPr>
          <w:lang w:eastAsia="ja-JP"/>
        </w:rPr>
        <w:t>driven by a neutral ENSO phase and a positive Indian Ocean Dipole (IOD)</w:t>
      </w:r>
      <w:r w:rsidR="00AF24A3">
        <w:rPr>
          <w:lang w:eastAsia="ja-JP"/>
        </w:rPr>
        <w:t xml:space="preserve"> (Figure </w:t>
      </w:r>
      <w:r w:rsidR="00E01726">
        <w:rPr>
          <w:lang w:eastAsia="ja-JP"/>
        </w:rPr>
        <w:t>4</w:t>
      </w:r>
      <w:r w:rsidR="00E97C63">
        <w:rPr>
          <w:lang w:eastAsia="ja-JP"/>
        </w:rPr>
        <w:t>)</w:t>
      </w:r>
      <w:r>
        <w:rPr>
          <w:lang w:eastAsia="ja-JP"/>
        </w:rPr>
        <w:t xml:space="preserve">. </w:t>
      </w:r>
      <w:r w:rsidR="00D24511">
        <w:rPr>
          <w:lang w:eastAsia="ja-JP"/>
        </w:rPr>
        <w:t xml:space="preserve"> </w:t>
      </w:r>
    </w:p>
    <w:p w14:paraId="74FAA870" w14:textId="77777777" w:rsidR="00B23DD4" w:rsidRDefault="00B23DD4" w:rsidP="00B23DD4">
      <w:pPr>
        <w:pStyle w:val="Caption"/>
      </w:pPr>
      <w:bookmarkStart w:id="11" w:name="_Toc14962346"/>
      <w:r>
        <w:t xml:space="preserve">Figure </w:t>
      </w:r>
      <w:r w:rsidR="00F907DF">
        <w:rPr>
          <w:noProof/>
        </w:rPr>
        <w:fldChar w:fldCharType="begin"/>
      </w:r>
      <w:r w:rsidR="00F907DF">
        <w:rPr>
          <w:noProof/>
        </w:rPr>
        <w:instrText xml:space="preserve"> SEQ Figure \* ARABIC </w:instrText>
      </w:r>
      <w:r w:rsidR="00F907DF">
        <w:rPr>
          <w:noProof/>
        </w:rPr>
        <w:fldChar w:fldCharType="separate"/>
      </w:r>
      <w:r w:rsidR="00200004">
        <w:rPr>
          <w:noProof/>
        </w:rPr>
        <w:t>4</w:t>
      </w:r>
      <w:r w:rsidR="00F907DF">
        <w:rPr>
          <w:noProof/>
        </w:rPr>
        <w:fldChar w:fldCharType="end"/>
      </w:r>
      <w:r>
        <w:t xml:space="preserve"> </w:t>
      </w:r>
      <w:r w:rsidR="00BA4FE0">
        <w:t>Chance of above median rainfall – August to October</w:t>
      </w:r>
      <w:bookmarkEnd w:id="11"/>
    </w:p>
    <w:p w14:paraId="325DF4C3" w14:textId="0768890D" w:rsidR="008D59C9" w:rsidRPr="008D59C9" w:rsidRDefault="008D59C9" w:rsidP="008D59C9">
      <w:r>
        <w:rPr>
          <w:noProof/>
          <w:lang w:eastAsia="en-AU"/>
        </w:rPr>
        <w:drawing>
          <wp:inline distT="0" distB="0" distL="0" distR="0" wp14:anchorId="6C228C23" wp14:editId="568F4B22">
            <wp:extent cx="5759450" cy="3855558"/>
            <wp:effectExtent l="0" t="0" r="0" b="0"/>
            <wp:docPr id="20" name="Picture 20" descr="http://www.bom.gov.au/climate/ahead/outlooks/archive/rain.forecast.median.national.season1.20190711.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m.gov.au/climate/ahead/outlooks/archive/rain.forecast.median.national.season1.20190711.h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855558"/>
                    </a:xfrm>
                    <a:prstGeom prst="rect">
                      <a:avLst/>
                    </a:prstGeom>
                    <a:noFill/>
                    <a:ln>
                      <a:noFill/>
                    </a:ln>
                  </pic:spPr>
                </pic:pic>
              </a:graphicData>
            </a:graphic>
          </wp:inline>
        </w:drawing>
      </w:r>
    </w:p>
    <w:p w14:paraId="1D2807CA" w14:textId="77777777" w:rsidR="0053623B" w:rsidRDefault="001340AE" w:rsidP="001340AE">
      <w:pPr>
        <w:pStyle w:val="Heading2"/>
        <w:numPr>
          <w:ilvl w:val="0"/>
          <w:numId w:val="0"/>
        </w:numPr>
        <w:ind w:left="720" w:hanging="720"/>
      </w:pPr>
      <w:bookmarkStart w:id="12" w:name="_Toc14962333"/>
      <w:r>
        <w:lastRenderedPageBreak/>
        <w:t>2019–20 water market scenarios</w:t>
      </w:r>
      <w:bookmarkEnd w:id="12"/>
    </w:p>
    <w:p w14:paraId="23BF9CF6" w14:textId="77777777" w:rsidR="00FE6B4D" w:rsidRDefault="00FE6B4D" w:rsidP="00FE6B4D">
      <w:pPr>
        <w:pStyle w:val="Heading4"/>
        <w:numPr>
          <w:ilvl w:val="0"/>
          <w:numId w:val="0"/>
        </w:numPr>
        <w:ind w:left="964" w:hanging="964"/>
        <w:rPr>
          <w:lang w:eastAsia="ja-JP"/>
        </w:rPr>
      </w:pPr>
      <w:r>
        <w:rPr>
          <w:lang w:eastAsia="ja-JP"/>
        </w:rPr>
        <w:t>ABARES outlook scenarios for 2019–20</w:t>
      </w:r>
    </w:p>
    <w:p w14:paraId="08F55546" w14:textId="7CCAE64A" w:rsidR="00932209" w:rsidRDefault="009C08A4" w:rsidP="004B1453">
      <w:pPr>
        <w:rPr>
          <w:lang w:eastAsia="ja-JP"/>
        </w:rPr>
      </w:pPr>
      <w:r>
        <w:rPr>
          <w:lang w:eastAsia="ja-JP"/>
        </w:rPr>
        <w:t>ABARES has developed scenarios for water availability in 20</w:t>
      </w:r>
      <w:r w:rsidR="005B1E51">
        <w:rPr>
          <w:lang w:eastAsia="ja-JP"/>
        </w:rPr>
        <w:t>19–</w:t>
      </w:r>
      <w:r>
        <w:rPr>
          <w:lang w:eastAsia="ja-JP"/>
        </w:rPr>
        <w:t>20 for key entitlements, summarised in</w:t>
      </w:r>
      <w:r w:rsidR="00145E90">
        <w:rPr>
          <w:lang w:eastAsia="ja-JP"/>
        </w:rPr>
        <w:t xml:space="preserve"> </w:t>
      </w:r>
      <w:r w:rsidR="00145E90">
        <w:rPr>
          <w:lang w:eastAsia="ja-JP"/>
        </w:rPr>
        <w:fldChar w:fldCharType="begin"/>
      </w:r>
      <w:r w:rsidR="00145E90">
        <w:rPr>
          <w:lang w:eastAsia="ja-JP"/>
        </w:rPr>
        <w:instrText xml:space="preserve"> REF _Ref1984416 \h </w:instrText>
      </w:r>
      <w:r w:rsidR="00145E90">
        <w:rPr>
          <w:lang w:eastAsia="ja-JP"/>
        </w:rPr>
      </w:r>
      <w:r w:rsidR="00145E90">
        <w:rPr>
          <w:lang w:eastAsia="ja-JP"/>
        </w:rPr>
        <w:fldChar w:fldCharType="separate"/>
      </w:r>
      <w:r w:rsidR="00200004">
        <w:t xml:space="preserve">Figure </w:t>
      </w:r>
      <w:r w:rsidR="00200004">
        <w:rPr>
          <w:noProof/>
        </w:rPr>
        <w:t>5</w:t>
      </w:r>
      <w:r w:rsidR="00145E90">
        <w:rPr>
          <w:lang w:eastAsia="ja-JP"/>
        </w:rPr>
        <w:fldChar w:fldCharType="end"/>
      </w:r>
      <w:r>
        <w:rPr>
          <w:lang w:eastAsia="ja-JP"/>
        </w:rPr>
        <w:t xml:space="preserve">. These scenarios draw on </w:t>
      </w:r>
      <w:r w:rsidR="004B1453">
        <w:rPr>
          <w:lang w:eastAsia="ja-JP"/>
        </w:rPr>
        <w:t>allocation scenarios / outlooks</w:t>
      </w:r>
      <w:r>
        <w:rPr>
          <w:lang w:eastAsia="ja-JP"/>
        </w:rPr>
        <w:t xml:space="preserve"> from state water agencies </w:t>
      </w:r>
      <w:r w:rsidR="004B0673">
        <w:rPr>
          <w:lang w:eastAsia="ja-JP"/>
        </w:rPr>
        <w:t>as released on 15</w:t>
      </w:r>
      <w:r w:rsidR="004B0673" w:rsidRPr="004B0673">
        <w:rPr>
          <w:vertAlign w:val="superscript"/>
          <w:lang w:eastAsia="ja-JP"/>
        </w:rPr>
        <w:t>th</w:t>
      </w:r>
      <w:r w:rsidR="004B0673">
        <w:rPr>
          <w:lang w:eastAsia="ja-JP"/>
        </w:rPr>
        <w:t xml:space="preserve"> July 2019 </w:t>
      </w:r>
      <w:r>
        <w:rPr>
          <w:lang w:eastAsia="ja-JP"/>
        </w:rPr>
        <w:t>(detailed further in</w:t>
      </w:r>
      <w:r w:rsidR="00735714">
        <w:rPr>
          <w:lang w:eastAsia="ja-JP"/>
        </w:rPr>
        <w:t xml:space="preserve"> </w:t>
      </w:r>
      <w:r w:rsidR="00735714">
        <w:rPr>
          <w:lang w:eastAsia="ja-JP"/>
        </w:rPr>
        <w:fldChar w:fldCharType="begin"/>
      </w:r>
      <w:r w:rsidR="00735714">
        <w:rPr>
          <w:lang w:eastAsia="ja-JP"/>
        </w:rPr>
        <w:instrText xml:space="preserve"> REF _Ref12885542 \h </w:instrText>
      </w:r>
      <w:r w:rsidR="00735714">
        <w:rPr>
          <w:lang w:eastAsia="ja-JP"/>
        </w:rPr>
      </w:r>
      <w:r w:rsidR="00735714">
        <w:rPr>
          <w:lang w:eastAsia="ja-JP"/>
        </w:rPr>
        <w:fldChar w:fldCharType="separate"/>
      </w:r>
      <w:r w:rsidR="00200004">
        <w:t>Appendix A: ABARES outlook scenarios</w:t>
      </w:r>
      <w:r w:rsidR="00735714">
        <w:rPr>
          <w:lang w:eastAsia="ja-JP"/>
        </w:rPr>
        <w:fldChar w:fldCharType="end"/>
      </w:r>
      <w:r>
        <w:rPr>
          <w:lang w:eastAsia="ja-JP"/>
        </w:rPr>
        <w:t>)</w:t>
      </w:r>
      <w:r w:rsidR="004B1453">
        <w:rPr>
          <w:lang w:eastAsia="ja-JP"/>
        </w:rPr>
        <w:t>.</w:t>
      </w:r>
      <w:r w:rsidR="00B13971">
        <w:rPr>
          <w:lang w:eastAsia="ja-JP"/>
        </w:rPr>
        <w:t xml:space="preserve"> </w:t>
      </w:r>
      <w:r w:rsidR="004B1453">
        <w:rPr>
          <w:lang w:eastAsia="ja-JP"/>
        </w:rPr>
        <w:t xml:space="preserve">The scenarios provide an indication of possible </w:t>
      </w:r>
      <w:r w:rsidR="00035585">
        <w:rPr>
          <w:lang w:eastAsia="ja-JP"/>
        </w:rPr>
        <w:t xml:space="preserve">(closing) </w:t>
      </w:r>
      <w:r w:rsidR="004B1453">
        <w:rPr>
          <w:lang w:eastAsia="ja-JP"/>
        </w:rPr>
        <w:t xml:space="preserve">water availability levels under representative </w:t>
      </w:r>
      <w:r w:rsidR="00AF64AF">
        <w:rPr>
          <w:i/>
          <w:lang w:eastAsia="ja-JP"/>
        </w:rPr>
        <w:t>‘extreme</w:t>
      </w:r>
      <w:r w:rsidR="004B0445" w:rsidRPr="003342F7">
        <w:rPr>
          <w:i/>
          <w:lang w:eastAsia="ja-JP"/>
        </w:rPr>
        <w:t xml:space="preserve"> dry’</w:t>
      </w:r>
      <w:r w:rsidR="004B0445">
        <w:rPr>
          <w:lang w:eastAsia="ja-JP"/>
        </w:rPr>
        <w:t xml:space="preserve">, </w:t>
      </w:r>
      <w:r w:rsidR="004B1453">
        <w:rPr>
          <w:lang w:eastAsia="ja-JP"/>
        </w:rPr>
        <w:t>‘</w:t>
      </w:r>
      <w:r w:rsidR="00AC5513" w:rsidRPr="00AC5513">
        <w:rPr>
          <w:i/>
          <w:lang w:eastAsia="ja-JP"/>
        </w:rPr>
        <w:t>dry</w:t>
      </w:r>
      <w:r w:rsidR="004B1453" w:rsidRPr="00DF4714">
        <w:rPr>
          <w:i/>
          <w:lang w:eastAsia="ja-JP"/>
        </w:rPr>
        <w:t>’</w:t>
      </w:r>
      <w:r w:rsidR="004B1453">
        <w:rPr>
          <w:lang w:eastAsia="ja-JP"/>
        </w:rPr>
        <w:t>, ‘</w:t>
      </w:r>
      <w:r w:rsidR="004B1453" w:rsidRPr="00DF4714">
        <w:rPr>
          <w:i/>
          <w:lang w:eastAsia="ja-JP"/>
        </w:rPr>
        <w:t>average’</w:t>
      </w:r>
      <w:r w:rsidR="004B1453">
        <w:rPr>
          <w:lang w:eastAsia="ja-JP"/>
        </w:rPr>
        <w:t xml:space="preserve"> and ‘</w:t>
      </w:r>
      <w:r w:rsidR="004B1453" w:rsidRPr="00DF4714">
        <w:rPr>
          <w:i/>
          <w:lang w:eastAsia="ja-JP"/>
        </w:rPr>
        <w:t>wet’</w:t>
      </w:r>
      <w:r w:rsidR="004B1453">
        <w:rPr>
          <w:lang w:eastAsia="ja-JP"/>
        </w:rPr>
        <w:t xml:space="preserve"> conditions</w:t>
      </w:r>
      <w:r w:rsidR="008533C4">
        <w:rPr>
          <w:lang w:eastAsia="ja-JP"/>
        </w:rPr>
        <w:t xml:space="preserve"> (Figure 5)</w:t>
      </w:r>
      <w:r w:rsidR="00035585">
        <w:rPr>
          <w:lang w:eastAsia="ja-JP"/>
        </w:rPr>
        <w:t>.</w:t>
      </w:r>
    </w:p>
    <w:p w14:paraId="46D511FB" w14:textId="36512FAE" w:rsidR="009C08A4" w:rsidRDefault="009C08A4" w:rsidP="009C08A4">
      <w:pPr>
        <w:pStyle w:val="Caption"/>
      </w:pPr>
      <w:bookmarkStart w:id="13" w:name="_Ref1984416"/>
      <w:bookmarkStart w:id="14" w:name="_Toc2246924"/>
      <w:bookmarkStart w:id="15" w:name="_Toc14962347"/>
      <w:bookmarkStart w:id="16" w:name="_Ref12886805"/>
      <w:r>
        <w:t xml:space="preserve">Figure </w:t>
      </w:r>
      <w:r>
        <w:rPr>
          <w:noProof/>
        </w:rPr>
        <w:fldChar w:fldCharType="begin"/>
      </w:r>
      <w:r>
        <w:rPr>
          <w:noProof/>
        </w:rPr>
        <w:instrText xml:space="preserve"> SEQ Figure \* ARABIC </w:instrText>
      </w:r>
      <w:r>
        <w:rPr>
          <w:noProof/>
        </w:rPr>
        <w:fldChar w:fldCharType="separate"/>
      </w:r>
      <w:r w:rsidR="00200004">
        <w:rPr>
          <w:noProof/>
        </w:rPr>
        <w:t>5</w:t>
      </w:r>
      <w:r>
        <w:rPr>
          <w:noProof/>
        </w:rPr>
        <w:fldChar w:fldCharType="end"/>
      </w:r>
      <w:bookmarkEnd w:id="13"/>
      <w:r>
        <w:t xml:space="preserve"> Water allocation scenarios for 2019–20</w:t>
      </w:r>
      <w:bookmarkEnd w:id="14"/>
      <w:r w:rsidR="00035585">
        <w:t xml:space="preserve"> (closing – 30 June 2020)</w:t>
      </w:r>
      <w:bookmarkEnd w:id="15"/>
      <w:r w:rsidR="00035585">
        <w:t xml:space="preserve"> </w:t>
      </w:r>
    </w:p>
    <w:p w14:paraId="3709DCFC" w14:textId="40052A2E" w:rsidR="00035585" w:rsidRDefault="00C64930" w:rsidP="009C08A4">
      <w:r w:rsidRPr="00C64930">
        <w:rPr>
          <w:noProof/>
          <w:lang w:eastAsia="en-AU"/>
        </w:rPr>
        <w:drawing>
          <wp:inline distT="0" distB="0" distL="0" distR="0" wp14:anchorId="239B1B18" wp14:editId="35ED09EE">
            <wp:extent cx="5759450" cy="2384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384724"/>
                    </a:xfrm>
                    <a:prstGeom prst="rect">
                      <a:avLst/>
                    </a:prstGeom>
                    <a:noFill/>
                    <a:ln>
                      <a:noFill/>
                    </a:ln>
                  </pic:spPr>
                </pic:pic>
              </a:graphicData>
            </a:graphic>
          </wp:inline>
        </w:drawing>
      </w:r>
      <w:r w:rsidR="00417CD2" w:rsidRPr="00417CD2">
        <w:t xml:space="preserve"> </w:t>
      </w:r>
    </w:p>
    <w:p w14:paraId="704A4179" w14:textId="5C924DC6" w:rsidR="00035585" w:rsidRPr="00237D25" w:rsidRDefault="00035585" w:rsidP="00035585">
      <w:r>
        <w:t>For South Aus</w:t>
      </w:r>
      <w:r w:rsidR="00237D25">
        <w:t xml:space="preserve">tralia, </w:t>
      </w:r>
      <w:r>
        <w:t xml:space="preserve">allocations are predicted to reach 100 per cent under the </w:t>
      </w:r>
      <w:r w:rsidRPr="00CB66C1">
        <w:rPr>
          <w:i/>
        </w:rPr>
        <w:t>average</w:t>
      </w:r>
      <w:r>
        <w:t xml:space="preserve"> and </w:t>
      </w:r>
      <w:r w:rsidRPr="00CB66C1">
        <w:rPr>
          <w:i/>
        </w:rPr>
        <w:t>wet</w:t>
      </w:r>
      <w:r>
        <w:t xml:space="preserve"> scenarios by the end o</w:t>
      </w:r>
      <w:r w:rsidR="00E97C63">
        <w:t>f 2019-20. With allocations of 9</w:t>
      </w:r>
      <w:r>
        <w:t xml:space="preserve">7 per cent predicted under the </w:t>
      </w:r>
      <w:r>
        <w:rPr>
          <w:i/>
        </w:rPr>
        <w:t>dry</w:t>
      </w:r>
      <w:r>
        <w:t xml:space="preserve"> scenario.</w:t>
      </w:r>
    </w:p>
    <w:p w14:paraId="771FA2D2" w14:textId="491E9D33" w:rsidR="009C08A4" w:rsidRDefault="00775EA6" w:rsidP="009C08A4">
      <w:r>
        <w:t>Allocations</w:t>
      </w:r>
      <w:r w:rsidR="009C08A4">
        <w:t xml:space="preserve"> </w:t>
      </w:r>
      <w:r w:rsidR="00035585">
        <w:t xml:space="preserve">are expected </w:t>
      </w:r>
      <w:r>
        <w:t xml:space="preserve">to reach 100 per cent </w:t>
      </w:r>
      <w:r w:rsidR="00756895">
        <w:t xml:space="preserve">for </w:t>
      </w:r>
      <w:r w:rsidR="00237D25">
        <w:t xml:space="preserve">all </w:t>
      </w:r>
      <w:r w:rsidR="00756895">
        <w:t>Vic</w:t>
      </w:r>
      <w:r w:rsidR="00237D25">
        <w:t xml:space="preserve">torian High reliability water rights under the </w:t>
      </w:r>
      <w:r w:rsidR="009C08A4" w:rsidRPr="00CB66C1">
        <w:rPr>
          <w:i/>
        </w:rPr>
        <w:t>average</w:t>
      </w:r>
      <w:r w:rsidR="009C08A4">
        <w:t xml:space="preserve"> and </w:t>
      </w:r>
      <w:r w:rsidR="009C08A4" w:rsidRPr="00CB66C1">
        <w:rPr>
          <w:i/>
        </w:rPr>
        <w:t>wet</w:t>
      </w:r>
      <w:r w:rsidR="009C08A4">
        <w:t xml:space="preserve"> </w:t>
      </w:r>
      <w:r w:rsidR="00035585">
        <w:t>scenarios</w:t>
      </w:r>
      <w:r w:rsidR="008533C4">
        <w:t xml:space="preserve">. </w:t>
      </w:r>
      <w:r w:rsidR="00BA4FE0">
        <w:t xml:space="preserve">Under the </w:t>
      </w:r>
      <w:r w:rsidR="008533C4" w:rsidRPr="00BA4FE0">
        <w:rPr>
          <w:i/>
        </w:rPr>
        <w:t>dry</w:t>
      </w:r>
      <w:r w:rsidR="008533C4" w:rsidRPr="00BA4FE0">
        <w:t xml:space="preserve"> scenario the </w:t>
      </w:r>
      <w:r w:rsidR="0001178F">
        <w:t>Victorian</w:t>
      </w:r>
      <w:r w:rsidR="00756895">
        <w:t xml:space="preserve"> </w:t>
      </w:r>
      <w:r w:rsidR="008533C4" w:rsidRPr="00BA4FE0">
        <w:t xml:space="preserve">Murray and Goulburn </w:t>
      </w:r>
      <w:r>
        <w:t>h</w:t>
      </w:r>
      <w:r w:rsidR="004D752E" w:rsidRPr="00BA4FE0">
        <w:t>igh reliability allocations are predicted to reach</w:t>
      </w:r>
      <w:r w:rsidR="00E97C63">
        <w:t xml:space="preserve"> 55 per cent and 43</w:t>
      </w:r>
      <w:r w:rsidR="008533C4" w:rsidRPr="00BA4FE0">
        <w:t xml:space="preserve"> per cent respectively by the end of 20</w:t>
      </w:r>
      <w:r w:rsidR="005B1E51" w:rsidRPr="00BA4FE0">
        <w:t>19–</w:t>
      </w:r>
      <w:r w:rsidR="008533C4" w:rsidRPr="00BA4FE0">
        <w:t>20.</w:t>
      </w:r>
    </w:p>
    <w:p w14:paraId="22213D0D" w14:textId="48C7BE9A" w:rsidR="00756895" w:rsidRDefault="00035585" w:rsidP="009C08A4">
      <w:r>
        <w:t xml:space="preserve">In </w:t>
      </w:r>
      <w:r w:rsidR="0001178F">
        <w:t xml:space="preserve">New South Wales </w:t>
      </w:r>
      <w:r w:rsidR="004D752E">
        <w:t xml:space="preserve">under a </w:t>
      </w:r>
      <w:r w:rsidR="004D752E">
        <w:rPr>
          <w:i/>
        </w:rPr>
        <w:t xml:space="preserve">dry </w:t>
      </w:r>
      <w:r w:rsidR="004D752E">
        <w:t>scenario</w:t>
      </w:r>
      <w:r>
        <w:t>,</w:t>
      </w:r>
      <w:r w:rsidR="00AF64AF">
        <w:t xml:space="preserve"> </w:t>
      </w:r>
      <w:r w:rsidR="008533C4">
        <w:t xml:space="preserve">allocations </w:t>
      </w:r>
      <w:r>
        <w:t xml:space="preserve">are predicted to </w:t>
      </w:r>
      <w:r w:rsidR="004E67BF">
        <w:t xml:space="preserve">remain at zero for </w:t>
      </w:r>
      <w:r w:rsidR="00775EA6">
        <w:t>general s</w:t>
      </w:r>
      <w:r w:rsidR="004D752E">
        <w:t xml:space="preserve">ecurity entitlements in </w:t>
      </w:r>
      <w:r w:rsidR="004E67BF">
        <w:t>the Murrumbidgee and the Murray</w:t>
      </w:r>
      <w:r w:rsidR="00E97C63">
        <w:t>, increasing to 50</w:t>
      </w:r>
      <w:r w:rsidR="00756895">
        <w:t xml:space="preserve"> per cent and 55 per cent respectively in the </w:t>
      </w:r>
      <w:r w:rsidR="00756895" w:rsidRPr="00CB66C1">
        <w:rPr>
          <w:i/>
        </w:rPr>
        <w:t>wet</w:t>
      </w:r>
      <w:r w:rsidR="00756895">
        <w:t xml:space="preserve"> scenario</w:t>
      </w:r>
      <w:r w:rsidR="008533C4">
        <w:t xml:space="preserve">. </w:t>
      </w:r>
    </w:p>
    <w:bookmarkEnd w:id="16"/>
    <w:p w14:paraId="53D8257C" w14:textId="77777777" w:rsidR="00FE6B4D" w:rsidRDefault="00FE6B4D" w:rsidP="00FE6B4D">
      <w:pPr>
        <w:pStyle w:val="Heading4"/>
        <w:numPr>
          <w:ilvl w:val="0"/>
          <w:numId w:val="0"/>
        </w:numPr>
        <w:ind w:left="964" w:hanging="964"/>
        <w:rPr>
          <w:lang w:eastAsia="ja-JP"/>
        </w:rPr>
      </w:pPr>
      <w:r>
        <w:rPr>
          <w:lang w:eastAsia="ja-JP"/>
        </w:rPr>
        <w:t xml:space="preserve">Modelled water allocation prices </w:t>
      </w:r>
      <w:r w:rsidR="00434BC1">
        <w:rPr>
          <w:lang w:eastAsia="ja-JP"/>
        </w:rPr>
        <w:t>in</w:t>
      </w:r>
      <w:r>
        <w:rPr>
          <w:lang w:eastAsia="ja-JP"/>
        </w:rPr>
        <w:t xml:space="preserve"> 2019–20</w:t>
      </w:r>
    </w:p>
    <w:p w14:paraId="2622DC37" w14:textId="00A4909A" w:rsidR="00265B27" w:rsidRDefault="00AF24A3" w:rsidP="0033340C">
      <w:pPr>
        <w:rPr>
          <w:lang w:eastAsia="ja-JP"/>
        </w:rPr>
      </w:pPr>
      <w:r>
        <w:rPr>
          <w:lang w:eastAsia="ja-JP"/>
        </w:rPr>
        <w:t>Average annual a</w:t>
      </w:r>
      <w:r w:rsidR="00DD65C0">
        <w:rPr>
          <w:lang w:eastAsia="ja-JP"/>
        </w:rPr>
        <w:t xml:space="preserve">llocation prices and </w:t>
      </w:r>
      <w:r>
        <w:rPr>
          <w:lang w:eastAsia="ja-JP"/>
        </w:rPr>
        <w:t xml:space="preserve">annual </w:t>
      </w:r>
      <w:r w:rsidR="00DD65C0">
        <w:rPr>
          <w:lang w:eastAsia="ja-JP"/>
        </w:rPr>
        <w:t xml:space="preserve">trade flows are simulated </w:t>
      </w:r>
      <w:r w:rsidR="00756895">
        <w:rPr>
          <w:lang w:eastAsia="ja-JP"/>
        </w:rPr>
        <w:t xml:space="preserve">for each region </w:t>
      </w:r>
      <w:r w:rsidR="00DD65C0">
        <w:rPr>
          <w:lang w:eastAsia="ja-JP"/>
        </w:rPr>
        <w:t xml:space="preserve">under </w:t>
      </w:r>
      <w:r w:rsidR="00775EA6">
        <w:rPr>
          <w:i/>
          <w:lang w:eastAsia="ja-JP"/>
        </w:rPr>
        <w:t xml:space="preserve">extreme dry, dry, average </w:t>
      </w:r>
      <w:r w:rsidR="00775EA6">
        <w:rPr>
          <w:lang w:eastAsia="ja-JP"/>
        </w:rPr>
        <w:t xml:space="preserve">and </w:t>
      </w:r>
      <w:r w:rsidR="00775EA6">
        <w:rPr>
          <w:i/>
          <w:lang w:eastAsia="ja-JP"/>
        </w:rPr>
        <w:t>wet</w:t>
      </w:r>
      <w:r w:rsidR="0037053A">
        <w:rPr>
          <w:lang w:eastAsia="ja-JP"/>
        </w:rPr>
        <w:t xml:space="preserve"> scenarios for </w:t>
      </w:r>
      <w:r w:rsidR="00AC5513">
        <w:rPr>
          <w:lang w:eastAsia="ja-JP"/>
        </w:rPr>
        <w:t>2019–20</w:t>
      </w:r>
      <w:r w:rsidR="0037053A">
        <w:rPr>
          <w:lang w:eastAsia="ja-JP"/>
        </w:rPr>
        <w:t xml:space="preserve"> using </w:t>
      </w:r>
      <w:r w:rsidR="00B67CD5">
        <w:rPr>
          <w:lang w:eastAsia="ja-JP"/>
        </w:rPr>
        <w:t xml:space="preserve">the </w:t>
      </w:r>
      <w:r w:rsidR="0037053A">
        <w:rPr>
          <w:lang w:eastAsia="ja-JP"/>
        </w:rPr>
        <w:t>ABARES Water Trade Model (Gupta, et al. 2018).</w:t>
      </w:r>
      <w:r w:rsidR="00536A10">
        <w:rPr>
          <w:lang w:eastAsia="ja-JP"/>
        </w:rPr>
        <w:t xml:space="preserve"> </w:t>
      </w:r>
      <w:r w:rsidR="00DD65C0">
        <w:rPr>
          <w:lang w:eastAsia="ja-JP"/>
        </w:rPr>
        <w:t xml:space="preserve">Based on the assumptions </w:t>
      </w:r>
      <w:r w:rsidR="00BF4F21">
        <w:rPr>
          <w:lang w:eastAsia="ja-JP"/>
        </w:rPr>
        <w:t>detailed in Appendix A</w:t>
      </w:r>
      <w:r w:rsidR="00265B27">
        <w:rPr>
          <w:lang w:eastAsia="ja-JP"/>
        </w:rPr>
        <w:t xml:space="preserve">, prices </w:t>
      </w:r>
      <w:r w:rsidR="004D752E">
        <w:rPr>
          <w:lang w:eastAsia="ja-JP"/>
        </w:rPr>
        <w:t xml:space="preserve">are estimated </w:t>
      </w:r>
      <w:r w:rsidR="00265B27">
        <w:rPr>
          <w:lang w:eastAsia="ja-JP"/>
        </w:rPr>
        <w:t>between</w:t>
      </w:r>
      <w:r w:rsidR="00E97C63">
        <w:rPr>
          <w:lang w:eastAsia="ja-JP"/>
        </w:rPr>
        <w:t xml:space="preserve"> $258</w:t>
      </w:r>
      <w:r w:rsidR="00DD65C0">
        <w:rPr>
          <w:lang w:eastAsia="ja-JP"/>
        </w:rPr>
        <w:t xml:space="preserve"> per ML in a </w:t>
      </w:r>
      <w:r w:rsidR="00DD65C0" w:rsidRPr="00E27C0D">
        <w:rPr>
          <w:i/>
          <w:lang w:eastAsia="ja-JP"/>
        </w:rPr>
        <w:t>wet</w:t>
      </w:r>
      <w:r w:rsidR="00DD65C0">
        <w:rPr>
          <w:lang w:eastAsia="ja-JP"/>
        </w:rPr>
        <w:t xml:space="preserve"> scenario and </w:t>
      </w:r>
      <w:r w:rsidR="00E97C63">
        <w:rPr>
          <w:lang w:eastAsia="ja-JP"/>
        </w:rPr>
        <w:t>$651</w:t>
      </w:r>
      <w:r w:rsidR="00265B27">
        <w:rPr>
          <w:lang w:eastAsia="ja-JP"/>
        </w:rPr>
        <w:t xml:space="preserve"> in an </w:t>
      </w:r>
      <w:r w:rsidR="00BF4F21">
        <w:rPr>
          <w:i/>
          <w:lang w:eastAsia="ja-JP"/>
        </w:rPr>
        <w:t>extreme</w:t>
      </w:r>
      <w:r w:rsidR="00265B27">
        <w:rPr>
          <w:i/>
          <w:lang w:eastAsia="ja-JP"/>
        </w:rPr>
        <w:t xml:space="preserve"> dry</w:t>
      </w:r>
      <w:r w:rsidR="00265B27">
        <w:rPr>
          <w:lang w:eastAsia="ja-JP"/>
        </w:rPr>
        <w:t xml:space="preserve"> scenario </w:t>
      </w:r>
      <w:r w:rsidR="00DD65C0">
        <w:rPr>
          <w:lang w:eastAsia="ja-JP"/>
        </w:rPr>
        <w:t>in 20</w:t>
      </w:r>
      <w:r w:rsidR="00775EA6">
        <w:rPr>
          <w:lang w:eastAsia="ja-JP"/>
        </w:rPr>
        <w:t>19−</w:t>
      </w:r>
      <w:r w:rsidR="00DD65C0">
        <w:rPr>
          <w:lang w:eastAsia="ja-JP"/>
        </w:rPr>
        <w:t>20</w:t>
      </w:r>
      <w:r w:rsidR="007975F8">
        <w:rPr>
          <w:lang w:eastAsia="ja-JP"/>
        </w:rPr>
        <w:t xml:space="preserve"> (</w:t>
      </w:r>
      <w:r w:rsidR="004E063E">
        <w:rPr>
          <w:lang w:eastAsia="ja-JP"/>
        </w:rPr>
        <w:fldChar w:fldCharType="begin"/>
      </w:r>
      <w:r w:rsidR="004E063E">
        <w:rPr>
          <w:lang w:eastAsia="ja-JP"/>
        </w:rPr>
        <w:instrText xml:space="preserve"> REF _Ref2007775 \h </w:instrText>
      </w:r>
      <w:r w:rsidR="004E063E">
        <w:rPr>
          <w:lang w:eastAsia="ja-JP"/>
        </w:rPr>
      </w:r>
      <w:r w:rsidR="004E063E">
        <w:rPr>
          <w:lang w:eastAsia="ja-JP"/>
        </w:rPr>
        <w:fldChar w:fldCharType="separate"/>
      </w:r>
      <w:r w:rsidR="00200004">
        <w:t xml:space="preserve">Table </w:t>
      </w:r>
      <w:r w:rsidR="00200004">
        <w:rPr>
          <w:noProof/>
        </w:rPr>
        <w:t>1</w:t>
      </w:r>
      <w:r w:rsidR="004E063E">
        <w:rPr>
          <w:lang w:eastAsia="ja-JP"/>
        </w:rPr>
        <w:fldChar w:fldCharType="end"/>
      </w:r>
      <w:r w:rsidR="007975F8">
        <w:rPr>
          <w:lang w:eastAsia="ja-JP"/>
        </w:rPr>
        <w:t>)</w:t>
      </w:r>
      <w:r w:rsidR="00265B27">
        <w:rPr>
          <w:lang w:eastAsia="ja-JP"/>
        </w:rPr>
        <w:t>.</w:t>
      </w:r>
      <w:r w:rsidR="00775EA6">
        <w:rPr>
          <w:lang w:eastAsia="ja-JP"/>
        </w:rPr>
        <w:t xml:space="preserve"> </w:t>
      </w:r>
    </w:p>
    <w:p w14:paraId="2266FF7A" w14:textId="230AB562" w:rsidR="00B722A1" w:rsidRDefault="00BF4F21" w:rsidP="00B722A1">
      <w:pPr>
        <w:rPr>
          <w:lang w:eastAsia="ja-JP"/>
        </w:rPr>
      </w:pPr>
      <w:r>
        <w:rPr>
          <w:lang w:eastAsia="ja-JP"/>
        </w:rPr>
        <w:t xml:space="preserve">Modelling results suggest that compared to 2018-19, allocation prices will be higher in 2019-20 in the </w:t>
      </w:r>
      <w:r w:rsidR="00775EA6">
        <w:rPr>
          <w:i/>
          <w:lang w:eastAsia="ja-JP"/>
        </w:rPr>
        <w:t xml:space="preserve">extreme </w:t>
      </w:r>
      <w:r>
        <w:rPr>
          <w:i/>
          <w:lang w:eastAsia="ja-JP"/>
        </w:rPr>
        <w:t xml:space="preserve">dry </w:t>
      </w:r>
      <w:r>
        <w:rPr>
          <w:lang w:eastAsia="ja-JP"/>
        </w:rPr>
        <w:t xml:space="preserve">and </w:t>
      </w:r>
      <w:r>
        <w:rPr>
          <w:i/>
          <w:lang w:eastAsia="ja-JP"/>
        </w:rPr>
        <w:t>dry</w:t>
      </w:r>
      <w:r>
        <w:rPr>
          <w:lang w:eastAsia="ja-JP"/>
        </w:rPr>
        <w:t xml:space="preserve"> scenarios, but lower in the </w:t>
      </w:r>
      <w:r w:rsidR="00775EA6">
        <w:rPr>
          <w:i/>
          <w:lang w:eastAsia="ja-JP"/>
        </w:rPr>
        <w:t>average</w:t>
      </w:r>
      <w:r>
        <w:rPr>
          <w:i/>
          <w:lang w:eastAsia="ja-JP"/>
        </w:rPr>
        <w:t xml:space="preserve"> </w:t>
      </w:r>
      <w:r>
        <w:rPr>
          <w:lang w:eastAsia="ja-JP"/>
        </w:rPr>
        <w:t xml:space="preserve">and </w:t>
      </w:r>
      <w:r w:rsidR="00775EA6">
        <w:rPr>
          <w:i/>
          <w:lang w:eastAsia="ja-JP"/>
        </w:rPr>
        <w:t>wet</w:t>
      </w:r>
      <w:r>
        <w:rPr>
          <w:lang w:eastAsia="ja-JP"/>
        </w:rPr>
        <w:t xml:space="preserve"> scenarios (</w:t>
      </w:r>
      <w:r w:rsidR="004860E2">
        <w:rPr>
          <w:lang w:eastAsia="ja-JP"/>
        </w:rPr>
        <w:fldChar w:fldCharType="begin"/>
      </w:r>
      <w:r w:rsidR="004860E2">
        <w:rPr>
          <w:lang w:eastAsia="ja-JP"/>
        </w:rPr>
        <w:instrText xml:space="preserve"> REF _Ref13675303 \h </w:instrText>
      </w:r>
      <w:r w:rsidR="004860E2">
        <w:rPr>
          <w:lang w:eastAsia="ja-JP"/>
        </w:rPr>
      </w:r>
      <w:r w:rsidR="004860E2">
        <w:rPr>
          <w:lang w:eastAsia="ja-JP"/>
        </w:rPr>
        <w:fldChar w:fldCharType="separate"/>
      </w:r>
      <w:r w:rsidR="00200004" w:rsidRPr="003F0D0B">
        <w:t xml:space="preserve">Figure </w:t>
      </w:r>
      <w:r w:rsidR="00200004">
        <w:rPr>
          <w:noProof/>
        </w:rPr>
        <w:t>6</w:t>
      </w:r>
      <w:r w:rsidR="004860E2">
        <w:rPr>
          <w:lang w:eastAsia="ja-JP"/>
        </w:rPr>
        <w:fldChar w:fldCharType="end"/>
      </w:r>
      <w:r w:rsidR="00AF24A3">
        <w:rPr>
          <w:lang w:eastAsia="ja-JP"/>
        </w:rPr>
        <w:t xml:space="preserve">). </w:t>
      </w:r>
      <w:r w:rsidR="00B722A1">
        <w:rPr>
          <w:lang w:eastAsia="ja-JP"/>
        </w:rPr>
        <w:t xml:space="preserve"> It is important to note that the Water Trade Model estimates the average annual price. In practice, </w:t>
      </w:r>
      <w:r w:rsidR="00B722A1">
        <w:rPr>
          <w:lang w:eastAsia="ja-JP"/>
        </w:rPr>
        <w:lastRenderedPageBreak/>
        <w:t>prices are likely to fluctuate throughout the year, around the modelled annual average price (</w:t>
      </w:r>
      <w:r w:rsidR="00B722A1">
        <w:rPr>
          <w:lang w:eastAsia="ja-JP"/>
        </w:rPr>
        <w:fldChar w:fldCharType="begin"/>
      </w:r>
      <w:r w:rsidR="00B722A1">
        <w:rPr>
          <w:lang w:eastAsia="ja-JP"/>
        </w:rPr>
        <w:instrText xml:space="preserve"> REF _Ref13675303 \h </w:instrText>
      </w:r>
      <w:r w:rsidR="00B722A1">
        <w:rPr>
          <w:lang w:eastAsia="ja-JP"/>
        </w:rPr>
      </w:r>
      <w:r w:rsidR="00B722A1">
        <w:rPr>
          <w:lang w:eastAsia="ja-JP"/>
        </w:rPr>
        <w:fldChar w:fldCharType="separate"/>
      </w:r>
      <w:r w:rsidR="00200004" w:rsidRPr="003F0D0B">
        <w:t xml:space="preserve">Figure </w:t>
      </w:r>
      <w:r w:rsidR="00200004">
        <w:rPr>
          <w:noProof/>
        </w:rPr>
        <w:t>6</w:t>
      </w:r>
      <w:r w:rsidR="00B722A1">
        <w:rPr>
          <w:lang w:eastAsia="ja-JP"/>
        </w:rPr>
        <w:fldChar w:fldCharType="end"/>
      </w:r>
      <w:r w:rsidR="00B722A1" w:rsidRPr="004E063E">
        <w:rPr>
          <w:lang w:eastAsia="ja-JP"/>
        </w:rPr>
        <w:t xml:space="preserve">). </w:t>
      </w:r>
    </w:p>
    <w:p w14:paraId="3BF832F1" w14:textId="199EB618" w:rsidR="00B722A1" w:rsidRDefault="00B722A1" w:rsidP="00B722A1">
      <w:pPr>
        <w:pStyle w:val="Caption"/>
        <w:rPr>
          <w:lang w:eastAsia="ja-JP"/>
        </w:rPr>
      </w:pPr>
      <w:bookmarkStart w:id="17" w:name="_Ref13675303"/>
      <w:bookmarkStart w:id="18" w:name="_Toc14962348"/>
      <w:r w:rsidRPr="003F0D0B">
        <w:t xml:space="preserve">Figure </w:t>
      </w:r>
      <w:r w:rsidRPr="003F0D0B">
        <w:rPr>
          <w:noProof/>
        </w:rPr>
        <w:fldChar w:fldCharType="begin"/>
      </w:r>
      <w:r w:rsidRPr="003F0D0B">
        <w:rPr>
          <w:noProof/>
        </w:rPr>
        <w:instrText xml:space="preserve"> SEQ Figure \* ARABIC </w:instrText>
      </w:r>
      <w:r w:rsidRPr="003F0D0B">
        <w:rPr>
          <w:noProof/>
        </w:rPr>
        <w:fldChar w:fldCharType="separate"/>
      </w:r>
      <w:r w:rsidR="00200004">
        <w:rPr>
          <w:noProof/>
        </w:rPr>
        <w:t>6</w:t>
      </w:r>
      <w:r w:rsidRPr="003F0D0B">
        <w:rPr>
          <w:noProof/>
        </w:rPr>
        <w:fldChar w:fldCharType="end"/>
      </w:r>
      <w:bookmarkEnd w:id="17"/>
      <w:r w:rsidRPr="003F0D0B">
        <w:t xml:space="preserve"> Allocation price scenarios, in the </w:t>
      </w:r>
      <w:r>
        <w:t>Victorian Murray below Barmah</w:t>
      </w:r>
      <w:r w:rsidRPr="00DB3285">
        <w:rPr>
          <w:lang w:eastAsia="ja-JP"/>
        </w:rPr>
        <w:t xml:space="preserve"> </w:t>
      </w:r>
      <w:r w:rsidR="00756895">
        <w:rPr>
          <w:lang w:eastAsia="ja-JP"/>
        </w:rPr>
        <w:t>– 2016 to 2020</w:t>
      </w:r>
      <w:bookmarkEnd w:id="18"/>
    </w:p>
    <w:p w14:paraId="3BC71FBE" w14:textId="2B86EAF7" w:rsidR="00B722A1" w:rsidRDefault="00775EA6" w:rsidP="00B722A1">
      <w:pPr>
        <w:pStyle w:val="Normalsmall"/>
        <w:rPr>
          <w:lang w:eastAsia="ja-JP"/>
        </w:rPr>
      </w:pPr>
      <w:r w:rsidRPr="00775EA6">
        <w:rPr>
          <w:noProof/>
          <w:lang w:eastAsia="en-AU"/>
        </w:rPr>
        <w:drawing>
          <wp:inline distT="0" distB="0" distL="0" distR="0" wp14:anchorId="60BA2F5F" wp14:editId="23FE6E8A">
            <wp:extent cx="5759450" cy="35952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595293"/>
                    </a:xfrm>
                    <a:prstGeom prst="rect">
                      <a:avLst/>
                    </a:prstGeom>
                    <a:noFill/>
                    <a:ln>
                      <a:noFill/>
                    </a:ln>
                  </pic:spPr>
                </pic:pic>
              </a:graphicData>
            </a:graphic>
          </wp:inline>
        </w:drawing>
      </w:r>
      <w:r w:rsidR="00B722A1" w:rsidRPr="00293F0D">
        <w:rPr>
          <w:b/>
          <w:lang w:eastAsia="ja-JP"/>
        </w:rPr>
        <w:t xml:space="preserve"> Source:</w:t>
      </w:r>
      <w:r w:rsidR="00B722A1" w:rsidRPr="003F0D0B">
        <w:rPr>
          <w:lang w:eastAsia="ja-JP"/>
        </w:rPr>
        <w:t xml:space="preserve"> </w:t>
      </w:r>
      <w:r w:rsidR="00B722A1">
        <w:rPr>
          <w:lang w:eastAsia="ja-JP"/>
        </w:rPr>
        <w:t>ABARES Water Trade Model</w:t>
      </w:r>
    </w:p>
    <w:p w14:paraId="2C637ECC" w14:textId="77777777" w:rsidR="0074164D" w:rsidRDefault="0074164D" w:rsidP="0074164D">
      <w:pPr>
        <w:pStyle w:val="Caption"/>
      </w:pPr>
      <w:bookmarkStart w:id="19" w:name="_Ref2007775"/>
      <w:bookmarkStart w:id="20" w:name="_Toc14962336"/>
      <w:r>
        <w:t xml:space="preserve">Table </w:t>
      </w:r>
      <w:r>
        <w:rPr>
          <w:noProof/>
        </w:rPr>
        <w:fldChar w:fldCharType="begin"/>
      </w:r>
      <w:r>
        <w:rPr>
          <w:noProof/>
        </w:rPr>
        <w:instrText xml:space="preserve"> SEQ Table \* ARABIC </w:instrText>
      </w:r>
      <w:r>
        <w:rPr>
          <w:noProof/>
        </w:rPr>
        <w:fldChar w:fldCharType="separate"/>
      </w:r>
      <w:r w:rsidR="00200004">
        <w:rPr>
          <w:noProof/>
        </w:rPr>
        <w:t>1</w:t>
      </w:r>
      <w:r>
        <w:rPr>
          <w:noProof/>
        </w:rPr>
        <w:fldChar w:fldCharType="end"/>
      </w:r>
      <w:bookmarkEnd w:id="19"/>
      <w:r>
        <w:t>: ABARES water allocation price scenarios for 2019–20</w:t>
      </w:r>
      <w:bookmarkEnd w:id="20"/>
    </w:p>
    <w:tbl>
      <w:tblPr>
        <w:tblStyle w:val="ABARESTableleftrightalign"/>
        <w:tblW w:w="6596" w:type="dxa"/>
        <w:tblLook w:val="04A0" w:firstRow="1" w:lastRow="0" w:firstColumn="1" w:lastColumn="0" w:noHBand="0" w:noVBand="1"/>
      </w:tblPr>
      <w:tblGrid>
        <w:gridCol w:w="2260"/>
        <w:gridCol w:w="1359"/>
        <w:gridCol w:w="992"/>
        <w:gridCol w:w="992"/>
        <w:gridCol w:w="993"/>
      </w:tblGrid>
      <w:tr w:rsidR="00F71E31" w14:paraId="25BB65B5" w14:textId="77777777" w:rsidTr="00CB66C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0041E19" w14:textId="77777777" w:rsidR="00F71E31" w:rsidRPr="007A169B" w:rsidRDefault="00F71E31" w:rsidP="007A169B">
            <w:pPr>
              <w:pStyle w:val="TableText"/>
              <w:rPr>
                <w:rFonts w:eastAsia="Times New Roman" w:cs="Times New Roman"/>
                <w:lang w:eastAsia="en-AU"/>
              </w:rPr>
            </w:pPr>
            <w:r w:rsidRPr="007A169B">
              <w:t xml:space="preserve">Region </w:t>
            </w:r>
          </w:p>
        </w:tc>
        <w:tc>
          <w:tcPr>
            <w:tcW w:w="1359" w:type="dxa"/>
            <w:hideMark/>
          </w:tcPr>
          <w:p w14:paraId="4E698EA4" w14:textId="77777777" w:rsidR="00F71E31" w:rsidRPr="007A169B" w:rsidRDefault="00F71E31" w:rsidP="007A169B">
            <w:pPr>
              <w:pStyle w:val="TableText"/>
              <w:cnfStyle w:val="100000000000" w:firstRow="1" w:lastRow="0" w:firstColumn="0" w:lastColumn="0" w:oddVBand="0" w:evenVBand="0" w:oddHBand="0" w:evenHBand="0" w:firstRowFirstColumn="0" w:firstRowLastColumn="0" w:lastRowFirstColumn="0" w:lastRowLastColumn="0"/>
            </w:pPr>
            <w:r>
              <w:t xml:space="preserve"> Extreme</w:t>
            </w:r>
            <w:r w:rsidRPr="007A169B">
              <w:t xml:space="preserve"> Dry</w:t>
            </w:r>
            <w:r w:rsidRPr="007A169B">
              <w:br/>
              <w:t>($/ML)</w:t>
            </w:r>
          </w:p>
        </w:tc>
        <w:tc>
          <w:tcPr>
            <w:tcW w:w="992" w:type="dxa"/>
            <w:hideMark/>
          </w:tcPr>
          <w:p w14:paraId="4292157A" w14:textId="77777777" w:rsidR="00F71E31" w:rsidRPr="007A169B" w:rsidRDefault="00F71E31" w:rsidP="007A169B">
            <w:pPr>
              <w:pStyle w:val="TableText"/>
              <w:cnfStyle w:val="100000000000" w:firstRow="1" w:lastRow="0" w:firstColumn="0" w:lastColumn="0" w:oddVBand="0" w:evenVBand="0" w:oddHBand="0" w:evenHBand="0" w:firstRowFirstColumn="0" w:firstRowLastColumn="0" w:lastRowFirstColumn="0" w:lastRowLastColumn="0"/>
            </w:pPr>
            <w:r w:rsidRPr="007A169B">
              <w:t xml:space="preserve"> Dry</w:t>
            </w:r>
            <w:r w:rsidRPr="007A169B">
              <w:br/>
              <w:t>($/ML)</w:t>
            </w:r>
          </w:p>
        </w:tc>
        <w:tc>
          <w:tcPr>
            <w:tcW w:w="992" w:type="dxa"/>
            <w:hideMark/>
          </w:tcPr>
          <w:p w14:paraId="794EB25F" w14:textId="77777777" w:rsidR="00F71E31" w:rsidRPr="007A169B" w:rsidRDefault="00F71E31" w:rsidP="007A169B">
            <w:pPr>
              <w:pStyle w:val="TableText"/>
              <w:cnfStyle w:val="100000000000" w:firstRow="1" w:lastRow="0" w:firstColumn="0" w:lastColumn="0" w:oddVBand="0" w:evenVBand="0" w:oddHBand="0" w:evenHBand="0" w:firstRowFirstColumn="0" w:firstRowLastColumn="0" w:lastRowFirstColumn="0" w:lastRowLastColumn="0"/>
            </w:pPr>
            <w:r w:rsidRPr="007A169B">
              <w:t xml:space="preserve"> Average</w:t>
            </w:r>
            <w:r w:rsidRPr="007A169B">
              <w:br/>
              <w:t>($/ML)</w:t>
            </w:r>
          </w:p>
        </w:tc>
        <w:tc>
          <w:tcPr>
            <w:tcW w:w="993" w:type="dxa"/>
            <w:hideMark/>
          </w:tcPr>
          <w:p w14:paraId="5B1DEA89" w14:textId="77777777" w:rsidR="00F71E31" w:rsidRPr="007A169B" w:rsidRDefault="00F71E31" w:rsidP="007A169B">
            <w:pPr>
              <w:pStyle w:val="TableText"/>
              <w:cnfStyle w:val="100000000000" w:firstRow="1" w:lastRow="0" w:firstColumn="0" w:lastColumn="0" w:oddVBand="0" w:evenVBand="0" w:oddHBand="0" w:evenHBand="0" w:firstRowFirstColumn="0" w:firstRowLastColumn="0" w:lastRowFirstColumn="0" w:lastRowLastColumn="0"/>
            </w:pPr>
            <w:r w:rsidRPr="007A169B">
              <w:t xml:space="preserve"> Wet</w:t>
            </w:r>
            <w:r w:rsidRPr="007A169B">
              <w:br/>
              <w:t>($/ML)</w:t>
            </w:r>
          </w:p>
        </w:tc>
      </w:tr>
      <w:tr w:rsidR="001A6563" w14:paraId="45C926CA" w14:textId="77777777" w:rsidTr="00CB66C1">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139A5BA" w14:textId="77777777" w:rsidR="001A6563" w:rsidRDefault="001A6563" w:rsidP="001A6563">
            <w:pPr>
              <w:pStyle w:val="TableText"/>
            </w:pPr>
            <w:r>
              <w:rPr>
                <w:color w:val="000000"/>
                <w:szCs w:val="18"/>
              </w:rPr>
              <w:t xml:space="preserve"> NSW Murrumbidgee</w:t>
            </w:r>
          </w:p>
        </w:tc>
        <w:tc>
          <w:tcPr>
            <w:tcW w:w="1359" w:type="dxa"/>
            <w:noWrap/>
            <w:vAlign w:val="center"/>
            <w:hideMark/>
          </w:tcPr>
          <w:p w14:paraId="3E94D353" w14:textId="220568AB"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651</w:t>
            </w:r>
          </w:p>
        </w:tc>
        <w:tc>
          <w:tcPr>
            <w:tcW w:w="992" w:type="dxa"/>
            <w:noWrap/>
            <w:vAlign w:val="center"/>
            <w:hideMark/>
          </w:tcPr>
          <w:p w14:paraId="6E7BF363" w14:textId="77344E0C"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589</w:t>
            </w:r>
          </w:p>
        </w:tc>
        <w:tc>
          <w:tcPr>
            <w:tcW w:w="992" w:type="dxa"/>
            <w:noWrap/>
            <w:vAlign w:val="center"/>
            <w:hideMark/>
          </w:tcPr>
          <w:p w14:paraId="24350DCF" w14:textId="0AD3503B"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422</w:t>
            </w:r>
          </w:p>
        </w:tc>
        <w:tc>
          <w:tcPr>
            <w:tcW w:w="993" w:type="dxa"/>
            <w:noWrap/>
            <w:vAlign w:val="center"/>
            <w:hideMark/>
          </w:tcPr>
          <w:p w14:paraId="225F86F5" w14:textId="5744C522"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258</w:t>
            </w:r>
          </w:p>
        </w:tc>
      </w:tr>
      <w:tr w:rsidR="001A6563" w14:paraId="132F28D0" w14:textId="77777777" w:rsidTr="00CB66C1">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0E1FFA7" w14:textId="77777777" w:rsidR="001A6563" w:rsidRDefault="001A6563" w:rsidP="001A6563">
            <w:pPr>
              <w:pStyle w:val="TableText"/>
            </w:pPr>
            <w:r>
              <w:rPr>
                <w:color w:val="000000"/>
                <w:szCs w:val="18"/>
              </w:rPr>
              <w:t xml:space="preserve"> VIC Goulburn-Broken</w:t>
            </w:r>
          </w:p>
        </w:tc>
        <w:tc>
          <w:tcPr>
            <w:tcW w:w="1359" w:type="dxa"/>
            <w:noWrap/>
            <w:vAlign w:val="center"/>
            <w:hideMark/>
          </w:tcPr>
          <w:p w14:paraId="358BA4BB" w14:textId="6208888C"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651</w:t>
            </w:r>
          </w:p>
        </w:tc>
        <w:tc>
          <w:tcPr>
            <w:tcW w:w="992" w:type="dxa"/>
            <w:noWrap/>
            <w:vAlign w:val="center"/>
            <w:hideMark/>
          </w:tcPr>
          <w:p w14:paraId="493B7798" w14:textId="39AE0912"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526</w:t>
            </w:r>
          </w:p>
        </w:tc>
        <w:tc>
          <w:tcPr>
            <w:tcW w:w="992" w:type="dxa"/>
            <w:noWrap/>
            <w:vAlign w:val="center"/>
            <w:hideMark/>
          </w:tcPr>
          <w:p w14:paraId="0967DE02" w14:textId="39D39EEE"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332</w:t>
            </w:r>
          </w:p>
        </w:tc>
        <w:tc>
          <w:tcPr>
            <w:tcW w:w="993" w:type="dxa"/>
            <w:noWrap/>
            <w:vAlign w:val="center"/>
            <w:hideMark/>
          </w:tcPr>
          <w:p w14:paraId="70BCB9C2" w14:textId="34BE5667"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258</w:t>
            </w:r>
          </w:p>
        </w:tc>
      </w:tr>
      <w:tr w:rsidR="001A6563" w14:paraId="6A3CACCF" w14:textId="77777777" w:rsidTr="00CB66C1">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33D653E" w14:textId="77777777" w:rsidR="001A6563" w:rsidRDefault="001A6563" w:rsidP="001A6563">
            <w:pPr>
              <w:pStyle w:val="TableText"/>
            </w:pPr>
            <w:r>
              <w:rPr>
                <w:color w:val="000000"/>
                <w:szCs w:val="18"/>
              </w:rPr>
              <w:t xml:space="preserve"> NSW Murray Above</w:t>
            </w:r>
          </w:p>
        </w:tc>
        <w:tc>
          <w:tcPr>
            <w:tcW w:w="1359" w:type="dxa"/>
            <w:noWrap/>
            <w:vAlign w:val="center"/>
            <w:hideMark/>
          </w:tcPr>
          <w:p w14:paraId="01F8E85B" w14:textId="3FFA8276"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545</w:t>
            </w:r>
          </w:p>
        </w:tc>
        <w:tc>
          <w:tcPr>
            <w:tcW w:w="992" w:type="dxa"/>
            <w:noWrap/>
            <w:vAlign w:val="center"/>
            <w:hideMark/>
          </w:tcPr>
          <w:p w14:paraId="44F689EE" w14:textId="262E0D0D"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491</w:t>
            </w:r>
          </w:p>
        </w:tc>
        <w:tc>
          <w:tcPr>
            <w:tcW w:w="992" w:type="dxa"/>
            <w:noWrap/>
            <w:vAlign w:val="center"/>
            <w:hideMark/>
          </w:tcPr>
          <w:p w14:paraId="41164302" w14:textId="4E12FC6A"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332</w:t>
            </w:r>
          </w:p>
        </w:tc>
        <w:tc>
          <w:tcPr>
            <w:tcW w:w="993" w:type="dxa"/>
            <w:noWrap/>
            <w:vAlign w:val="center"/>
            <w:hideMark/>
          </w:tcPr>
          <w:p w14:paraId="0E158284" w14:textId="10462EE6"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246</w:t>
            </w:r>
          </w:p>
        </w:tc>
      </w:tr>
      <w:tr w:rsidR="001A6563" w14:paraId="69DD5345" w14:textId="77777777" w:rsidTr="00CB66C1">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BE7D82" w14:textId="77777777" w:rsidR="001A6563" w:rsidRDefault="001A6563" w:rsidP="001A6563">
            <w:pPr>
              <w:pStyle w:val="TableText"/>
            </w:pPr>
            <w:r>
              <w:rPr>
                <w:color w:val="000000"/>
                <w:szCs w:val="18"/>
              </w:rPr>
              <w:t xml:space="preserve"> VIC Murray Below</w:t>
            </w:r>
          </w:p>
        </w:tc>
        <w:tc>
          <w:tcPr>
            <w:tcW w:w="1359" w:type="dxa"/>
            <w:noWrap/>
            <w:vAlign w:val="center"/>
            <w:hideMark/>
          </w:tcPr>
          <w:p w14:paraId="0D7CAF6F" w14:textId="6771613F"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651</w:t>
            </w:r>
          </w:p>
        </w:tc>
        <w:tc>
          <w:tcPr>
            <w:tcW w:w="992" w:type="dxa"/>
            <w:noWrap/>
            <w:vAlign w:val="center"/>
            <w:hideMark/>
          </w:tcPr>
          <w:p w14:paraId="0362F012" w14:textId="0DA33374"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526</w:t>
            </w:r>
          </w:p>
        </w:tc>
        <w:tc>
          <w:tcPr>
            <w:tcW w:w="992" w:type="dxa"/>
            <w:noWrap/>
            <w:vAlign w:val="center"/>
            <w:hideMark/>
          </w:tcPr>
          <w:p w14:paraId="05A0A59B" w14:textId="29288006"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332</w:t>
            </w:r>
          </w:p>
        </w:tc>
        <w:tc>
          <w:tcPr>
            <w:tcW w:w="993" w:type="dxa"/>
            <w:noWrap/>
            <w:vAlign w:val="center"/>
            <w:hideMark/>
          </w:tcPr>
          <w:p w14:paraId="7EFDCE39" w14:textId="2D57F9D7"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258</w:t>
            </w:r>
          </w:p>
        </w:tc>
      </w:tr>
      <w:tr w:rsidR="001A6563" w14:paraId="3D70D7AB" w14:textId="77777777" w:rsidTr="00CB66C1">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AD073ED" w14:textId="77777777" w:rsidR="001A6563" w:rsidRDefault="001A6563" w:rsidP="001A6563">
            <w:pPr>
              <w:pStyle w:val="TableText"/>
            </w:pPr>
            <w:r>
              <w:rPr>
                <w:color w:val="000000"/>
                <w:szCs w:val="18"/>
              </w:rPr>
              <w:t xml:space="preserve"> NSW Lower Darling</w:t>
            </w:r>
          </w:p>
        </w:tc>
        <w:tc>
          <w:tcPr>
            <w:tcW w:w="1359" w:type="dxa"/>
            <w:noWrap/>
            <w:vAlign w:val="center"/>
            <w:hideMark/>
          </w:tcPr>
          <w:p w14:paraId="3D468D23" w14:textId="7C23A46E"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90</w:t>
            </w:r>
          </w:p>
        </w:tc>
        <w:tc>
          <w:tcPr>
            <w:tcW w:w="992" w:type="dxa"/>
            <w:noWrap/>
            <w:vAlign w:val="center"/>
            <w:hideMark/>
          </w:tcPr>
          <w:p w14:paraId="56A15EF7" w14:textId="7AD35AE5"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89</w:t>
            </w:r>
          </w:p>
        </w:tc>
        <w:tc>
          <w:tcPr>
            <w:tcW w:w="992" w:type="dxa"/>
            <w:noWrap/>
            <w:vAlign w:val="center"/>
            <w:hideMark/>
          </w:tcPr>
          <w:p w14:paraId="07C50F1D" w14:textId="217982A5"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81</w:t>
            </w:r>
          </w:p>
        </w:tc>
        <w:tc>
          <w:tcPr>
            <w:tcW w:w="993" w:type="dxa"/>
            <w:noWrap/>
            <w:vAlign w:val="center"/>
            <w:hideMark/>
          </w:tcPr>
          <w:p w14:paraId="2DE175CC" w14:textId="063DEC41"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258</w:t>
            </w:r>
          </w:p>
        </w:tc>
      </w:tr>
      <w:tr w:rsidR="001A6563" w14:paraId="5C6EC42D" w14:textId="77777777" w:rsidTr="00CB66C1">
        <w:trPr>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0E9CAE" w14:textId="77777777" w:rsidR="001A6563" w:rsidRDefault="001A6563" w:rsidP="001A6563">
            <w:pPr>
              <w:pStyle w:val="TableText"/>
            </w:pPr>
            <w:r>
              <w:rPr>
                <w:color w:val="000000"/>
                <w:szCs w:val="18"/>
              </w:rPr>
              <w:t xml:space="preserve"> SA Murray </w:t>
            </w:r>
          </w:p>
        </w:tc>
        <w:tc>
          <w:tcPr>
            <w:tcW w:w="1359" w:type="dxa"/>
            <w:noWrap/>
            <w:vAlign w:val="center"/>
            <w:hideMark/>
          </w:tcPr>
          <w:p w14:paraId="4A1FBAC3" w14:textId="7B24E283"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651</w:t>
            </w:r>
          </w:p>
        </w:tc>
        <w:tc>
          <w:tcPr>
            <w:tcW w:w="992" w:type="dxa"/>
            <w:noWrap/>
            <w:vAlign w:val="center"/>
            <w:hideMark/>
          </w:tcPr>
          <w:p w14:paraId="3E4C994A" w14:textId="568A4EC4"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526</w:t>
            </w:r>
          </w:p>
        </w:tc>
        <w:tc>
          <w:tcPr>
            <w:tcW w:w="992" w:type="dxa"/>
            <w:noWrap/>
            <w:vAlign w:val="center"/>
            <w:hideMark/>
          </w:tcPr>
          <w:p w14:paraId="1BA18C8B" w14:textId="7F0DFEE5"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332</w:t>
            </w:r>
          </w:p>
        </w:tc>
        <w:tc>
          <w:tcPr>
            <w:tcW w:w="993" w:type="dxa"/>
            <w:noWrap/>
            <w:vAlign w:val="center"/>
            <w:hideMark/>
          </w:tcPr>
          <w:p w14:paraId="1F99701D" w14:textId="1B0E2145" w:rsidR="001A656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258</w:t>
            </w:r>
          </w:p>
        </w:tc>
      </w:tr>
    </w:tbl>
    <w:p w14:paraId="51875036" w14:textId="7478B801" w:rsidR="00F71E31" w:rsidRDefault="007A169B">
      <w:pPr>
        <w:pStyle w:val="Normalsmall"/>
        <w:rPr>
          <w:lang w:eastAsia="ja-JP"/>
        </w:rPr>
      </w:pPr>
      <w:r w:rsidRPr="007A4F55">
        <w:rPr>
          <w:b/>
          <w:lang w:eastAsia="ja-JP"/>
        </w:rPr>
        <w:t xml:space="preserve"> </w:t>
      </w:r>
      <w:r w:rsidR="007A4F55" w:rsidRPr="007A4F55">
        <w:rPr>
          <w:b/>
          <w:lang w:eastAsia="ja-JP"/>
        </w:rPr>
        <w:t>Source:</w:t>
      </w:r>
      <w:r w:rsidR="007A4F55">
        <w:rPr>
          <w:lang w:eastAsia="ja-JP"/>
        </w:rPr>
        <w:t xml:space="preserve"> ABARES estimate</w:t>
      </w:r>
    </w:p>
    <w:p w14:paraId="4C596668" w14:textId="77777777" w:rsidR="00775EA6" w:rsidRDefault="00775EA6" w:rsidP="00775EA6">
      <w:pPr>
        <w:pStyle w:val="Style2"/>
      </w:pPr>
      <w:r>
        <w:t>Water trade limits</w:t>
      </w:r>
    </w:p>
    <w:p w14:paraId="1CBA8411" w14:textId="77777777" w:rsidR="00775EA6" w:rsidRDefault="00775EA6" w:rsidP="00775EA6">
      <w:pPr>
        <w:rPr>
          <w:lang w:eastAsia="ja-JP"/>
        </w:rPr>
      </w:pPr>
      <w:r>
        <w:rPr>
          <w:lang w:eastAsia="ja-JP"/>
        </w:rPr>
        <w:t xml:space="preserve">The results also show differences in prices between catchments under some scenarios due to binding inter-regional water trade limits. For example, the lower limit of the Murrumbidgee IVT is expected to be binding in the </w:t>
      </w:r>
      <w:r w:rsidRPr="00DF25F6">
        <w:rPr>
          <w:i/>
          <w:lang w:eastAsia="ja-JP"/>
        </w:rPr>
        <w:t>dry</w:t>
      </w:r>
      <w:r>
        <w:rPr>
          <w:lang w:eastAsia="ja-JP"/>
        </w:rPr>
        <w:t xml:space="preserve"> and </w:t>
      </w:r>
      <w:r>
        <w:rPr>
          <w:i/>
          <w:lang w:eastAsia="ja-JP"/>
        </w:rPr>
        <w:t xml:space="preserve">average </w:t>
      </w:r>
      <w:r>
        <w:rPr>
          <w:lang w:eastAsia="ja-JP"/>
        </w:rPr>
        <w:t>scenarios, restricting the volume of water that can be imported into this region, driving up prices in the Murrumbidgee compared with the Murray (</w:t>
      </w:r>
      <w:r>
        <w:rPr>
          <w:highlight w:val="yellow"/>
          <w:lang w:eastAsia="ja-JP"/>
        </w:rPr>
        <w:fldChar w:fldCharType="begin"/>
      </w:r>
      <w:r>
        <w:rPr>
          <w:lang w:eastAsia="ja-JP"/>
        </w:rPr>
        <w:instrText xml:space="preserve"> REF _Ref2007775 \h </w:instrText>
      </w:r>
      <w:r>
        <w:rPr>
          <w:highlight w:val="yellow"/>
          <w:lang w:eastAsia="ja-JP"/>
        </w:rPr>
      </w:r>
      <w:r>
        <w:rPr>
          <w:highlight w:val="yellow"/>
          <w:lang w:eastAsia="ja-JP"/>
        </w:rPr>
        <w:fldChar w:fldCharType="separate"/>
      </w:r>
      <w:r w:rsidR="00200004">
        <w:t xml:space="preserve">Table </w:t>
      </w:r>
      <w:r w:rsidR="00200004">
        <w:rPr>
          <w:noProof/>
        </w:rPr>
        <w:t>1</w:t>
      </w:r>
      <w:r>
        <w:rPr>
          <w:highlight w:val="yellow"/>
          <w:lang w:eastAsia="ja-JP"/>
        </w:rPr>
        <w:fldChar w:fldCharType="end"/>
      </w:r>
      <w:r>
        <w:rPr>
          <w:lang w:eastAsia="ja-JP"/>
        </w:rPr>
        <w:t>).</w:t>
      </w:r>
    </w:p>
    <w:p w14:paraId="31A5D925" w14:textId="2D3ADDD7" w:rsidR="00775EA6" w:rsidRDefault="00775EA6" w:rsidP="00775EA6">
      <w:pPr>
        <w:rPr>
          <w:lang w:eastAsia="ja-JP"/>
        </w:rPr>
      </w:pPr>
      <w:r>
        <w:rPr>
          <w:lang w:eastAsia="ja-JP"/>
        </w:rPr>
        <w:t xml:space="preserve">The Barmah choke is also expected to be binding in the </w:t>
      </w:r>
      <w:r w:rsidRPr="00ED3A46">
        <w:rPr>
          <w:i/>
          <w:lang w:eastAsia="ja-JP"/>
        </w:rPr>
        <w:t>dry</w:t>
      </w:r>
      <w:r>
        <w:rPr>
          <w:lang w:eastAsia="ja-JP"/>
        </w:rPr>
        <w:t xml:space="preserve"> and </w:t>
      </w:r>
      <w:r w:rsidRPr="00ED3A46">
        <w:rPr>
          <w:i/>
          <w:lang w:eastAsia="ja-JP"/>
        </w:rPr>
        <w:t>extreme dry</w:t>
      </w:r>
      <w:r>
        <w:rPr>
          <w:lang w:eastAsia="ja-JP"/>
        </w:rPr>
        <w:t xml:space="preserve"> scenarios. Due to reduced water availability in these scenarios, demand for allocation water is higher downstream of the choke. However, due to hydrological constraints, the volume of water that can be traded </w:t>
      </w:r>
      <w:r>
        <w:rPr>
          <w:lang w:eastAsia="ja-JP"/>
        </w:rPr>
        <w:lastRenderedPageBreak/>
        <w:t>out of catchments above the choke is restricted, thereby leading to lower water prices above the choke compared to below the choke.</w:t>
      </w:r>
    </w:p>
    <w:p w14:paraId="465D4451" w14:textId="1B8E0D46" w:rsidR="00775EA6" w:rsidRDefault="00775EA6" w:rsidP="00775EA6">
      <w:pPr>
        <w:rPr>
          <w:lang w:eastAsia="ja-JP"/>
        </w:rPr>
      </w:pPr>
      <w:r w:rsidRPr="00775EA6">
        <w:rPr>
          <w:lang w:eastAsia="ja-JP"/>
        </w:rPr>
        <w:t>The Lower Darling trade limit is also modelled to restrict exports of water from the region in all but the wet scenario, leading to lower prices in the Darling compared with the rest of the sMDB.</w:t>
      </w:r>
    </w:p>
    <w:p w14:paraId="293065C3" w14:textId="77777777" w:rsidR="003C1A36" w:rsidRDefault="003C1A36">
      <w:pPr>
        <w:pStyle w:val="Style2"/>
      </w:pPr>
      <w:r>
        <w:t xml:space="preserve">Water supply </w:t>
      </w:r>
      <w:r w:rsidR="00AF24A3">
        <w:t>in 2019-20</w:t>
      </w:r>
    </w:p>
    <w:p w14:paraId="40BCB571" w14:textId="77777777" w:rsidR="003C1A36" w:rsidRDefault="003C1A36" w:rsidP="003C1A36">
      <w:pPr>
        <w:rPr>
          <w:lang w:eastAsia="ja-JP"/>
        </w:rPr>
      </w:pPr>
      <w:r>
        <w:t xml:space="preserve">Allocation forecasts for 2019–20 from state water agencies are combined with estimates of actual carryover into 2019–20, to determine the total available water supply in the southern basin under each scenario (Figure </w:t>
      </w:r>
      <w:r w:rsidR="004860E2">
        <w:t>7</w:t>
      </w:r>
      <w:r>
        <w:t xml:space="preserve">). </w:t>
      </w:r>
      <w:r w:rsidR="00BF4F21">
        <w:rPr>
          <w:lang w:eastAsia="ja-JP"/>
        </w:rPr>
        <w:t>As with state water allocation outlooks, the scenarios designed by ABARES remain indicative only. Actual water allocations will depend on realised seasonal conditions.</w:t>
      </w:r>
    </w:p>
    <w:p w14:paraId="22899475" w14:textId="53F824EB" w:rsidR="00AF24A3" w:rsidRDefault="002F61BB" w:rsidP="003C1A36">
      <w:pPr>
        <w:rPr>
          <w:lang w:eastAsia="ja-JP"/>
        </w:rPr>
      </w:pPr>
      <w:r>
        <w:rPr>
          <w:lang w:eastAsia="ja-JP"/>
        </w:rPr>
        <w:t>A</w:t>
      </w:r>
      <w:r w:rsidR="00735714">
        <w:rPr>
          <w:lang w:eastAsia="ja-JP"/>
        </w:rPr>
        <w:t xml:space="preserve">ll three state water agencies have increased the level of allocation water </w:t>
      </w:r>
      <w:r>
        <w:rPr>
          <w:lang w:eastAsia="ja-JP"/>
        </w:rPr>
        <w:t xml:space="preserve">projected to be </w:t>
      </w:r>
      <w:r w:rsidR="00735714">
        <w:rPr>
          <w:lang w:eastAsia="ja-JP"/>
        </w:rPr>
        <w:t xml:space="preserve">available in 2019-20 </w:t>
      </w:r>
      <w:r w:rsidR="004431A9">
        <w:rPr>
          <w:lang w:eastAsia="ja-JP"/>
        </w:rPr>
        <w:t xml:space="preserve">in some key catchments </w:t>
      </w:r>
      <w:r>
        <w:rPr>
          <w:lang w:eastAsia="ja-JP"/>
        </w:rPr>
        <w:t xml:space="preserve">compared to </w:t>
      </w:r>
      <w:r w:rsidR="00756895">
        <w:rPr>
          <w:lang w:eastAsia="ja-JP"/>
        </w:rPr>
        <w:t xml:space="preserve">announcements made in </w:t>
      </w:r>
      <w:r>
        <w:rPr>
          <w:lang w:eastAsia="ja-JP"/>
        </w:rPr>
        <w:t xml:space="preserve">March </w:t>
      </w:r>
      <w:r w:rsidR="00756895">
        <w:rPr>
          <w:lang w:eastAsia="ja-JP"/>
        </w:rPr>
        <w:t xml:space="preserve">2016 </w:t>
      </w:r>
      <w:r w:rsidR="00735714">
        <w:rPr>
          <w:lang w:eastAsia="ja-JP"/>
        </w:rPr>
        <w:t>(</w:t>
      </w:r>
      <w:r w:rsidR="00735714">
        <w:rPr>
          <w:lang w:eastAsia="ja-JP"/>
        </w:rPr>
        <w:fldChar w:fldCharType="begin"/>
      </w:r>
      <w:r w:rsidR="00735714">
        <w:rPr>
          <w:lang w:eastAsia="ja-JP"/>
        </w:rPr>
        <w:instrText xml:space="preserve"> REF _Ref12536745 \h </w:instrText>
      </w:r>
      <w:r w:rsidR="00735714">
        <w:rPr>
          <w:lang w:eastAsia="ja-JP"/>
        </w:rPr>
      </w:r>
      <w:r w:rsidR="00735714">
        <w:rPr>
          <w:lang w:eastAsia="ja-JP"/>
        </w:rPr>
        <w:fldChar w:fldCharType="separate"/>
      </w:r>
      <w:r w:rsidR="00200004">
        <w:t>Table A</w:t>
      </w:r>
      <w:r w:rsidR="00200004">
        <w:rPr>
          <w:noProof/>
        </w:rPr>
        <w:t>4</w:t>
      </w:r>
      <w:r w:rsidR="00735714">
        <w:rPr>
          <w:lang w:eastAsia="ja-JP"/>
        </w:rPr>
        <w:fldChar w:fldCharType="end"/>
      </w:r>
      <w:r w:rsidR="00735714">
        <w:rPr>
          <w:lang w:eastAsia="ja-JP"/>
        </w:rPr>
        <w:t>)</w:t>
      </w:r>
      <w:r>
        <w:rPr>
          <w:lang w:eastAsia="ja-JP"/>
        </w:rPr>
        <w:t>. There has also been a significant increase in the volume of water carried forward</w:t>
      </w:r>
      <w:r w:rsidR="003C1A36">
        <w:rPr>
          <w:lang w:eastAsia="ja-JP"/>
        </w:rPr>
        <w:t xml:space="preserve"> (</w:t>
      </w:r>
      <w:r w:rsidR="00BF4F21">
        <w:rPr>
          <w:lang w:eastAsia="ja-JP"/>
        </w:rPr>
        <w:t>marked in red, Figure 7</w:t>
      </w:r>
      <w:r w:rsidR="003C1A36">
        <w:rPr>
          <w:lang w:eastAsia="ja-JP"/>
        </w:rPr>
        <w:t>)</w:t>
      </w:r>
      <w:r>
        <w:rPr>
          <w:lang w:eastAsia="ja-JP"/>
        </w:rPr>
        <w:t xml:space="preserve"> into 2019-20</w:t>
      </w:r>
      <w:r w:rsidR="004860E2">
        <w:rPr>
          <w:lang w:eastAsia="ja-JP"/>
        </w:rPr>
        <w:t xml:space="preserve"> </w:t>
      </w:r>
      <w:r w:rsidR="00BF4F21">
        <w:rPr>
          <w:lang w:eastAsia="ja-JP"/>
        </w:rPr>
        <w:t>compared to March</w:t>
      </w:r>
      <w:r w:rsidR="004860E2">
        <w:rPr>
          <w:lang w:eastAsia="ja-JP"/>
        </w:rPr>
        <w:t xml:space="preserve"> (see,</w:t>
      </w:r>
      <w:r w:rsidR="007D41E3">
        <w:rPr>
          <w:lang w:eastAsia="ja-JP"/>
        </w:rPr>
        <w:t xml:space="preserve"> </w:t>
      </w:r>
      <w:r w:rsidR="007D41E3">
        <w:rPr>
          <w:lang w:eastAsia="ja-JP"/>
        </w:rPr>
        <w:fldChar w:fldCharType="begin"/>
      </w:r>
      <w:r w:rsidR="007D41E3">
        <w:rPr>
          <w:lang w:eastAsia="ja-JP"/>
        </w:rPr>
        <w:instrText xml:space="preserve"> REF _Ref13059529 \h </w:instrText>
      </w:r>
      <w:r w:rsidR="007D41E3">
        <w:rPr>
          <w:lang w:eastAsia="ja-JP"/>
        </w:rPr>
      </w:r>
      <w:r w:rsidR="007D41E3">
        <w:rPr>
          <w:lang w:eastAsia="ja-JP"/>
        </w:rPr>
        <w:fldChar w:fldCharType="separate"/>
      </w:r>
      <w:r w:rsidR="00200004">
        <w:t>Table A</w:t>
      </w:r>
      <w:r w:rsidR="00200004">
        <w:rPr>
          <w:noProof/>
        </w:rPr>
        <w:t>5</w:t>
      </w:r>
      <w:r w:rsidR="007D41E3">
        <w:rPr>
          <w:lang w:eastAsia="ja-JP"/>
        </w:rPr>
        <w:fldChar w:fldCharType="end"/>
      </w:r>
      <w:r w:rsidR="004860E2">
        <w:rPr>
          <w:lang w:eastAsia="ja-JP"/>
        </w:rPr>
        <w:t>)</w:t>
      </w:r>
      <w:r>
        <w:rPr>
          <w:lang w:eastAsia="ja-JP"/>
        </w:rPr>
        <w:t xml:space="preserve">. </w:t>
      </w:r>
      <w:r w:rsidR="004860E2">
        <w:rPr>
          <w:lang w:eastAsia="ja-JP"/>
        </w:rPr>
        <w:t>Carryover volumes into 2019-20 were quite high by his</w:t>
      </w:r>
      <w:r w:rsidR="00E97C63">
        <w:rPr>
          <w:lang w:eastAsia="ja-JP"/>
        </w:rPr>
        <w:t>torical standards with around 31</w:t>
      </w:r>
      <w:r w:rsidR="004860E2">
        <w:rPr>
          <w:lang w:eastAsia="ja-JP"/>
        </w:rPr>
        <w:t xml:space="preserve"> per cent of available 2018-19 water supply carried over into 2020-21</w:t>
      </w:r>
      <w:r w:rsidR="00756895">
        <w:rPr>
          <w:lang w:eastAsia="ja-JP"/>
        </w:rPr>
        <w:t xml:space="preserve"> (Figure 8)</w:t>
      </w:r>
      <w:r w:rsidR="004860E2">
        <w:rPr>
          <w:lang w:eastAsia="ja-JP"/>
        </w:rPr>
        <w:t>.</w:t>
      </w:r>
    </w:p>
    <w:p w14:paraId="13110F45" w14:textId="034C380F" w:rsidR="004860E2" w:rsidRPr="00CD5780" w:rsidRDefault="004860E2" w:rsidP="004860E2">
      <w:pPr>
        <w:rPr>
          <w:lang w:eastAsia="ja-JP"/>
        </w:rPr>
      </w:pPr>
      <w:r>
        <w:rPr>
          <w:lang w:eastAsia="ja-JP"/>
        </w:rPr>
        <w:t xml:space="preserve">Across </w:t>
      </w:r>
      <w:r w:rsidR="00E97C63">
        <w:rPr>
          <w:lang w:eastAsia="ja-JP"/>
        </w:rPr>
        <w:t>the southern basin, around 3,442</w:t>
      </w:r>
      <w:r>
        <w:rPr>
          <w:lang w:eastAsia="ja-JP"/>
        </w:rPr>
        <w:t xml:space="preserve"> GL of water allocation is forecast to be available for irrigation use in the </w:t>
      </w:r>
      <w:r w:rsidRPr="00884C27">
        <w:rPr>
          <w:i/>
          <w:lang w:eastAsia="ja-JP"/>
        </w:rPr>
        <w:t>dry</w:t>
      </w:r>
      <w:r>
        <w:rPr>
          <w:lang w:eastAsia="ja-JP"/>
        </w:rPr>
        <w:t xml:space="preserve"> scenario by the end of 2019-20 (including carryover and excluding environmental water) (Figure 7). This would be a 25% decline relative to 2018-19 but still higher than the worst of the Millennium drought (where supply averaged 2,590 GL between 2007-08 and 2008-09). The less likely </w:t>
      </w:r>
      <w:r>
        <w:rPr>
          <w:i/>
          <w:lang w:eastAsia="ja-JP"/>
        </w:rPr>
        <w:t xml:space="preserve">extreme dry </w:t>
      </w:r>
      <w:r>
        <w:rPr>
          <w:lang w:eastAsia="ja-JP"/>
        </w:rPr>
        <w:t>scenario would see water alloca</w:t>
      </w:r>
      <w:r w:rsidR="00E97C63">
        <w:rPr>
          <w:lang w:eastAsia="ja-JP"/>
        </w:rPr>
        <w:t>tion supply fall to around 2,802</w:t>
      </w:r>
      <w:r>
        <w:rPr>
          <w:lang w:eastAsia="ja-JP"/>
        </w:rPr>
        <w:t xml:space="preserve"> GL. Under the </w:t>
      </w:r>
      <w:r>
        <w:rPr>
          <w:i/>
          <w:lang w:eastAsia="ja-JP"/>
        </w:rPr>
        <w:t xml:space="preserve">average </w:t>
      </w:r>
      <w:r>
        <w:rPr>
          <w:lang w:eastAsia="ja-JP"/>
        </w:rPr>
        <w:t xml:space="preserve">and </w:t>
      </w:r>
      <w:r w:rsidRPr="001B1C17">
        <w:rPr>
          <w:i/>
          <w:lang w:eastAsia="ja-JP"/>
        </w:rPr>
        <w:t xml:space="preserve">wet </w:t>
      </w:r>
      <w:r>
        <w:rPr>
          <w:lang w:eastAsia="ja-JP"/>
        </w:rPr>
        <w:t>scenarios water availability is forecast to increas</w:t>
      </w:r>
      <w:r w:rsidR="007D41E3">
        <w:rPr>
          <w:lang w:eastAsia="ja-JP"/>
        </w:rPr>
        <w:t>e to 5,316 GL and</w:t>
      </w:r>
      <w:r w:rsidR="00E97C63">
        <w:rPr>
          <w:lang w:eastAsia="ja-JP"/>
        </w:rPr>
        <w:t xml:space="preserve"> 6,112</w:t>
      </w:r>
      <w:r>
        <w:rPr>
          <w:lang w:eastAsia="ja-JP"/>
        </w:rPr>
        <w:t xml:space="preserve"> GL</w:t>
      </w:r>
      <w:r w:rsidR="007D41E3">
        <w:rPr>
          <w:lang w:eastAsia="ja-JP"/>
        </w:rPr>
        <w:t xml:space="preserve"> respectively</w:t>
      </w:r>
      <w:r>
        <w:rPr>
          <w:lang w:eastAsia="ja-JP"/>
        </w:rPr>
        <w:t>.</w:t>
      </w:r>
    </w:p>
    <w:p w14:paraId="1083777A" w14:textId="77777777" w:rsidR="003C1A36" w:rsidRDefault="003C1A36" w:rsidP="003C1A36">
      <w:pPr>
        <w:pStyle w:val="Caption"/>
      </w:pPr>
      <w:bookmarkStart w:id="21" w:name="_Ref13043738"/>
      <w:bookmarkStart w:id="22" w:name="_Toc14962349"/>
      <w:r>
        <w:t xml:space="preserve">Figure </w:t>
      </w:r>
      <w:r>
        <w:rPr>
          <w:noProof/>
        </w:rPr>
        <w:fldChar w:fldCharType="begin"/>
      </w:r>
      <w:r>
        <w:rPr>
          <w:noProof/>
        </w:rPr>
        <w:instrText xml:space="preserve"> SEQ Figure \* ARABIC </w:instrText>
      </w:r>
      <w:r>
        <w:rPr>
          <w:noProof/>
        </w:rPr>
        <w:fldChar w:fldCharType="separate"/>
      </w:r>
      <w:r w:rsidR="00200004">
        <w:rPr>
          <w:noProof/>
        </w:rPr>
        <w:t>7</w:t>
      </w:r>
      <w:r>
        <w:rPr>
          <w:noProof/>
        </w:rPr>
        <w:fldChar w:fldCharType="end"/>
      </w:r>
      <w:bookmarkEnd w:id="21"/>
      <w:r>
        <w:t xml:space="preserve"> </w:t>
      </w:r>
      <w:r w:rsidRPr="003B1BBA">
        <w:t>Total available water allocation supply in the sMDB</w:t>
      </w:r>
      <w:bookmarkEnd w:id="22"/>
    </w:p>
    <w:p w14:paraId="5E2F3CDE" w14:textId="0C3EBFC0" w:rsidR="003C1A36" w:rsidRPr="0016055D" w:rsidRDefault="001A6563" w:rsidP="00775EA6">
      <w:pPr>
        <w:pStyle w:val="FigureTableNoteSource"/>
      </w:pPr>
      <w:r w:rsidRPr="001A6563">
        <w:rPr>
          <w:noProof/>
          <w:lang w:eastAsia="en-AU"/>
        </w:rPr>
        <w:drawing>
          <wp:inline distT="0" distB="0" distL="0" distR="0" wp14:anchorId="5AA70086" wp14:editId="36E7F9C0">
            <wp:extent cx="5473407" cy="346781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608"/>
                    <a:stretch/>
                  </pic:blipFill>
                  <pic:spPr bwMode="auto">
                    <a:xfrm>
                      <a:off x="0" y="0"/>
                      <a:ext cx="5489578" cy="3478065"/>
                    </a:xfrm>
                    <a:prstGeom prst="rect">
                      <a:avLst/>
                    </a:prstGeom>
                    <a:noFill/>
                    <a:ln>
                      <a:noFill/>
                    </a:ln>
                    <a:extLst>
                      <a:ext uri="{53640926-AAD7-44D8-BBD7-CCE9431645EC}">
                        <a14:shadowObscured xmlns:a14="http://schemas.microsoft.com/office/drawing/2010/main"/>
                      </a:ext>
                    </a:extLst>
                  </pic:spPr>
                </pic:pic>
              </a:graphicData>
            </a:graphic>
          </wp:inline>
        </w:drawing>
      </w:r>
      <w:r w:rsidR="00775EA6">
        <w:br/>
      </w:r>
      <w:r w:rsidR="003C1A36" w:rsidRPr="00775EA6">
        <w:rPr>
          <w:rStyle w:val="FooterChar"/>
          <w:b/>
        </w:rPr>
        <w:t>Source:</w:t>
      </w:r>
      <w:r w:rsidR="003C1A36" w:rsidRPr="00775EA6">
        <w:rPr>
          <w:rStyle w:val="FooterChar"/>
        </w:rPr>
        <w:t xml:space="preserve"> </w:t>
      </w:r>
      <w:r w:rsidR="00775EA6">
        <w:rPr>
          <w:rStyle w:val="FooterChar"/>
        </w:rPr>
        <w:t xml:space="preserve">ABARES estimate using data from </w:t>
      </w:r>
      <w:r w:rsidR="003C1A36" w:rsidRPr="00775EA6">
        <w:rPr>
          <w:rStyle w:val="FooterChar"/>
        </w:rPr>
        <w:t>SA DEW, NSW DPI, NVRM</w:t>
      </w:r>
    </w:p>
    <w:p w14:paraId="553EE6E4" w14:textId="77777777" w:rsidR="003C1A36" w:rsidRDefault="003C1A36" w:rsidP="003C1A36">
      <w:pPr>
        <w:pStyle w:val="Caption"/>
      </w:pPr>
      <w:bookmarkStart w:id="23" w:name="_Toc14962350"/>
      <w:r>
        <w:lastRenderedPageBreak/>
        <w:t xml:space="preserve">Figure </w:t>
      </w:r>
      <w:r>
        <w:rPr>
          <w:noProof/>
        </w:rPr>
        <w:fldChar w:fldCharType="begin"/>
      </w:r>
      <w:r>
        <w:rPr>
          <w:noProof/>
        </w:rPr>
        <w:instrText xml:space="preserve"> SEQ Figure \* ARABIC </w:instrText>
      </w:r>
      <w:r>
        <w:rPr>
          <w:noProof/>
        </w:rPr>
        <w:fldChar w:fldCharType="separate"/>
      </w:r>
      <w:r w:rsidR="00200004">
        <w:rPr>
          <w:noProof/>
        </w:rPr>
        <w:t>8</w:t>
      </w:r>
      <w:r>
        <w:rPr>
          <w:noProof/>
        </w:rPr>
        <w:fldChar w:fldCharType="end"/>
      </w:r>
      <w:r>
        <w:t xml:space="preserve"> Proportion of water carried over relative to </w:t>
      </w:r>
      <w:r w:rsidR="00AF24A3">
        <w:t>annual rainfall</w:t>
      </w:r>
      <w:bookmarkEnd w:id="23"/>
    </w:p>
    <w:p w14:paraId="692C954A" w14:textId="36DB4F99" w:rsidR="003C1A36" w:rsidRDefault="001A6563" w:rsidP="003C1A36">
      <w:pPr>
        <w:rPr>
          <w:lang w:eastAsia="ja-JP"/>
        </w:rPr>
      </w:pPr>
      <w:r w:rsidRPr="001A6563">
        <w:rPr>
          <w:noProof/>
          <w:lang w:eastAsia="en-AU"/>
        </w:rPr>
        <w:drawing>
          <wp:inline distT="0" distB="0" distL="0" distR="0" wp14:anchorId="092A9A25" wp14:editId="51C4AD5A">
            <wp:extent cx="5724000" cy="313796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851"/>
                    <a:stretch/>
                  </pic:blipFill>
                  <pic:spPr bwMode="auto">
                    <a:xfrm>
                      <a:off x="0" y="0"/>
                      <a:ext cx="5724000" cy="3137960"/>
                    </a:xfrm>
                    <a:prstGeom prst="rect">
                      <a:avLst/>
                    </a:prstGeom>
                    <a:noFill/>
                    <a:ln>
                      <a:noFill/>
                    </a:ln>
                    <a:extLst>
                      <a:ext uri="{53640926-AAD7-44D8-BBD7-CCE9431645EC}">
                        <a14:shadowObscured xmlns:a14="http://schemas.microsoft.com/office/drawing/2010/main"/>
                      </a:ext>
                    </a:extLst>
                  </pic:spPr>
                </pic:pic>
              </a:graphicData>
            </a:graphic>
          </wp:inline>
        </w:drawing>
      </w:r>
    </w:p>
    <w:p w14:paraId="73059059" w14:textId="77777777" w:rsidR="00ED3A46" w:rsidRDefault="00B722A1" w:rsidP="00B722A1">
      <w:pPr>
        <w:pStyle w:val="Style2"/>
      </w:pPr>
      <w:r>
        <w:t>Water supply into 2020-21</w:t>
      </w:r>
    </w:p>
    <w:p w14:paraId="377F9EBE" w14:textId="7D0C2B52" w:rsidR="00ED3A46" w:rsidRDefault="00B722A1" w:rsidP="00FF7041">
      <w:pPr>
        <w:rPr>
          <w:lang w:eastAsia="ja-JP"/>
        </w:rPr>
      </w:pPr>
      <w:r>
        <w:rPr>
          <w:lang w:eastAsia="ja-JP"/>
        </w:rPr>
        <w:t>I</w:t>
      </w:r>
      <w:r w:rsidR="00ED3A46">
        <w:rPr>
          <w:lang w:eastAsia="ja-JP"/>
        </w:rPr>
        <w:t>f dry conditions eventuate in 2019–20, modelling suggests a substantial decrease in the volume of water carried forward into 2020–21 (</w:t>
      </w:r>
      <w:r w:rsidR="00ED3A46">
        <w:rPr>
          <w:highlight w:val="yellow"/>
          <w:lang w:eastAsia="ja-JP"/>
        </w:rPr>
        <w:fldChar w:fldCharType="begin"/>
      </w:r>
      <w:r w:rsidR="00ED3A46">
        <w:rPr>
          <w:lang w:eastAsia="ja-JP"/>
        </w:rPr>
        <w:instrText xml:space="preserve"> REF _Ref12603162 \h </w:instrText>
      </w:r>
      <w:r w:rsidR="00ED3A46">
        <w:rPr>
          <w:highlight w:val="yellow"/>
          <w:lang w:eastAsia="ja-JP"/>
        </w:rPr>
      </w:r>
      <w:r w:rsidR="00ED3A46">
        <w:rPr>
          <w:highlight w:val="yellow"/>
          <w:lang w:eastAsia="ja-JP"/>
        </w:rPr>
        <w:fldChar w:fldCharType="separate"/>
      </w:r>
      <w:r w:rsidR="00200004">
        <w:t>Table A</w:t>
      </w:r>
      <w:r w:rsidR="00200004">
        <w:rPr>
          <w:noProof/>
        </w:rPr>
        <w:t>6</w:t>
      </w:r>
      <w:r w:rsidR="00ED3A46">
        <w:rPr>
          <w:highlight w:val="yellow"/>
          <w:lang w:eastAsia="ja-JP"/>
        </w:rPr>
        <w:fldChar w:fldCharType="end"/>
      </w:r>
      <w:r w:rsidR="00ED3A46">
        <w:rPr>
          <w:lang w:eastAsia="ja-JP"/>
        </w:rPr>
        <w:t xml:space="preserve">). For example, irrigators in the </w:t>
      </w:r>
      <w:r w:rsidR="007D41E3">
        <w:rPr>
          <w:lang w:eastAsia="ja-JP"/>
        </w:rPr>
        <w:t>Victorian</w:t>
      </w:r>
      <w:r w:rsidR="00ED3A46">
        <w:rPr>
          <w:lang w:eastAsia="ja-JP"/>
        </w:rPr>
        <w:t xml:space="preserve"> Murray carried over around 7</w:t>
      </w:r>
      <w:r w:rsidR="004B0673">
        <w:rPr>
          <w:lang w:eastAsia="ja-JP"/>
        </w:rPr>
        <w:t>11</w:t>
      </w:r>
      <w:r w:rsidR="00ED3A46">
        <w:rPr>
          <w:lang w:eastAsia="ja-JP"/>
        </w:rPr>
        <w:t xml:space="preserve"> GL of water into 2019–20, but are projected to c</w:t>
      </w:r>
      <w:r w:rsidR="004B0673">
        <w:rPr>
          <w:lang w:eastAsia="ja-JP"/>
        </w:rPr>
        <w:t>arryover a little more than half that (382</w:t>
      </w:r>
      <w:r w:rsidR="00ED3A46">
        <w:rPr>
          <w:lang w:eastAsia="ja-JP"/>
        </w:rPr>
        <w:t xml:space="preserve"> GL) into 2020–21 in a </w:t>
      </w:r>
      <w:r w:rsidR="00ED3A46" w:rsidRPr="006635E1">
        <w:rPr>
          <w:i/>
          <w:lang w:eastAsia="ja-JP"/>
        </w:rPr>
        <w:t>dry</w:t>
      </w:r>
      <w:r w:rsidR="00ED3A46">
        <w:rPr>
          <w:lang w:eastAsia="ja-JP"/>
        </w:rPr>
        <w:t xml:space="preserve"> scenario. As a result, if dry conditions</w:t>
      </w:r>
      <w:r w:rsidR="00427DF4">
        <w:rPr>
          <w:lang w:eastAsia="ja-JP"/>
        </w:rPr>
        <w:t xml:space="preserve"> do persist</w:t>
      </w:r>
      <w:r w:rsidR="00ED3A46">
        <w:rPr>
          <w:lang w:eastAsia="ja-JP"/>
        </w:rPr>
        <w:t>, water prices could increase significantly in 2020–21.</w:t>
      </w:r>
    </w:p>
    <w:p w14:paraId="35F9B4F8" w14:textId="77777777" w:rsidR="003F5321" w:rsidRDefault="00697DFD" w:rsidP="00697DFD">
      <w:pPr>
        <w:pStyle w:val="Heading2"/>
        <w:numPr>
          <w:ilvl w:val="0"/>
          <w:numId w:val="0"/>
        </w:numPr>
        <w:ind w:left="720" w:hanging="720"/>
      </w:pPr>
      <w:bookmarkStart w:id="24" w:name="_Ref12885542"/>
      <w:bookmarkStart w:id="25" w:name="_Toc14962334"/>
      <w:bookmarkStart w:id="26" w:name="_Toc430782162"/>
      <w:r>
        <w:lastRenderedPageBreak/>
        <w:t xml:space="preserve">Appendix A: </w:t>
      </w:r>
      <w:r w:rsidR="003F5321">
        <w:t>ABARES outlook scenarios</w:t>
      </w:r>
      <w:bookmarkEnd w:id="24"/>
      <w:bookmarkEnd w:id="25"/>
    </w:p>
    <w:p w14:paraId="47A04EAF" w14:textId="77777777" w:rsidR="00697DFD" w:rsidRPr="00697DFD" w:rsidRDefault="00697DFD" w:rsidP="00697DFD">
      <w:pPr>
        <w:pStyle w:val="Heading4"/>
        <w:numPr>
          <w:ilvl w:val="0"/>
          <w:numId w:val="0"/>
        </w:numPr>
        <w:ind w:left="964" w:hanging="964"/>
        <w:rPr>
          <w:lang w:eastAsia="ja-JP"/>
        </w:rPr>
      </w:pPr>
      <w:r>
        <w:rPr>
          <w:lang w:eastAsia="ja-JP"/>
        </w:rPr>
        <w:t>ABARES outlook scenarios</w:t>
      </w:r>
    </w:p>
    <w:p w14:paraId="5031B039" w14:textId="1331BFDC" w:rsidR="004F0C7A" w:rsidRDefault="003F5321" w:rsidP="003F5321">
      <w:pPr>
        <w:rPr>
          <w:lang w:eastAsia="ja-JP"/>
        </w:rPr>
      </w:pPr>
      <w:r>
        <w:t>ABARES has designed four outlook scenarios for 20</w:t>
      </w:r>
      <w:r w:rsidR="005B1E51">
        <w:t>19–</w:t>
      </w:r>
      <w:r>
        <w:t>20 (</w:t>
      </w:r>
      <w:r w:rsidR="00A66DD6">
        <w:t>Table A1</w:t>
      </w:r>
      <w:r w:rsidR="00F12F46">
        <w:t>)</w:t>
      </w:r>
      <w:r>
        <w:t xml:space="preserve">. </w:t>
      </w:r>
      <w:r w:rsidR="004F0C7A">
        <w:t xml:space="preserve">The outlook scenarios defined by various state water agencies as at 15 July 2019, are also included in Table A1. </w:t>
      </w:r>
      <w:r w:rsidR="004F0C7A">
        <w:rPr>
          <w:lang w:eastAsia="ja-JP"/>
        </w:rPr>
        <w:t>It is important to note that outlook scenarios released by the states remain indicative only. Actual water allocations will depend on realised seasonal conditions. Outlook scenarios are also subject to updates throughout the year.</w:t>
      </w:r>
    </w:p>
    <w:p w14:paraId="7D8723F9" w14:textId="44B194D2" w:rsidR="004F0C7A" w:rsidRDefault="004F0C7A" w:rsidP="003F5321">
      <w:r>
        <w:rPr>
          <w:lang w:eastAsia="ja-JP"/>
        </w:rPr>
        <w:t>As shown in Table A1, t</w:t>
      </w:r>
      <w:r>
        <w:t>he definition of outlook scenarios and the level of information provided can vary by state water agency. The ABARES outlook scenarios are largely based on those used by the Northern Victoria Resource Manager (NVRM). Outlook scenarios from other states are matched against the</w:t>
      </w:r>
      <w:r w:rsidR="004805D3">
        <w:t xml:space="preserve"> ABARES</w:t>
      </w:r>
      <w:r>
        <w:t xml:space="preserve"> scenario definitions. </w:t>
      </w:r>
    </w:p>
    <w:p w14:paraId="2455ADDC" w14:textId="77777777" w:rsidR="004F0C7A" w:rsidRDefault="004F0C7A" w:rsidP="004F0C7A">
      <w:pPr>
        <w:pStyle w:val="Caption"/>
      </w:pPr>
      <w:bookmarkStart w:id="27" w:name="_Ref12615460"/>
      <w:bookmarkStart w:id="28" w:name="_Toc14962337"/>
      <w:r>
        <w:t>Table A</w:t>
      </w:r>
      <w:bookmarkEnd w:id="27"/>
      <w:r>
        <w:rPr>
          <w:noProof/>
        </w:rPr>
        <w:fldChar w:fldCharType="begin"/>
      </w:r>
      <w:r>
        <w:rPr>
          <w:noProof/>
        </w:rPr>
        <w:instrText xml:space="preserve"> SEQ Table \* ARABIC  \r1 </w:instrText>
      </w:r>
      <w:r>
        <w:rPr>
          <w:noProof/>
        </w:rPr>
        <w:fldChar w:fldCharType="separate"/>
      </w:r>
      <w:r w:rsidR="00200004">
        <w:rPr>
          <w:noProof/>
        </w:rPr>
        <w:t>1</w:t>
      </w:r>
      <w:r>
        <w:rPr>
          <w:noProof/>
        </w:rPr>
        <w:fldChar w:fldCharType="end"/>
      </w:r>
      <w:r>
        <w:t xml:space="preserve"> ABARES outlook scenarios matched against state outlook scenarios</w:t>
      </w:r>
      <w:bookmarkEnd w:id="28"/>
    </w:p>
    <w:tbl>
      <w:tblPr>
        <w:tblW w:w="5000" w:type="pct"/>
        <w:tblLook w:val="04A0" w:firstRow="1" w:lastRow="0" w:firstColumn="1" w:lastColumn="0" w:noHBand="0" w:noVBand="1"/>
      </w:tblPr>
      <w:tblGrid>
        <w:gridCol w:w="2551"/>
        <w:gridCol w:w="2173"/>
        <w:gridCol w:w="2173"/>
        <w:gridCol w:w="2173"/>
      </w:tblGrid>
      <w:tr w:rsidR="004F0C7A" w:rsidRPr="004F0C7A" w14:paraId="038202CA" w14:textId="77777777" w:rsidTr="000C27E7">
        <w:trPr>
          <w:trHeight w:val="390"/>
        </w:trPr>
        <w:tc>
          <w:tcPr>
            <w:tcW w:w="1406" w:type="pct"/>
            <w:tcBorders>
              <w:top w:val="single" w:sz="4" w:space="0" w:color="auto"/>
            </w:tcBorders>
            <w:shd w:val="clear" w:color="auto" w:fill="auto"/>
            <w:noWrap/>
            <w:vAlign w:val="center"/>
            <w:hideMark/>
          </w:tcPr>
          <w:p w14:paraId="05FB8E84"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ABARES scenario</w:t>
            </w:r>
          </w:p>
        </w:tc>
        <w:tc>
          <w:tcPr>
            <w:tcW w:w="1198" w:type="pct"/>
            <w:tcBorders>
              <w:top w:val="single" w:sz="4" w:space="0" w:color="auto"/>
            </w:tcBorders>
            <w:shd w:val="clear" w:color="auto" w:fill="auto"/>
            <w:noWrap/>
            <w:vAlign w:val="center"/>
            <w:hideMark/>
          </w:tcPr>
          <w:p w14:paraId="1E971D45"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NVRM scenario</w:t>
            </w:r>
          </w:p>
        </w:tc>
        <w:tc>
          <w:tcPr>
            <w:tcW w:w="1198" w:type="pct"/>
            <w:tcBorders>
              <w:top w:val="single" w:sz="4" w:space="0" w:color="auto"/>
            </w:tcBorders>
            <w:shd w:val="clear" w:color="auto" w:fill="auto"/>
            <w:noWrap/>
            <w:vAlign w:val="center"/>
            <w:hideMark/>
          </w:tcPr>
          <w:p w14:paraId="264AA634"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SA DEW scenario</w:t>
            </w:r>
          </w:p>
        </w:tc>
        <w:tc>
          <w:tcPr>
            <w:tcW w:w="1198" w:type="pct"/>
            <w:tcBorders>
              <w:top w:val="single" w:sz="4" w:space="0" w:color="auto"/>
            </w:tcBorders>
            <w:shd w:val="clear" w:color="auto" w:fill="auto"/>
            <w:noWrap/>
            <w:vAlign w:val="center"/>
            <w:hideMark/>
          </w:tcPr>
          <w:p w14:paraId="18D6CCF8"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NSW DPI scenario</w:t>
            </w:r>
          </w:p>
        </w:tc>
      </w:tr>
      <w:tr w:rsidR="004F0C7A" w:rsidRPr="004F0C7A" w14:paraId="0C555EAA" w14:textId="77777777" w:rsidTr="000C27E7">
        <w:trPr>
          <w:trHeight w:val="1357"/>
        </w:trPr>
        <w:tc>
          <w:tcPr>
            <w:tcW w:w="1406" w:type="pct"/>
            <w:shd w:val="clear" w:color="auto" w:fill="auto"/>
            <w:hideMark/>
          </w:tcPr>
          <w:p w14:paraId="2DB1B7CE"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Extreme dry</w:t>
            </w:r>
            <w:r w:rsidRPr="004F0C7A">
              <w:rPr>
                <w:rFonts w:eastAsia="Times New Roman" w:cs="Times New Roman"/>
                <w:color w:val="000000"/>
                <w:sz w:val="18"/>
                <w:szCs w:val="18"/>
                <w:lang w:eastAsia="en-AU"/>
              </w:rPr>
              <w:br/>
              <w:t>In 99 years out of 100, inflows to storages exceed those experienced in this scenario. Rainfall is in the 1st percentile of historical levels.</w:t>
            </w:r>
          </w:p>
        </w:tc>
        <w:tc>
          <w:tcPr>
            <w:tcW w:w="1198" w:type="pct"/>
            <w:shd w:val="clear" w:color="auto" w:fill="auto"/>
            <w:hideMark/>
          </w:tcPr>
          <w:p w14:paraId="15E52B10"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Extreme dry</w:t>
            </w:r>
            <w:r w:rsidRPr="004F0C7A">
              <w:rPr>
                <w:rFonts w:eastAsia="Times New Roman" w:cs="Times New Roman"/>
                <w:color w:val="000000"/>
                <w:sz w:val="18"/>
                <w:szCs w:val="18"/>
                <w:lang w:eastAsia="en-AU"/>
              </w:rPr>
              <w:br/>
              <w:t>Inflow volumes to storages that are greater in 99 years out of 100.</w:t>
            </w:r>
          </w:p>
        </w:tc>
        <w:tc>
          <w:tcPr>
            <w:tcW w:w="1198" w:type="pct"/>
            <w:shd w:val="clear" w:color="auto" w:fill="auto"/>
            <w:hideMark/>
          </w:tcPr>
          <w:p w14:paraId="13B1B465"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Exceptionally dry</w:t>
            </w:r>
            <w:r w:rsidRPr="004F0C7A">
              <w:rPr>
                <w:rFonts w:eastAsia="Times New Roman" w:cs="Times New Roman"/>
                <w:color w:val="000000"/>
                <w:sz w:val="18"/>
                <w:szCs w:val="18"/>
                <w:lang w:eastAsia="en-AU"/>
              </w:rPr>
              <w:br/>
              <w:t>99% likelihood that actual allocations will exceed allocation forecast</w:t>
            </w:r>
          </w:p>
        </w:tc>
        <w:tc>
          <w:tcPr>
            <w:tcW w:w="1198" w:type="pct"/>
            <w:shd w:val="clear" w:color="auto" w:fill="auto"/>
            <w:hideMark/>
          </w:tcPr>
          <w:p w14:paraId="23624748"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Extreme</w:t>
            </w:r>
            <w:r w:rsidRPr="004F0C7A">
              <w:rPr>
                <w:rFonts w:eastAsia="Times New Roman" w:cs="Times New Roman"/>
                <w:color w:val="000000"/>
                <w:sz w:val="18"/>
                <w:szCs w:val="18"/>
                <w:lang w:eastAsia="en-AU"/>
              </w:rPr>
              <w:br/>
              <w:t>99 chances in 100 of exceeding the allocation forecast</w:t>
            </w:r>
          </w:p>
        </w:tc>
      </w:tr>
      <w:tr w:rsidR="004F0C7A" w:rsidRPr="004F0C7A" w14:paraId="0F39C14B" w14:textId="77777777" w:rsidTr="000C27E7">
        <w:trPr>
          <w:trHeight w:val="1419"/>
        </w:trPr>
        <w:tc>
          <w:tcPr>
            <w:tcW w:w="1406" w:type="pct"/>
            <w:shd w:val="clear" w:color="auto" w:fill="auto"/>
            <w:hideMark/>
          </w:tcPr>
          <w:p w14:paraId="421D5A80"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Dry</w:t>
            </w:r>
            <w:r w:rsidRPr="004F0C7A">
              <w:rPr>
                <w:rFonts w:eastAsia="Times New Roman" w:cs="Times New Roman"/>
                <w:b/>
                <w:bCs/>
                <w:color w:val="000000"/>
                <w:sz w:val="18"/>
                <w:szCs w:val="18"/>
                <w:lang w:eastAsia="en-AU"/>
              </w:rPr>
              <w:br/>
            </w:r>
            <w:r w:rsidRPr="004F0C7A">
              <w:rPr>
                <w:rFonts w:eastAsia="Times New Roman" w:cs="Times New Roman"/>
                <w:color w:val="000000"/>
                <w:sz w:val="18"/>
                <w:szCs w:val="18"/>
                <w:lang w:eastAsia="en-AU"/>
              </w:rPr>
              <w:t>In 90 years out of 100, inflows to storages exceed those experienced in this scenario. Rainfall is in the 10th percentile of historical levels.</w:t>
            </w:r>
          </w:p>
        </w:tc>
        <w:tc>
          <w:tcPr>
            <w:tcW w:w="1198" w:type="pct"/>
            <w:shd w:val="clear" w:color="auto" w:fill="auto"/>
            <w:hideMark/>
          </w:tcPr>
          <w:p w14:paraId="7B25C9EC"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Dry</w:t>
            </w:r>
            <w:r w:rsidRPr="004F0C7A">
              <w:rPr>
                <w:rFonts w:eastAsia="Times New Roman" w:cs="Times New Roman"/>
                <w:b/>
                <w:bCs/>
                <w:color w:val="000000"/>
                <w:sz w:val="18"/>
                <w:szCs w:val="18"/>
                <w:lang w:eastAsia="en-AU"/>
              </w:rPr>
              <w:br/>
            </w:r>
            <w:r w:rsidRPr="004F0C7A">
              <w:rPr>
                <w:rFonts w:eastAsia="Times New Roman" w:cs="Times New Roman"/>
                <w:color w:val="000000"/>
                <w:sz w:val="18"/>
                <w:szCs w:val="18"/>
                <w:lang w:eastAsia="en-AU"/>
              </w:rPr>
              <w:t>Inflow volumes to storages that are greater in 90 years out of 100.</w:t>
            </w:r>
          </w:p>
        </w:tc>
        <w:tc>
          <w:tcPr>
            <w:tcW w:w="1198" w:type="pct"/>
            <w:shd w:val="clear" w:color="auto" w:fill="auto"/>
            <w:hideMark/>
          </w:tcPr>
          <w:p w14:paraId="73C05260"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Very Dry</w:t>
            </w:r>
            <w:r w:rsidRPr="004F0C7A">
              <w:rPr>
                <w:rFonts w:eastAsia="Times New Roman" w:cs="Times New Roman"/>
                <w:b/>
                <w:bCs/>
                <w:color w:val="000000"/>
                <w:sz w:val="18"/>
                <w:szCs w:val="18"/>
                <w:lang w:eastAsia="en-AU"/>
              </w:rPr>
              <w:br/>
            </w:r>
            <w:r w:rsidRPr="004F0C7A">
              <w:rPr>
                <w:rFonts w:eastAsia="Times New Roman" w:cs="Times New Roman"/>
                <w:color w:val="000000"/>
                <w:sz w:val="18"/>
                <w:szCs w:val="18"/>
                <w:lang w:eastAsia="en-AU"/>
              </w:rPr>
              <w:t>90% likelihood that actual allocations will exceed allocation forecast</w:t>
            </w:r>
          </w:p>
        </w:tc>
        <w:tc>
          <w:tcPr>
            <w:tcW w:w="1198" w:type="pct"/>
            <w:shd w:val="clear" w:color="auto" w:fill="auto"/>
            <w:hideMark/>
          </w:tcPr>
          <w:p w14:paraId="34251F97" w14:textId="77777777" w:rsidR="004F0C7A" w:rsidRPr="004F0C7A" w:rsidRDefault="004F0C7A" w:rsidP="00E31CFC">
            <w:pPr>
              <w:spacing w:after="0" w:line="240" w:lineRule="auto"/>
              <w:rPr>
                <w:rFonts w:eastAsia="Times New Roman" w:cs="Times New Roman"/>
                <w:b/>
                <w:bCs/>
                <w:color w:val="000000"/>
                <w:sz w:val="18"/>
                <w:szCs w:val="18"/>
                <w:lang w:eastAsia="en-AU"/>
              </w:rPr>
            </w:pPr>
            <w:r w:rsidRPr="004F0C7A">
              <w:rPr>
                <w:rFonts w:eastAsia="Times New Roman" w:cs="Times New Roman"/>
                <w:b/>
                <w:bCs/>
                <w:color w:val="000000"/>
                <w:sz w:val="18"/>
                <w:szCs w:val="18"/>
                <w:lang w:eastAsia="en-AU"/>
              </w:rPr>
              <w:t>Very Dry</w:t>
            </w:r>
            <w:r w:rsidRPr="004F0C7A">
              <w:rPr>
                <w:rFonts w:eastAsia="Times New Roman" w:cs="Times New Roman"/>
                <w:b/>
                <w:bCs/>
                <w:color w:val="000000"/>
                <w:sz w:val="18"/>
                <w:szCs w:val="18"/>
                <w:lang w:eastAsia="en-AU"/>
              </w:rPr>
              <w:br/>
            </w:r>
            <w:r w:rsidRPr="004F0C7A">
              <w:rPr>
                <w:rFonts w:eastAsia="Times New Roman" w:cs="Times New Roman"/>
                <w:color w:val="000000"/>
                <w:sz w:val="18"/>
                <w:szCs w:val="18"/>
                <w:lang w:eastAsia="en-AU"/>
              </w:rPr>
              <w:t>9 chances in 10 of exceeding the allocation forecast</w:t>
            </w:r>
          </w:p>
        </w:tc>
      </w:tr>
      <w:tr w:rsidR="004F0C7A" w:rsidRPr="004F0C7A" w14:paraId="1147D64E" w14:textId="77777777" w:rsidTr="000C27E7">
        <w:trPr>
          <w:trHeight w:val="1411"/>
        </w:trPr>
        <w:tc>
          <w:tcPr>
            <w:tcW w:w="1406" w:type="pct"/>
            <w:shd w:val="clear" w:color="auto" w:fill="auto"/>
            <w:hideMark/>
          </w:tcPr>
          <w:p w14:paraId="35B92121"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Average</w:t>
            </w:r>
            <w:r w:rsidRPr="004F0C7A">
              <w:rPr>
                <w:rFonts w:eastAsia="Times New Roman" w:cs="Times New Roman"/>
                <w:color w:val="000000"/>
                <w:sz w:val="18"/>
                <w:szCs w:val="18"/>
                <w:lang w:eastAsia="en-AU"/>
              </w:rPr>
              <w:br/>
              <w:t>In 50 years out of 100, inflows to storages exceed those experienced in this scenario. Rainfall is in the 50th percentile of historical levels.</w:t>
            </w:r>
          </w:p>
        </w:tc>
        <w:tc>
          <w:tcPr>
            <w:tcW w:w="1198" w:type="pct"/>
            <w:shd w:val="clear" w:color="auto" w:fill="auto"/>
            <w:hideMark/>
          </w:tcPr>
          <w:p w14:paraId="1A38C263"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Average</w:t>
            </w:r>
            <w:r w:rsidRPr="004F0C7A">
              <w:rPr>
                <w:rFonts w:eastAsia="Times New Roman" w:cs="Times New Roman"/>
                <w:color w:val="000000"/>
                <w:sz w:val="18"/>
                <w:szCs w:val="18"/>
                <w:lang w:eastAsia="en-AU"/>
              </w:rPr>
              <w:br/>
              <w:t>Inflow volumes to storages that are greater in 50 years out of 100.</w:t>
            </w:r>
          </w:p>
        </w:tc>
        <w:tc>
          <w:tcPr>
            <w:tcW w:w="1198" w:type="pct"/>
            <w:shd w:val="clear" w:color="auto" w:fill="auto"/>
            <w:hideMark/>
          </w:tcPr>
          <w:p w14:paraId="0E8609D0"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Average</w:t>
            </w:r>
            <w:r w:rsidRPr="004F0C7A">
              <w:rPr>
                <w:rFonts w:eastAsia="Times New Roman" w:cs="Times New Roman"/>
                <w:color w:val="000000"/>
                <w:sz w:val="18"/>
                <w:szCs w:val="18"/>
                <w:lang w:eastAsia="en-AU"/>
              </w:rPr>
              <w:br/>
              <w:t>50% likelihood that actual allocations will exceed allocation forecast</w:t>
            </w:r>
          </w:p>
        </w:tc>
        <w:tc>
          <w:tcPr>
            <w:tcW w:w="1198" w:type="pct"/>
            <w:shd w:val="clear" w:color="auto" w:fill="auto"/>
            <w:hideMark/>
          </w:tcPr>
          <w:p w14:paraId="47332CBB"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Average</w:t>
            </w:r>
            <w:r w:rsidRPr="004F0C7A">
              <w:rPr>
                <w:rFonts w:eastAsia="Times New Roman" w:cs="Times New Roman"/>
                <w:color w:val="000000"/>
                <w:sz w:val="18"/>
                <w:szCs w:val="18"/>
                <w:lang w:eastAsia="en-AU"/>
              </w:rPr>
              <w:br/>
              <w:t>1 chance in 2 of exceeding the allocation forecast</w:t>
            </w:r>
          </w:p>
        </w:tc>
      </w:tr>
      <w:tr w:rsidR="004F0C7A" w:rsidRPr="004F0C7A" w14:paraId="23B2BF24" w14:textId="77777777" w:rsidTr="000C27E7">
        <w:trPr>
          <w:trHeight w:val="1431"/>
        </w:trPr>
        <w:tc>
          <w:tcPr>
            <w:tcW w:w="1406" w:type="pct"/>
            <w:tcBorders>
              <w:bottom w:val="single" w:sz="4" w:space="0" w:color="auto"/>
            </w:tcBorders>
            <w:shd w:val="clear" w:color="auto" w:fill="auto"/>
            <w:hideMark/>
          </w:tcPr>
          <w:p w14:paraId="0BF5360C"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Wet</w:t>
            </w:r>
            <w:r w:rsidRPr="004F0C7A">
              <w:rPr>
                <w:rFonts w:eastAsia="Times New Roman" w:cs="Times New Roman"/>
                <w:color w:val="000000"/>
                <w:sz w:val="18"/>
                <w:szCs w:val="18"/>
                <w:lang w:eastAsia="en-AU"/>
              </w:rPr>
              <w:br/>
              <w:t>In 10 years out of 100, inflows to storages exceed those experienced in this scenario. Rainfall is in the 90th percentile of historical levels.</w:t>
            </w:r>
          </w:p>
        </w:tc>
        <w:tc>
          <w:tcPr>
            <w:tcW w:w="1198" w:type="pct"/>
            <w:tcBorders>
              <w:bottom w:val="single" w:sz="4" w:space="0" w:color="auto"/>
            </w:tcBorders>
            <w:shd w:val="clear" w:color="auto" w:fill="auto"/>
            <w:hideMark/>
          </w:tcPr>
          <w:p w14:paraId="59271751"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Wet</w:t>
            </w:r>
            <w:r w:rsidRPr="004F0C7A">
              <w:rPr>
                <w:rFonts w:eastAsia="Times New Roman" w:cs="Times New Roman"/>
                <w:color w:val="000000"/>
                <w:sz w:val="18"/>
                <w:szCs w:val="18"/>
                <w:lang w:eastAsia="en-AU"/>
              </w:rPr>
              <w:br/>
              <w:t>Inflow volumes to storages that are greater in 10 years out of 100.</w:t>
            </w:r>
          </w:p>
        </w:tc>
        <w:tc>
          <w:tcPr>
            <w:tcW w:w="1198" w:type="pct"/>
            <w:tcBorders>
              <w:bottom w:val="single" w:sz="4" w:space="0" w:color="auto"/>
            </w:tcBorders>
            <w:shd w:val="clear" w:color="auto" w:fill="auto"/>
            <w:hideMark/>
          </w:tcPr>
          <w:p w14:paraId="4BB657AA" w14:textId="77777777" w:rsidR="004F0C7A" w:rsidRPr="004F0C7A" w:rsidRDefault="004F0C7A" w:rsidP="00E31CFC">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Wet</w:t>
            </w:r>
            <w:r w:rsidRPr="004F0C7A">
              <w:rPr>
                <w:rFonts w:eastAsia="Times New Roman" w:cs="Times New Roman"/>
                <w:color w:val="000000"/>
                <w:sz w:val="18"/>
                <w:szCs w:val="18"/>
                <w:lang w:eastAsia="en-AU"/>
              </w:rPr>
              <w:br/>
              <w:t>25% likelihood that actual allocations will exceed allocation forecast</w:t>
            </w:r>
          </w:p>
        </w:tc>
        <w:tc>
          <w:tcPr>
            <w:tcW w:w="1198" w:type="pct"/>
            <w:tcBorders>
              <w:bottom w:val="single" w:sz="4" w:space="0" w:color="auto"/>
            </w:tcBorders>
            <w:shd w:val="clear" w:color="auto" w:fill="auto"/>
            <w:hideMark/>
          </w:tcPr>
          <w:p w14:paraId="2D4DFB69" w14:textId="3BC2344A" w:rsidR="004F0C7A" w:rsidRPr="004F0C7A" w:rsidRDefault="004F0C7A" w:rsidP="004F0C7A">
            <w:pPr>
              <w:spacing w:after="0" w:line="240" w:lineRule="auto"/>
              <w:rPr>
                <w:rFonts w:eastAsia="Times New Roman" w:cs="Times New Roman"/>
                <w:color w:val="000000"/>
                <w:sz w:val="18"/>
                <w:szCs w:val="18"/>
                <w:lang w:eastAsia="en-AU"/>
              </w:rPr>
            </w:pPr>
            <w:r w:rsidRPr="004F0C7A">
              <w:rPr>
                <w:rFonts w:eastAsia="Times New Roman" w:cs="Times New Roman"/>
                <w:b/>
                <w:bCs/>
                <w:color w:val="000000"/>
                <w:sz w:val="18"/>
                <w:szCs w:val="18"/>
                <w:lang w:eastAsia="en-AU"/>
              </w:rPr>
              <w:t>Wet</w:t>
            </w:r>
            <w:r w:rsidRPr="004F0C7A">
              <w:rPr>
                <w:rFonts w:eastAsia="Times New Roman" w:cs="Times New Roman"/>
                <w:color w:val="000000"/>
                <w:sz w:val="18"/>
                <w:szCs w:val="18"/>
                <w:lang w:eastAsia="en-AU"/>
              </w:rPr>
              <w:br/>
              <w:t xml:space="preserve">NSW </w:t>
            </w:r>
            <w:r>
              <w:rPr>
                <w:rFonts w:eastAsia="Times New Roman" w:cs="Times New Roman"/>
                <w:color w:val="000000"/>
                <w:sz w:val="18"/>
                <w:szCs w:val="18"/>
                <w:lang w:eastAsia="en-AU"/>
              </w:rPr>
              <w:t>has not released a forecast for this scenario</w:t>
            </w:r>
            <w:r w:rsidRPr="004F0C7A">
              <w:rPr>
                <w:rFonts w:eastAsia="Times New Roman" w:cs="Times New Roman"/>
                <w:color w:val="000000"/>
                <w:sz w:val="18"/>
                <w:szCs w:val="18"/>
                <w:lang w:eastAsia="en-AU"/>
              </w:rPr>
              <w:t>. ABARES assumption</w:t>
            </w:r>
            <w:r>
              <w:rPr>
                <w:rFonts w:eastAsia="Times New Roman" w:cs="Times New Roman"/>
                <w:color w:val="000000"/>
                <w:sz w:val="18"/>
                <w:szCs w:val="18"/>
                <w:lang w:eastAsia="en-AU"/>
              </w:rPr>
              <w:t>.</w:t>
            </w:r>
          </w:p>
        </w:tc>
      </w:tr>
    </w:tbl>
    <w:p w14:paraId="6701FBC3" w14:textId="61F5C88F" w:rsidR="004F0C7A" w:rsidRPr="004F0C7A" w:rsidRDefault="004F0C7A" w:rsidP="004F0C7A">
      <w:pPr>
        <w:pStyle w:val="FigureTableNoteSource"/>
      </w:pPr>
      <w:r w:rsidRPr="004F0C7A">
        <w:rPr>
          <w:b/>
        </w:rPr>
        <w:t xml:space="preserve">Source: </w:t>
      </w:r>
      <w:r w:rsidRPr="004F0C7A">
        <w:t>ABARES, NVRM, SA DEW and NSW DPI</w:t>
      </w:r>
      <w:r>
        <w:br/>
      </w:r>
      <w:r w:rsidRPr="004F0C7A">
        <w:rPr>
          <w:b/>
        </w:rPr>
        <w:t xml:space="preserve">Note: </w:t>
      </w:r>
      <w:r>
        <w:t xml:space="preserve">Allocation forecasts made by NVRM are created using a model of historical inflow volumes, and the chance that actual inflows will be higher than those presented. The </w:t>
      </w:r>
      <w:r>
        <w:rPr>
          <w:i/>
        </w:rPr>
        <w:t>wet</w:t>
      </w:r>
      <w:r>
        <w:t xml:space="preserve"> scenario defined by SA DEW uses a higher likelihood measure, meaning this is a drier scenario than the </w:t>
      </w:r>
      <w:r>
        <w:rPr>
          <w:i/>
        </w:rPr>
        <w:t xml:space="preserve">wet </w:t>
      </w:r>
      <w:r>
        <w:t>scenario used by ABARES and defined by NVRM.</w:t>
      </w:r>
    </w:p>
    <w:p w14:paraId="0B213560" w14:textId="447875C1" w:rsidR="003F5321" w:rsidRDefault="003F5321" w:rsidP="003F5321">
      <w:r>
        <w:t xml:space="preserve">For each of these scenarios, ABARES has </w:t>
      </w:r>
      <w:r w:rsidR="00A51325">
        <w:t>estimated</w:t>
      </w:r>
      <w:r>
        <w:t xml:space="preserve"> allocations made against each entitlement type, annual rainfall by catchment, volume of water carried over into 20</w:t>
      </w:r>
      <w:r w:rsidR="005B1E51">
        <w:t>19–</w:t>
      </w:r>
      <w:r>
        <w:t>20 and the volume of water carried over in 20</w:t>
      </w:r>
      <w:r w:rsidR="005B1E51">
        <w:t>20–</w:t>
      </w:r>
      <w:r>
        <w:t xml:space="preserve">21. </w:t>
      </w:r>
      <w:r w:rsidR="004F0C7A">
        <w:t xml:space="preserve">The scenarios </w:t>
      </w:r>
      <w:r>
        <w:t>describe four potential outcomes for the volume of water available for irrigation use in the southern basin in 20</w:t>
      </w:r>
      <w:r w:rsidR="005B1E51">
        <w:t>19–</w:t>
      </w:r>
      <w:r>
        <w:t xml:space="preserve">20. In each scenario, the </w:t>
      </w:r>
      <w:r w:rsidR="00237D25">
        <w:t xml:space="preserve">aggregate </w:t>
      </w:r>
      <w:r>
        <w:t>demand for irrigation water is assumed to be the same</w:t>
      </w:r>
      <w:r w:rsidR="00756895">
        <w:t xml:space="preserve"> (i.e. at 2018-19 levels)</w:t>
      </w:r>
      <w:r>
        <w:t xml:space="preserve">. Therefore, prices in each scenario are primarily influenced by seasonal conditions, the volume of </w:t>
      </w:r>
      <w:r>
        <w:lastRenderedPageBreak/>
        <w:t>water available (which is affected by allocation and carryover forecasts)</w:t>
      </w:r>
      <w:r w:rsidR="00A51325">
        <w:t>, rainfall (which a</w:t>
      </w:r>
      <w:r w:rsidR="00237D25">
        <w:t>ffects crop water requirements)</w:t>
      </w:r>
      <w:r>
        <w:t xml:space="preserve"> and trade limits that restrict the flow of water between catchments. </w:t>
      </w:r>
    </w:p>
    <w:p w14:paraId="0A44DC91" w14:textId="77777777" w:rsidR="003F5321" w:rsidRDefault="003F5321" w:rsidP="003F5321">
      <w:pPr>
        <w:pStyle w:val="Style2"/>
      </w:pPr>
      <w:r>
        <w:t>Rainfall</w:t>
      </w:r>
    </w:p>
    <w:p w14:paraId="0ECE6877" w14:textId="77777777" w:rsidR="003F5321" w:rsidRDefault="00F12F46" w:rsidP="003F5321">
      <w:pPr>
        <w:rPr>
          <w:lang w:eastAsia="ja-JP"/>
        </w:rPr>
      </w:pPr>
      <w:r>
        <w:fldChar w:fldCharType="begin"/>
      </w:r>
      <w:r>
        <w:instrText xml:space="preserve"> REF _Ref12020992 \h </w:instrText>
      </w:r>
      <w:r>
        <w:fldChar w:fldCharType="separate"/>
      </w:r>
      <w:r w:rsidR="00200004">
        <w:t>Table A</w:t>
      </w:r>
      <w:r w:rsidR="00200004">
        <w:rPr>
          <w:noProof/>
        </w:rPr>
        <w:t>2</w:t>
      </w:r>
      <w:r>
        <w:fldChar w:fldCharType="end"/>
      </w:r>
      <w:r w:rsidR="003F5321">
        <w:t xml:space="preserve"> shows the assumed annual rainfall in 20</w:t>
      </w:r>
      <w:r w:rsidR="005B1E51">
        <w:t>19–</w:t>
      </w:r>
      <w:r w:rsidR="003F5321">
        <w:t>20 by catchment for each outlook scenario</w:t>
      </w:r>
      <w:r w:rsidR="003F5321">
        <w:rPr>
          <w:lang w:eastAsia="ja-JP"/>
        </w:rPr>
        <w:t xml:space="preserve">. This is calculated as a percentile of historical annual rainfall between 2000-01 and 2017-18. </w:t>
      </w:r>
      <w:r w:rsidR="00A66DD6">
        <w:rPr>
          <w:lang w:eastAsia="ja-JP"/>
        </w:rPr>
        <w:t>The rainfall percentile for each scenario is listed in Table A1.</w:t>
      </w:r>
    </w:p>
    <w:p w14:paraId="1F8A6324" w14:textId="77777777" w:rsidR="003F5321" w:rsidRDefault="003F5321" w:rsidP="003F5321">
      <w:pPr>
        <w:pStyle w:val="Caption"/>
        <w:rPr>
          <w:lang w:eastAsia="ja-JP"/>
        </w:rPr>
      </w:pPr>
      <w:bookmarkStart w:id="29" w:name="_Ref12020992"/>
      <w:bookmarkStart w:id="30" w:name="_Toc14962338"/>
      <w:r>
        <w:t xml:space="preserve">Table </w:t>
      </w:r>
      <w:r w:rsidR="00A66DD6">
        <w:t>A</w:t>
      </w:r>
      <w:r>
        <w:rPr>
          <w:noProof/>
        </w:rPr>
        <w:fldChar w:fldCharType="begin"/>
      </w:r>
      <w:r>
        <w:rPr>
          <w:noProof/>
        </w:rPr>
        <w:instrText xml:space="preserve"> SEQ Table \* ARABIC </w:instrText>
      </w:r>
      <w:r>
        <w:rPr>
          <w:noProof/>
        </w:rPr>
        <w:fldChar w:fldCharType="separate"/>
      </w:r>
      <w:r w:rsidR="00200004">
        <w:rPr>
          <w:noProof/>
        </w:rPr>
        <w:t>2</w:t>
      </w:r>
      <w:r>
        <w:rPr>
          <w:noProof/>
        </w:rPr>
        <w:fldChar w:fldCharType="end"/>
      </w:r>
      <w:bookmarkEnd w:id="29"/>
      <w:r>
        <w:t xml:space="preserve"> </w:t>
      </w:r>
      <w:r w:rsidRPr="006C24E3">
        <w:t>Rainfall forecast</w:t>
      </w:r>
      <w:r w:rsidR="00002AA5">
        <w:t xml:space="preserve"> for 2019–20</w:t>
      </w:r>
      <w:bookmarkEnd w:id="30"/>
    </w:p>
    <w:tbl>
      <w:tblPr>
        <w:tblStyle w:val="ABARESTableleftrightalign"/>
        <w:tblW w:w="8520" w:type="dxa"/>
        <w:tblLook w:val="04A0" w:firstRow="1" w:lastRow="0" w:firstColumn="1" w:lastColumn="0" w:noHBand="0" w:noVBand="1"/>
      </w:tblPr>
      <w:tblGrid>
        <w:gridCol w:w="2320"/>
        <w:gridCol w:w="2020"/>
        <w:gridCol w:w="1620"/>
        <w:gridCol w:w="1500"/>
        <w:gridCol w:w="1060"/>
      </w:tblGrid>
      <w:tr w:rsidR="0032782F" w14:paraId="6E6E73B2" w14:textId="77777777" w:rsidTr="003278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20" w:type="dxa"/>
            <w:noWrap/>
            <w:hideMark/>
          </w:tcPr>
          <w:p w14:paraId="1B0A219D" w14:textId="77777777" w:rsidR="0032782F" w:rsidRDefault="0032782F" w:rsidP="0032782F">
            <w:pPr>
              <w:pStyle w:val="TableText"/>
              <w:rPr>
                <w:rFonts w:eastAsia="Times New Roman" w:cs="Times New Roman"/>
                <w:lang w:eastAsia="en-AU"/>
              </w:rPr>
            </w:pPr>
            <w:r>
              <w:t>Region</w:t>
            </w:r>
          </w:p>
        </w:tc>
        <w:tc>
          <w:tcPr>
            <w:tcW w:w="2020" w:type="dxa"/>
            <w:noWrap/>
            <w:hideMark/>
          </w:tcPr>
          <w:p w14:paraId="6EB84D16" w14:textId="77777777" w:rsidR="0032782F" w:rsidRDefault="00427DF4" w:rsidP="00B203FF">
            <w:pPr>
              <w:pStyle w:val="TableText"/>
              <w:cnfStyle w:val="100000000000" w:firstRow="1" w:lastRow="0" w:firstColumn="0" w:lastColumn="0" w:oddVBand="0" w:evenVBand="0" w:oddHBand="0" w:evenHBand="0" w:firstRowFirstColumn="0" w:firstRowLastColumn="0" w:lastRowFirstColumn="0" w:lastRowLastColumn="0"/>
            </w:pPr>
            <w:r>
              <w:t>Extreme</w:t>
            </w:r>
            <w:r w:rsidR="0032782F">
              <w:t xml:space="preserve"> Dry</w:t>
            </w:r>
            <w:r w:rsidR="00B203FF">
              <w:t xml:space="preserve"> </w:t>
            </w:r>
            <w:r w:rsidR="000C64A1">
              <w:br/>
            </w:r>
            <w:r w:rsidR="0032782F">
              <w:t>(mm)</w:t>
            </w:r>
          </w:p>
        </w:tc>
        <w:tc>
          <w:tcPr>
            <w:tcW w:w="1620" w:type="dxa"/>
            <w:noWrap/>
            <w:hideMark/>
          </w:tcPr>
          <w:p w14:paraId="2F724904" w14:textId="77777777" w:rsidR="0032782F" w:rsidRDefault="0032782F" w:rsidP="00B203FF">
            <w:pPr>
              <w:pStyle w:val="TableText"/>
              <w:cnfStyle w:val="100000000000" w:firstRow="1" w:lastRow="0" w:firstColumn="0" w:lastColumn="0" w:oddVBand="0" w:evenVBand="0" w:oddHBand="0" w:evenHBand="0" w:firstRowFirstColumn="0" w:firstRowLastColumn="0" w:lastRowFirstColumn="0" w:lastRowLastColumn="0"/>
            </w:pPr>
            <w:r>
              <w:t>Dry</w:t>
            </w:r>
            <w:r w:rsidR="00B203FF">
              <w:t xml:space="preserve"> </w:t>
            </w:r>
            <w:r w:rsidR="000C64A1">
              <w:br/>
            </w:r>
            <w:r>
              <w:t>(mm)</w:t>
            </w:r>
          </w:p>
        </w:tc>
        <w:tc>
          <w:tcPr>
            <w:tcW w:w="1500" w:type="dxa"/>
            <w:noWrap/>
            <w:hideMark/>
          </w:tcPr>
          <w:p w14:paraId="4E67FA64" w14:textId="77777777" w:rsidR="0032782F" w:rsidRDefault="0032782F" w:rsidP="00B203FF">
            <w:pPr>
              <w:pStyle w:val="TableText"/>
              <w:cnfStyle w:val="100000000000" w:firstRow="1" w:lastRow="0" w:firstColumn="0" w:lastColumn="0" w:oddVBand="0" w:evenVBand="0" w:oddHBand="0" w:evenHBand="0" w:firstRowFirstColumn="0" w:firstRowLastColumn="0" w:lastRowFirstColumn="0" w:lastRowLastColumn="0"/>
            </w:pPr>
            <w:r>
              <w:t>Average</w:t>
            </w:r>
            <w:r w:rsidR="00B203FF">
              <w:t xml:space="preserve"> </w:t>
            </w:r>
            <w:r w:rsidR="000C64A1">
              <w:br/>
            </w:r>
            <w:r>
              <w:t>(mm)</w:t>
            </w:r>
          </w:p>
        </w:tc>
        <w:tc>
          <w:tcPr>
            <w:tcW w:w="1060" w:type="dxa"/>
            <w:noWrap/>
            <w:hideMark/>
          </w:tcPr>
          <w:p w14:paraId="05FDA34D" w14:textId="77777777" w:rsidR="0032782F" w:rsidRDefault="0032782F" w:rsidP="00B203FF">
            <w:pPr>
              <w:pStyle w:val="TableText"/>
              <w:cnfStyle w:val="100000000000" w:firstRow="1" w:lastRow="0" w:firstColumn="0" w:lastColumn="0" w:oddVBand="0" w:evenVBand="0" w:oddHBand="0" w:evenHBand="0" w:firstRowFirstColumn="0" w:firstRowLastColumn="0" w:lastRowFirstColumn="0" w:lastRowLastColumn="0"/>
            </w:pPr>
            <w:r>
              <w:t>Wet</w:t>
            </w:r>
            <w:r w:rsidR="00B203FF">
              <w:t xml:space="preserve"> </w:t>
            </w:r>
            <w:r w:rsidR="000C64A1">
              <w:br/>
            </w:r>
            <w:r>
              <w:t>(mm)</w:t>
            </w:r>
          </w:p>
        </w:tc>
      </w:tr>
      <w:tr w:rsidR="00E64A7E" w14:paraId="082955EF"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5972BF" w14:textId="77777777" w:rsidR="00E64A7E" w:rsidRDefault="00E64A7E" w:rsidP="00E64A7E">
            <w:pPr>
              <w:pStyle w:val="TableText"/>
            </w:pPr>
            <w:r>
              <w:rPr>
                <w:color w:val="000000"/>
                <w:szCs w:val="18"/>
              </w:rPr>
              <w:t>NSW Lower Darling</w:t>
            </w:r>
          </w:p>
        </w:tc>
        <w:tc>
          <w:tcPr>
            <w:tcW w:w="0" w:type="auto"/>
            <w:noWrap/>
            <w:vAlign w:val="center"/>
            <w:hideMark/>
          </w:tcPr>
          <w:p w14:paraId="6893BF42"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162.6</w:t>
            </w:r>
          </w:p>
        </w:tc>
        <w:tc>
          <w:tcPr>
            <w:tcW w:w="0" w:type="auto"/>
            <w:noWrap/>
            <w:vAlign w:val="center"/>
            <w:hideMark/>
          </w:tcPr>
          <w:p w14:paraId="071D37D3"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180.8</w:t>
            </w:r>
          </w:p>
        </w:tc>
        <w:tc>
          <w:tcPr>
            <w:tcW w:w="0" w:type="auto"/>
            <w:noWrap/>
            <w:vAlign w:val="center"/>
            <w:hideMark/>
          </w:tcPr>
          <w:p w14:paraId="06F33BE6"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228.4</w:t>
            </w:r>
          </w:p>
        </w:tc>
        <w:tc>
          <w:tcPr>
            <w:tcW w:w="0" w:type="auto"/>
            <w:noWrap/>
            <w:vAlign w:val="center"/>
            <w:hideMark/>
          </w:tcPr>
          <w:p w14:paraId="3C4D9A68"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319.7</w:t>
            </w:r>
          </w:p>
        </w:tc>
      </w:tr>
      <w:tr w:rsidR="00E64A7E" w14:paraId="0224A8AF"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D2769C" w14:textId="77777777" w:rsidR="00E64A7E" w:rsidRDefault="00E64A7E" w:rsidP="00E64A7E">
            <w:pPr>
              <w:pStyle w:val="TableText"/>
            </w:pPr>
            <w:r>
              <w:rPr>
                <w:color w:val="000000"/>
                <w:szCs w:val="18"/>
              </w:rPr>
              <w:t>NSW Murray Above</w:t>
            </w:r>
          </w:p>
        </w:tc>
        <w:tc>
          <w:tcPr>
            <w:tcW w:w="0" w:type="auto"/>
            <w:noWrap/>
            <w:vAlign w:val="center"/>
            <w:hideMark/>
          </w:tcPr>
          <w:p w14:paraId="091D0EC6"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253.4</w:t>
            </w:r>
          </w:p>
        </w:tc>
        <w:tc>
          <w:tcPr>
            <w:tcW w:w="0" w:type="auto"/>
            <w:noWrap/>
            <w:vAlign w:val="center"/>
            <w:hideMark/>
          </w:tcPr>
          <w:p w14:paraId="3ACC7C13"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283.5</w:t>
            </w:r>
          </w:p>
        </w:tc>
        <w:tc>
          <w:tcPr>
            <w:tcW w:w="0" w:type="auto"/>
            <w:noWrap/>
            <w:vAlign w:val="center"/>
            <w:hideMark/>
          </w:tcPr>
          <w:p w14:paraId="51C0BCF1"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388.1</w:t>
            </w:r>
          </w:p>
        </w:tc>
        <w:tc>
          <w:tcPr>
            <w:tcW w:w="0" w:type="auto"/>
            <w:noWrap/>
            <w:vAlign w:val="center"/>
            <w:hideMark/>
          </w:tcPr>
          <w:p w14:paraId="6A1D53CC"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487.9</w:t>
            </w:r>
          </w:p>
        </w:tc>
      </w:tr>
      <w:tr w:rsidR="00E64A7E" w14:paraId="770FAD04"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367E072" w14:textId="77777777" w:rsidR="00E64A7E" w:rsidRDefault="00E64A7E" w:rsidP="00E64A7E">
            <w:pPr>
              <w:pStyle w:val="TableText"/>
            </w:pPr>
            <w:r>
              <w:rPr>
                <w:color w:val="000000"/>
                <w:szCs w:val="18"/>
              </w:rPr>
              <w:t>NSW Murray Below</w:t>
            </w:r>
          </w:p>
        </w:tc>
        <w:tc>
          <w:tcPr>
            <w:tcW w:w="0" w:type="auto"/>
            <w:noWrap/>
            <w:vAlign w:val="center"/>
            <w:hideMark/>
          </w:tcPr>
          <w:p w14:paraId="531A48F6"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217.4</w:t>
            </w:r>
          </w:p>
        </w:tc>
        <w:tc>
          <w:tcPr>
            <w:tcW w:w="0" w:type="auto"/>
            <w:noWrap/>
            <w:vAlign w:val="center"/>
            <w:hideMark/>
          </w:tcPr>
          <w:p w14:paraId="326DE427"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232.6</w:t>
            </w:r>
          </w:p>
        </w:tc>
        <w:tc>
          <w:tcPr>
            <w:tcW w:w="0" w:type="auto"/>
            <w:noWrap/>
            <w:vAlign w:val="center"/>
            <w:hideMark/>
          </w:tcPr>
          <w:p w14:paraId="3CD67D64"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322.4</w:t>
            </w:r>
          </w:p>
        </w:tc>
        <w:tc>
          <w:tcPr>
            <w:tcW w:w="0" w:type="auto"/>
            <w:noWrap/>
            <w:vAlign w:val="center"/>
            <w:hideMark/>
          </w:tcPr>
          <w:p w14:paraId="0B953B46"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431.8</w:t>
            </w:r>
          </w:p>
        </w:tc>
      </w:tr>
      <w:tr w:rsidR="00E64A7E" w14:paraId="1B9E584E"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F6D6253" w14:textId="77777777" w:rsidR="00E64A7E" w:rsidRDefault="00E64A7E" w:rsidP="00E64A7E">
            <w:pPr>
              <w:pStyle w:val="TableText"/>
            </w:pPr>
            <w:r>
              <w:rPr>
                <w:color w:val="000000"/>
                <w:szCs w:val="18"/>
              </w:rPr>
              <w:t>NSW Murrumbidgee</w:t>
            </w:r>
          </w:p>
        </w:tc>
        <w:tc>
          <w:tcPr>
            <w:tcW w:w="0" w:type="auto"/>
            <w:noWrap/>
            <w:vAlign w:val="center"/>
            <w:hideMark/>
          </w:tcPr>
          <w:p w14:paraId="1261C4F9"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244.5</w:t>
            </w:r>
          </w:p>
        </w:tc>
        <w:tc>
          <w:tcPr>
            <w:tcW w:w="0" w:type="auto"/>
            <w:noWrap/>
            <w:vAlign w:val="center"/>
            <w:hideMark/>
          </w:tcPr>
          <w:p w14:paraId="4BCE4E7C"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304.3</w:t>
            </w:r>
          </w:p>
        </w:tc>
        <w:tc>
          <w:tcPr>
            <w:tcW w:w="0" w:type="auto"/>
            <w:noWrap/>
            <w:vAlign w:val="center"/>
            <w:hideMark/>
          </w:tcPr>
          <w:p w14:paraId="44A5D692"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384.4</w:t>
            </w:r>
          </w:p>
        </w:tc>
        <w:tc>
          <w:tcPr>
            <w:tcW w:w="0" w:type="auto"/>
            <w:noWrap/>
            <w:vAlign w:val="center"/>
            <w:hideMark/>
          </w:tcPr>
          <w:p w14:paraId="29256B9E"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494.5</w:t>
            </w:r>
          </w:p>
        </w:tc>
      </w:tr>
      <w:tr w:rsidR="00E64A7E" w14:paraId="5DF9F779"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AE5BE3" w14:textId="77777777" w:rsidR="00E64A7E" w:rsidRDefault="00E64A7E" w:rsidP="00E64A7E">
            <w:pPr>
              <w:pStyle w:val="TableText"/>
            </w:pPr>
            <w:r>
              <w:rPr>
                <w:color w:val="000000"/>
                <w:szCs w:val="18"/>
              </w:rPr>
              <w:t>SA Murray</w:t>
            </w:r>
          </w:p>
        </w:tc>
        <w:tc>
          <w:tcPr>
            <w:tcW w:w="0" w:type="auto"/>
            <w:noWrap/>
            <w:vAlign w:val="center"/>
            <w:hideMark/>
          </w:tcPr>
          <w:p w14:paraId="5007EC1B"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214.2</w:t>
            </w:r>
          </w:p>
        </w:tc>
        <w:tc>
          <w:tcPr>
            <w:tcW w:w="0" w:type="auto"/>
            <w:noWrap/>
            <w:vAlign w:val="center"/>
            <w:hideMark/>
          </w:tcPr>
          <w:p w14:paraId="5AF99D13"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226.1</w:t>
            </w:r>
          </w:p>
        </w:tc>
        <w:tc>
          <w:tcPr>
            <w:tcW w:w="0" w:type="auto"/>
            <w:noWrap/>
            <w:vAlign w:val="center"/>
            <w:hideMark/>
          </w:tcPr>
          <w:p w14:paraId="350BD6DE"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258.0</w:t>
            </w:r>
          </w:p>
        </w:tc>
        <w:tc>
          <w:tcPr>
            <w:tcW w:w="0" w:type="auto"/>
            <w:noWrap/>
            <w:vAlign w:val="center"/>
            <w:hideMark/>
          </w:tcPr>
          <w:p w14:paraId="223ECAE2"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373.5</w:t>
            </w:r>
          </w:p>
        </w:tc>
      </w:tr>
      <w:tr w:rsidR="00E64A7E" w14:paraId="6B3F19BA"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97BFB6" w14:textId="77777777" w:rsidR="00E64A7E" w:rsidRDefault="00E64A7E" w:rsidP="00E64A7E">
            <w:pPr>
              <w:pStyle w:val="TableText"/>
            </w:pPr>
            <w:r>
              <w:rPr>
                <w:color w:val="000000"/>
                <w:szCs w:val="18"/>
              </w:rPr>
              <w:t>VIC Goulburn-Broken</w:t>
            </w:r>
          </w:p>
        </w:tc>
        <w:tc>
          <w:tcPr>
            <w:tcW w:w="0" w:type="auto"/>
            <w:noWrap/>
            <w:vAlign w:val="center"/>
            <w:hideMark/>
          </w:tcPr>
          <w:p w14:paraId="2DA29265"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321.0</w:t>
            </w:r>
          </w:p>
        </w:tc>
        <w:tc>
          <w:tcPr>
            <w:tcW w:w="0" w:type="auto"/>
            <w:noWrap/>
            <w:vAlign w:val="center"/>
            <w:hideMark/>
          </w:tcPr>
          <w:p w14:paraId="50D6E809"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337.3</w:t>
            </w:r>
          </w:p>
        </w:tc>
        <w:tc>
          <w:tcPr>
            <w:tcW w:w="0" w:type="auto"/>
            <w:noWrap/>
            <w:vAlign w:val="center"/>
            <w:hideMark/>
          </w:tcPr>
          <w:p w14:paraId="5F9075B6"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445.4</w:t>
            </w:r>
          </w:p>
        </w:tc>
        <w:tc>
          <w:tcPr>
            <w:tcW w:w="0" w:type="auto"/>
            <w:noWrap/>
            <w:vAlign w:val="center"/>
            <w:hideMark/>
          </w:tcPr>
          <w:p w14:paraId="4400BC28"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598.5</w:t>
            </w:r>
          </w:p>
        </w:tc>
      </w:tr>
      <w:tr w:rsidR="00E64A7E" w14:paraId="37F5E9AF"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ECAF48C" w14:textId="77777777" w:rsidR="00E64A7E" w:rsidRDefault="00E64A7E" w:rsidP="00E64A7E">
            <w:pPr>
              <w:pStyle w:val="TableText"/>
            </w:pPr>
            <w:r>
              <w:rPr>
                <w:color w:val="000000"/>
                <w:szCs w:val="18"/>
              </w:rPr>
              <w:t>VIC Loddon-Campaspe</w:t>
            </w:r>
          </w:p>
        </w:tc>
        <w:tc>
          <w:tcPr>
            <w:tcW w:w="0" w:type="auto"/>
            <w:noWrap/>
            <w:vAlign w:val="center"/>
          </w:tcPr>
          <w:p w14:paraId="7B1481FC"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336.9</w:t>
            </w:r>
          </w:p>
        </w:tc>
        <w:tc>
          <w:tcPr>
            <w:tcW w:w="0" w:type="auto"/>
            <w:noWrap/>
            <w:vAlign w:val="center"/>
          </w:tcPr>
          <w:p w14:paraId="5CCBACBC"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341.0</w:t>
            </w:r>
          </w:p>
        </w:tc>
        <w:tc>
          <w:tcPr>
            <w:tcW w:w="0" w:type="auto"/>
            <w:noWrap/>
            <w:vAlign w:val="center"/>
          </w:tcPr>
          <w:p w14:paraId="0CAEA2CF"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418.4</w:t>
            </w:r>
          </w:p>
        </w:tc>
        <w:tc>
          <w:tcPr>
            <w:tcW w:w="0" w:type="auto"/>
            <w:noWrap/>
            <w:vAlign w:val="center"/>
          </w:tcPr>
          <w:p w14:paraId="22A89201"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606.5</w:t>
            </w:r>
          </w:p>
        </w:tc>
      </w:tr>
      <w:tr w:rsidR="00E64A7E" w14:paraId="2246D47F"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012B6B0" w14:textId="77777777" w:rsidR="00E64A7E" w:rsidRDefault="00E64A7E" w:rsidP="00E64A7E">
            <w:pPr>
              <w:pStyle w:val="TableText"/>
            </w:pPr>
            <w:r>
              <w:rPr>
                <w:color w:val="000000"/>
                <w:szCs w:val="18"/>
              </w:rPr>
              <w:t>VIC Murray Above</w:t>
            </w:r>
          </w:p>
        </w:tc>
        <w:tc>
          <w:tcPr>
            <w:tcW w:w="0" w:type="auto"/>
            <w:noWrap/>
            <w:vAlign w:val="center"/>
            <w:hideMark/>
          </w:tcPr>
          <w:p w14:paraId="18F76F28"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342.9</w:t>
            </w:r>
          </w:p>
        </w:tc>
        <w:tc>
          <w:tcPr>
            <w:tcW w:w="0" w:type="auto"/>
            <w:noWrap/>
            <w:vAlign w:val="center"/>
            <w:hideMark/>
          </w:tcPr>
          <w:p w14:paraId="677016B0"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427.4</w:t>
            </w:r>
          </w:p>
        </w:tc>
        <w:tc>
          <w:tcPr>
            <w:tcW w:w="0" w:type="auto"/>
            <w:noWrap/>
            <w:vAlign w:val="center"/>
            <w:hideMark/>
          </w:tcPr>
          <w:p w14:paraId="522350E0"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601.5</w:t>
            </w:r>
          </w:p>
        </w:tc>
        <w:tc>
          <w:tcPr>
            <w:tcW w:w="0" w:type="auto"/>
            <w:noWrap/>
            <w:vAlign w:val="center"/>
            <w:hideMark/>
          </w:tcPr>
          <w:p w14:paraId="2FE293A4"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721.4</w:t>
            </w:r>
          </w:p>
        </w:tc>
      </w:tr>
      <w:tr w:rsidR="00E64A7E" w14:paraId="2C0076ED" w14:textId="77777777" w:rsidTr="00E64A7E">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252BE6B" w14:textId="77777777" w:rsidR="00E64A7E" w:rsidRDefault="00E64A7E" w:rsidP="00E64A7E">
            <w:pPr>
              <w:pStyle w:val="TableText"/>
            </w:pPr>
            <w:r>
              <w:rPr>
                <w:color w:val="000000"/>
                <w:szCs w:val="18"/>
              </w:rPr>
              <w:t>VIC Murray Below</w:t>
            </w:r>
          </w:p>
        </w:tc>
        <w:tc>
          <w:tcPr>
            <w:tcW w:w="0" w:type="auto"/>
            <w:noWrap/>
            <w:vAlign w:val="center"/>
            <w:hideMark/>
          </w:tcPr>
          <w:p w14:paraId="0B5FBDC8"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199.7</w:t>
            </w:r>
          </w:p>
        </w:tc>
        <w:tc>
          <w:tcPr>
            <w:tcW w:w="0" w:type="auto"/>
            <w:noWrap/>
            <w:vAlign w:val="center"/>
            <w:hideMark/>
          </w:tcPr>
          <w:p w14:paraId="730049E4"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214.4</w:t>
            </w:r>
          </w:p>
        </w:tc>
        <w:tc>
          <w:tcPr>
            <w:tcW w:w="0" w:type="auto"/>
            <w:noWrap/>
            <w:vAlign w:val="center"/>
            <w:hideMark/>
          </w:tcPr>
          <w:p w14:paraId="6D1F9E6B"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272.6</w:t>
            </w:r>
          </w:p>
        </w:tc>
        <w:tc>
          <w:tcPr>
            <w:tcW w:w="0" w:type="auto"/>
            <w:noWrap/>
            <w:vAlign w:val="center"/>
            <w:hideMark/>
          </w:tcPr>
          <w:p w14:paraId="710D72F8" w14:textId="77777777" w:rsidR="00E64A7E" w:rsidRDefault="00E64A7E" w:rsidP="00E64A7E">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389.0</w:t>
            </w:r>
          </w:p>
        </w:tc>
      </w:tr>
    </w:tbl>
    <w:p w14:paraId="28DF2C0E" w14:textId="77777777" w:rsidR="0025228B" w:rsidRDefault="00833141" w:rsidP="003F5321">
      <w:pPr>
        <w:pStyle w:val="Normalsmall"/>
        <w:rPr>
          <w:lang w:eastAsia="ja-JP"/>
        </w:rPr>
      </w:pPr>
      <w:r w:rsidRPr="00833141">
        <w:rPr>
          <w:b/>
          <w:lang w:eastAsia="ja-JP"/>
        </w:rPr>
        <w:t>Source:</w:t>
      </w:r>
      <w:r>
        <w:rPr>
          <w:lang w:eastAsia="ja-JP"/>
        </w:rPr>
        <w:t xml:space="preserve"> BOM</w:t>
      </w:r>
    </w:p>
    <w:p w14:paraId="14A9D348" w14:textId="77777777" w:rsidR="00F24042" w:rsidRDefault="003F5321" w:rsidP="00F24042">
      <w:pPr>
        <w:pStyle w:val="Style2"/>
      </w:pPr>
      <w:r>
        <w:t>Allocations</w:t>
      </w:r>
    </w:p>
    <w:p w14:paraId="521B1B7D" w14:textId="369FAEEA" w:rsidR="00F24042" w:rsidRDefault="00F24042" w:rsidP="00F24042">
      <w:r>
        <w:fldChar w:fldCharType="begin"/>
      </w:r>
      <w:r>
        <w:instrText xml:space="preserve"> REF _Ref12615589 \h </w:instrText>
      </w:r>
      <w:r>
        <w:fldChar w:fldCharType="separate"/>
      </w:r>
      <w:r w:rsidR="00200004">
        <w:t>Table A</w:t>
      </w:r>
      <w:r w:rsidR="00200004">
        <w:rPr>
          <w:noProof/>
        </w:rPr>
        <w:t>3</w:t>
      </w:r>
      <w:r>
        <w:fldChar w:fldCharType="end"/>
      </w:r>
      <w:r>
        <w:t xml:space="preserve"> shows the allocation forecasts by entitlement type for 20</w:t>
      </w:r>
      <w:r w:rsidR="005B1E51">
        <w:t>19–</w:t>
      </w:r>
      <w:r>
        <w:t xml:space="preserve">20. While these predominantly reflect the outlook scenarios released by the state water agencies, ABARES has </w:t>
      </w:r>
      <w:r w:rsidR="00756895">
        <w:t xml:space="preserve">also </w:t>
      </w:r>
      <w:r>
        <w:t xml:space="preserve">made </w:t>
      </w:r>
      <w:r w:rsidR="00756895">
        <w:t xml:space="preserve">some </w:t>
      </w:r>
      <w:r>
        <w:t>additional assumptions.</w:t>
      </w:r>
    </w:p>
    <w:p w14:paraId="74FA7C4C" w14:textId="7157831B" w:rsidR="00F24042" w:rsidRDefault="00F24042" w:rsidP="00F24042">
      <w:pPr>
        <w:pStyle w:val="ListBullet2"/>
        <w:numPr>
          <w:ilvl w:val="1"/>
          <w:numId w:val="25"/>
        </w:numPr>
        <w:spacing w:before="0"/>
        <w:ind w:left="794" w:hanging="369"/>
      </w:pPr>
      <w:r>
        <w:t>In Vic</w:t>
      </w:r>
      <w:r w:rsidR="007D41E3">
        <w:t>toria</w:t>
      </w:r>
      <w:r>
        <w:t xml:space="preserve">, ABARES has assumed no allocations </w:t>
      </w:r>
      <w:r w:rsidR="004805D3">
        <w:t>are</w:t>
      </w:r>
      <w:r>
        <w:t xml:space="preserve"> m</w:t>
      </w:r>
      <w:r w:rsidR="00FF2229">
        <w:t>ade against l</w:t>
      </w:r>
      <w:r>
        <w:t>ow reliability entitlements in 20</w:t>
      </w:r>
      <w:r w:rsidR="005B1E51">
        <w:t>19–</w:t>
      </w:r>
      <w:r>
        <w:t>20.</w:t>
      </w:r>
    </w:p>
    <w:p w14:paraId="487F7368" w14:textId="34CA87AA" w:rsidR="00F24042" w:rsidRDefault="00F24042" w:rsidP="00F24042">
      <w:pPr>
        <w:pStyle w:val="ListBullet2"/>
        <w:numPr>
          <w:ilvl w:val="1"/>
          <w:numId w:val="25"/>
        </w:numPr>
        <w:spacing w:before="0"/>
        <w:ind w:left="794" w:hanging="369"/>
      </w:pPr>
      <w:r>
        <w:t>S</w:t>
      </w:r>
      <w:r w:rsidR="0001178F">
        <w:t xml:space="preserve">outh </w:t>
      </w:r>
      <w:r>
        <w:t>A</w:t>
      </w:r>
      <w:r w:rsidR="0001178F">
        <w:t>ustralian</w:t>
      </w:r>
      <w:r>
        <w:t xml:space="preserve"> Class 3a entitlements a</w:t>
      </w:r>
      <w:r w:rsidR="00FF2229">
        <w:t>re assumed to be comparable to h</w:t>
      </w:r>
      <w:r>
        <w:t xml:space="preserve">igh </w:t>
      </w:r>
      <w:r w:rsidR="007D41E3">
        <w:t>reliability entitlements in Victoria</w:t>
      </w:r>
      <w:r>
        <w:t xml:space="preserve"> and NSW.</w:t>
      </w:r>
    </w:p>
    <w:p w14:paraId="5C7B4A1A" w14:textId="2F1D2495" w:rsidR="00F24042" w:rsidRDefault="00F24042" w:rsidP="00F24042">
      <w:pPr>
        <w:pStyle w:val="ListBullet2"/>
        <w:numPr>
          <w:ilvl w:val="1"/>
          <w:numId w:val="25"/>
        </w:numPr>
        <w:spacing w:before="0"/>
        <w:ind w:left="794" w:hanging="369"/>
      </w:pPr>
      <w:r>
        <w:t>For N</w:t>
      </w:r>
      <w:r w:rsidR="0001178F">
        <w:t xml:space="preserve">ew </w:t>
      </w:r>
      <w:r>
        <w:t>S</w:t>
      </w:r>
      <w:r w:rsidR="0001178F">
        <w:t xml:space="preserve">outh </w:t>
      </w:r>
      <w:r>
        <w:t>W</w:t>
      </w:r>
      <w:r w:rsidR="0001178F">
        <w:t>ales</w:t>
      </w:r>
      <w:r>
        <w:t xml:space="preserve"> catchments, a number of assumptions were made. In cases where an allocation forecast was not provided for a particular scenario by </w:t>
      </w:r>
      <w:r w:rsidR="0001178F">
        <w:t>New South Wales</w:t>
      </w:r>
      <w:r>
        <w:t xml:space="preserve">, ABARES assumed that the </w:t>
      </w:r>
      <w:r w:rsidRPr="00D0692E">
        <w:rPr>
          <w:i/>
        </w:rPr>
        <w:t>dry</w:t>
      </w:r>
      <w:r>
        <w:t xml:space="preserve"> scenario forecast was equal to the </w:t>
      </w:r>
      <w:r w:rsidR="00427DF4">
        <w:rPr>
          <w:i/>
        </w:rPr>
        <w:t>extreme</w:t>
      </w:r>
      <w:r w:rsidRPr="00D0692E">
        <w:rPr>
          <w:i/>
        </w:rPr>
        <w:t xml:space="preserve"> dry</w:t>
      </w:r>
      <w:r w:rsidR="004B0673">
        <w:t xml:space="preserve">. Allocations under a </w:t>
      </w:r>
      <w:r w:rsidR="004B0673">
        <w:rPr>
          <w:i/>
        </w:rPr>
        <w:t xml:space="preserve">wet </w:t>
      </w:r>
      <w:r w:rsidR="004B0673">
        <w:t xml:space="preserve">scenario were </w:t>
      </w:r>
      <w:r>
        <w:t>assumed to be 25 per cent higher</w:t>
      </w:r>
      <w:r w:rsidR="004B0673">
        <w:t xml:space="preserve"> than the </w:t>
      </w:r>
      <w:r w:rsidR="004B0673">
        <w:rPr>
          <w:i/>
        </w:rPr>
        <w:t xml:space="preserve">average </w:t>
      </w:r>
      <w:r w:rsidR="004B0673">
        <w:t xml:space="preserve">scenario, </w:t>
      </w:r>
      <w:r>
        <w:t xml:space="preserve">up to a maximum of 100 per cent. </w:t>
      </w:r>
    </w:p>
    <w:p w14:paraId="00D6A1D0" w14:textId="7FF5355C" w:rsidR="00F24042" w:rsidRDefault="00756895" w:rsidP="00F24042">
      <w:bookmarkStart w:id="31" w:name="_Ref12537805"/>
      <w:r>
        <w:t xml:space="preserve">In addition, </w:t>
      </w:r>
      <w:r w:rsidR="00F24042">
        <w:t>although S</w:t>
      </w:r>
      <w:r w:rsidR="0001178F">
        <w:t xml:space="preserve">outh </w:t>
      </w:r>
      <w:r w:rsidR="00F24042">
        <w:t>A</w:t>
      </w:r>
      <w:r w:rsidR="0001178F">
        <w:t>ustralian</w:t>
      </w:r>
      <w:r w:rsidR="00F24042">
        <w:t xml:space="preserve"> allocation forecasts under a </w:t>
      </w:r>
      <w:r w:rsidR="00F24042">
        <w:rPr>
          <w:i/>
        </w:rPr>
        <w:t>wet</w:t>
      </w:r>
      <w:r w:rsidR="00F24042">
        <w:t xml:space="preserve"> scenario use a different assumption for inflows to other states (see</w:t>
      </w:r>
      <w:r w:rsidR="004805D3">
        <w:t xml:space="preserve"> Table A1</w:t>
      </w:r>
      <w:r w:rsidR="00F24042">
        <w:t>), in 20</w:t>
      </w:r>
      <w:r w:rsidR="005B1E51">
        <w:t>19–</w:t>
      </w:r>
      <w:r w:rsidR="00F24042">
        <w:t xml:space="preserve">20 </w:t>
      </w:r>
      <w:r w:rsidR="0001178F">
        <w:t xml:space="preserve">South Australia </w:t>
      </w:r>
      <w:r w:rsidR="00F24042">
        <w:t xml:space="preserve">forecasts 100% allocations in this scenario. </w:t>
      </w:r>
    </w:p>
    <w:p w14:paraId="78382DE2" w14:textId="6278EB04" w:rsidR="004805D3" w:rsidRDefault="004805D3">
      <w:pPr>
        <w:spacing w:after="0" w:line="240" w:lineRule="auto"/>
      </w:pPr>
      <w:r>
        <w:br w:type="page"/>
      </w:r>
    </w:p>
    <w:p w14:paraId="450A5E49" w14:textId="4C3B7B3B" w:rsidR="00F24042" w:rsidRDefault="00F24042" w:rsidP="00F24042">
      <w:pPr>
        <w:pStyle w:val="Caption"/>
      </w:pPr>
      <w:bookmarkStart w:id="32" w:name="_Ref12615589"/>
      <w:bookmarkStart w:id="33" w:name="_Toc14962339"/>
      <w:r>
        <w:lastRenderedPageBreak/>
        <w:t xml:space="preserve">Table </w:t>
      </w:r>
      <w:r w:rsidR="00A66DD6">
        <w:t>A</w:t>
      </w:r>
      <w:r>
        <w:rPr>
          <w:noProof/>
        </w:rPr>
        <w:fldChar w:fldCharType="begin"/>
      </w:r>
      <w:r>
        <w:rPr>
          <w:noProof/>
        </w:rPr>
        <w:instrText xml:space="preserve"> SEQ Table \* ARABIC </w:instrText>
      </w:r>
      <w:r>
        <w:rPr>
          <w:noProof/>
        </w:rPr>
        <w:fldChar w:fldCharType="separate"/>
      </w:r>
      <w:r w:rsidR="00200004">
        <w:rPr>
          <w:noProof/>
        </w:rPr>
        <w:t>3</w:t>
      </w:r>
      <w:r>
        <w:rPr>
          <w:noProof/>
        </w:rPr>
        <w:fldChar w:fldCharType="end"/>
      </w:r>
      <w:bookmarkEnd w:id="31"/>
      <w:bookmarkEnd w:id="32"/>
      <w:r>
        <w:t xml:space="preserve"> </w:t>
      </w:r>
      <w:r w:rsidR="004805D3">
        <w:t>A</w:t>
      </w:r>
      <w:r>
        <w:t>llocation forecasts for 2019–20</w:t>
      </w:r>
      <w:r w:rsidR="004805D3">
        <w:t>, as at 15 July 2019</w:t>
      </w:r>
      <w:bookmarkEnd w:id="33"/>
    </w:p>
    <w:tbl>
      <w:tblPr>
        <w:tblStyle w:val="ABARESTableleftrightalign"/>
        <w:tblW w:w="8897" w:type="dxa"/>
        <w:tblLook w:val="04A0" w:firstRow="1" w:lastRow="0" w:firstColumn="1" w:lastColumn="0" w:noHBand="0" w:noVBand="1"/>
      </w:tblPr>
      <w:tblGrid>
        <w:gridCol w:w="2895"/>
        <w:gridCol w:w="1204"/>
        <w:gridCol w:w="1423"/>
        <w:gridCol w:w="1204"/>
        <w:gridCol w:w="1204"/>
        <w:gridCol w:w="967"/>
      </w:tblGrid>
      <w:tr w:rsidR="00F24042" w:rsidRPr="00B52DF5" w14:paraId="6B99480D" w14:textId="77777777" w:rsidTr="00E5002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39CFF96D" w14:textId="77777777" w:rsidR="00F24042" w:rsidRPr="00DB240A" w:rsidRDefault="00F24042" w:rsidP="00E5002D">
            <w:pPr>
              <w:pStyle w:val="TableText"/>
              <w:rPr>
                <w:lang w:eastAsia="en-AU"/>
              </w:rPr>
            </w:pPr>
            <w:r w:rsidRPr="00DB240A">
              <w:rPr>
                <w:lang w:eastAsia="en-AU"/>
              </w:rPr>
              <w:t>Region</w:t>
            </w:r>
          </w:p>
        </w:tc>
        <w:tc>
          <w:tcPr>
            <w:tcW w:w="1204" w:type="dxa"/>
            <w:noWrap/>
            <w:hideMark/>
          </w:tcPr>
          <w:p w14:paraId="7AA0A6E8" w14:textId="77777777" w:rsidR="00F24042" w:rsidRPr="00DB240A" w:rsidRDefault="00F24042" w:rsidP="00B203FF">
            <w:pPr>
              <w:pStyle w:val="TableText"/>
              <w:jc w:val="left"/>
              <w:cnfStyle w:val="100000000000" w:firstRow="1" w:lastRow="0" w:firstColumn="0" w:lastColumn="0" w:oddVBand="0" w:evenVBand="0" w:oddHBand="0" w:evenHBand="0" w:firstRowFirstColumn="0" w:firstRowLastColumn="0" w:lastRowFirstColumn="0" w:lastRowLastColumn="0"/>
              <w:rPr>
                <w:lang w:eastAsia="en-AU"/>
              </w:rPr>
            </w:pPr>
            <w:r w:rsidRPr="00DB240A">
              <w:rPr>
                <w:lang w:eastAsia="en-AU"/>
              </w:rPr>
              <w:t>Security</w:t>
            </w:r>
          </w:p>
        </w:tc>
        <w:tc>
          <w:tcPr>
            <w:tcW w:w="1423" w:type="dxa"/>
            <w:noWrap/>
            <w:hideMark/>
          </w:tcPr>
          <w:p w14:paraId="00300A19" w14:textId="77777777" w:rsidR="00F24042" w:rsidRPr="00DB240A" w:rsidRDefault="00427DF4" w:rsidP="00E5002D">
            <w:pPr>
              <w:pStyle w:val="Table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Extreme</w:t>
            </w:r>
            <w:r w:rsidR="00F24042" w:rsidRPr="00DB240A">
              <w:rPr>
                <w:lang w:eastAsia="en-AU"/>
              </w:rPr>
              <w:t xml:space="preserve"> Dry</w:t>
            </w:r>
            <w:r w:rsidR="00B203FF">
              <w:rPr>
                <w:lang w:eastAsia="en-AU"/>
              </w:rPr>
              <w:t xml:space="preserve"> </w:t>
            </w:r>
            <w:r w:rsidR="00874AB0">
              <w:rPr>
                <w:lang w:eastAsia="en-AU"/>
              </w:rPr>
              <w:br/>
            </w:r>
            <w:r w:rsidR="00B203FF">
              <w:rPr>
                <w:lang w:eastAsia="en-AU"/>
              </w:rPr>
              <w:t>(%)</w:t>
            </w:r>
          </w:p>
        </w:tc>
        <w:tc>
          <w:tcPr>
            <w:tcW w:w="1204" w:type="dxa"/>
            <w:noWrap/>
            <w:hideMark/>
          </w:tcPr>
          <w:p w14:paraId="4DFFFF47" w14:textId="77777777" w:rsidR="00F24042" w:rsidRPr="00DB240A" w:rsidRDefault="00F24042" w:rsidP="00E5002D">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DB240A">
              <w:rPr>
                <w:lang w:eastAsia="en-AU"/>
              </w:rPr>
              <w:t>Dry</w:t>
            </w:r>
            <w:r w:rsidR="00B203FF">
              <w:rPr>
                <w:lang w:eastAsia="en-AU"/>
              </w:rPr>
              <w:t xml:space="preserve"> </w:t>
            </w:r>
            <w:r w:rsidR="00874AB0">
              <w:rPr>
                <w:lang w:eastAsia="en-AU"/>
              </w:rPr>
              <w:br/>
            </w:r>
            <w:r w:rsidR="00B203FF">
              <w:rPr>
                <w:lang w:eastAsia="en-AU"/>
              </w:rPr>
              <w:t>(%)</w:t>
            </w:r>
          </w:p>
        </w:tc>
        <w:tc>
          <w:tcPr>
            <w:tcW w:w="1204" w:type="dxa"/>
            <w:noWrap/>
            <w:hideMark/>
          </w:tcPr>
          <w:p w14:paraId="70F12859" w14:textId="77777777" w:rsidR="00F24042" w:rsidRPr="00DB240A" w:rsidRDefault="00F24042" w:rsidP="00E5002D">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DB240A">
              <w:rPr>
                <w:lang w:eastAsia="en-AU"/>
              </w:rPr>
              <w:t>Average</w:t>
            </w:r>
            <w:r w:rsidR="00874AB0">
              <w:rPr>
                <w:lang w:eastAsia="en-AU"/>
              </w:rPr>
              <w:br/>
            </w:r>
            <w:r w:rsidR="00B203FF">
              <w:rPr>
                <w:lang w:eastAsia="en-AU"/>
              </w:rPr>
              <w:t xml:space="preserve"> (%)</w:t>
            </w:r>
          </w:p>
        </w:tc>
        <w:tc>
          <w:tcPr>
            <w:tcW w:w="967" w:type="dxa"/>
            <w:noWrap/>
            <w:hideMark/>
          </w:tcPr>
          <w:p w14:paraId="6EA5D996" w14:textId="77777777" w:rsidR="00F24042" w:rsidRPr="00DB240A" w:rsidRDefault="00F24042" w:rsidP="00E5002D">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DB240A">
              <w:rPr>
                <w:lang w:eastAsia="en-AU"/>
              </w:rPr>
              <w:t>Wet</w:t>
            </w:r>
            <w:r w:rsidR="00B203FF">
              <w:rPr>
                <w:lang w:eastAsia="en-AU"/>
              </w:rPr>
              <w:t xml:space="preserve"> </w:t>
            </w:r>
            <w:r w:rsidR="00874AB0">
              <w:rPr>
                <w:lang w:eastAsia="en-AU"/>
              </w:rPr>
              <w:br/>
            </w:r>
            <w:r w:rsidR="00B203FF">
              <w:rPr>
                <w:lang w:eastAsia="en-AU"/>
              </w:rPr>
              <w:t>(%)</w:t>
            </w:r>
          </w:p>
        </w:tc>
      </w:tr>
      <w:tr w:rsidR="001A6563" w:rsidRPr="00B52DF5" w14:paraId="220DE28E"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726DFE99" w14:textId="77777777" w:rsidR="001A6563" w:rsidRPr="00B52DF5" w:rsidRDefault="001A6563" w:rsidP="001A6563">
            <w:pPr>
              <w:pStyle w:val="TableText"/>
              <w:rPr>
                <w:lang w:eastAsia="en-AU"/>
              </w:rPr>
            </w:pPr>
            <w:r w:rsidRPr="00B52DF5">
              <w:rPr>
                <w:lang w:eastAsia="en-AU"/>
              </w:rPr>
              <w:t>NSW Murray</w:t>
            </w:r>
          </w:p>
        </w:tc>
        <w:tc>
          <w:tcPr>
            <w:tcW w:w="1204" w:type="dxa"/>
            <w:noWrap/>
            <w:hideMark/>
          </w:tcPr>
          <w:p w14:paraId="00CD38BC"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General</w:t>
            </w:r>
          </w:p>
        </w:tc>
        <w:tc>
          <w:tcPr>
            <w:tcW w:w="1423" w:type="dxa"/>
            <w:noWrap/>
            <w:vAlign w:val="center"/>
            <w:hideMark/>
          </w:tcPr>
          <w:p w14:paraId="5C062F3B" w14:textId="3CBBEE3F"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744EC758" w14:textId="40F77773"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0D426944" w14:textId="6B2C457F"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30</w:t>
            </w:r>
          </w:p>
        </w:tc>
        <w:tc>
          <w:tcPr>
            <w:tcW w:w="967" w:type="dxa"/>
            <w:noWrap/>
            <w:vAlign w:val="center"/>
            <w:hideMark/>
          </w:tcPr>
          <w:p w14:paraId="47CD1791" w14:textId="06D96DC5"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55</w:t>
            </w:r>
          </w:p>
        </w:tc>
      </w:tr>
      <w:tr w:rsidR="001A6563" w:rsidRPr="00B52DF5" w14:paraId="1E66B38B"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09B92301" w14:textId="77777777" w:rsidR="001A6563" w:rsidRPr="00B52DF5" w:rsidRDefault="001A6563" w:rsidP="001A6563">
            <w:pPr>
              <w:pStyle w:val="TableText"/>
              <w:rPr>
                <w:lang w:eastAsia="en-AU"/>
              </w:rPr>
            </w:pPr>
            <w:r w:rsidRPr="00B52DF5">
              <w:rPr>
                <w:lang w:eastAsia="en-AU"/>
              </w:rPr>
              <w:t>NSW Murray</w:t>
            </w:r>
          </w:p>
        </w:tc>
        <w:tc>
          <w:tcPr>
            <w:tcW w:w="1204" w:type="dxa"/>
            <w:noWrap/>
            <w:hideMark/>
          </w:tcPr>
          <w:p w14:paraId="1E80806F"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42CBD61A" w14:textId="772A603E"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97</w:t>
            </w:r>
          </w:p>
        </w:tc>
        <w:tc>
          <w:tcPr>
            <w:tcW w:w="1204" w:type="dxa"/>
            <w:noWrap/>
            <w:vAlign w:val="center"/>
            <w:hideMark/>
          </w:tcPr>
          <w:p w14:paraId="20E16AA1" w14:textId="3946600C"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97</w:t>
            </w:r>
          </w:p>
        </w:tc>
        <w:tc>
          <w:tcPr>
            <w:tcW w:w="1204" w:type="dxa"/>
            <w:noWrap/>
            <w:vAlign w:val="center"/>
            <w:hideMark/>
          </w:tcPr>
          <w:p w14:paraId="02C46B66" w14:textId="27015D29"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4458D16A" w14:textId="45E33B76"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6E54D5AA"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6502926B" w14:textId="77777777" w:rsidR="001A6563" w:rsidRPr="00B52DF5" w:rsidRDefault="001A6563" w:rsidP="001A6563">
            <w:pPr>
              <w:pStyle w:val="TableText"/>
              <w:rPr>
                <w:lang w:eastAsia="en-AU"/>
              </w:rPr>
            </w:pPr>
            <w:r w:rsidRPr="00B52DF5">
              <w:rPr>
                <w:lang w:eastAsia="en-AU"/>
              </w:rPr>
              <w:t>NSW Lower Darling</w:t>
            </w:r>
          </w:p>
        </w:tc>
        <w:tc>
          <w:tcPr>
            <w:tcW w:w="1204" w:type="dxa"/>
            <w:noWrap/>
            <w:hideMark/>
          </w:tcPr>
          <w:p w14:paraId="2EB7F22E"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General</w:t>
            </w:r>
          </w:p>
        </w:tc>
        <w:tc>
          <w:tcPr>
            <w:tcW w:w="1423" w:type="dxa"/>
            <w:noWrap/>
            <w:vAlign w:val="center"/>
            <w:hideMark/>
          </w:tcPr>
          <w:p w14:paraId="61D2AA59" w14:textId="266D1526"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69DDF7CA" w14:textId="0EAADEA3"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0377E9F6" w14:textId="47133EB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25</w:t>
            </w:r>
          </w:p>
        </w:tc>
        <w:tc>
          <w:tcPr>
            <w:tcW w:w="967" w:type="dxa"/>
            <w:noWrap/>
            <w:vAlign w:val="center"/>
            <w:hideMark/>
          </w:tcPr>
          <w:p w14:paraId="2A573339" w14:textId="4ED6F069"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50</w:t>
            </w:r>
          </w:p>
        </w:tc>
      </w:tr>
      <w:tr w:rsidR="001A6563" w:rsidRPr="00B52DF5" w14:paraId="40831329"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4795D14B" w14:textId="77777777" w:rsidR="001A6563" w:rsidRPr="00B52DF5" w:rsidRDefault="001A6563" w:rsidP="001A6563">
            <w:pPr>
              <w:pStyle w:val="TableText"/>
              <w:rPr>
                <w:lang w:eastAsia="en-AU"/>
              </w:rPr>
            </w:pPr>
            <w:r w:rsidRPr="00B52DF5">
              <w:rPr>
                <w:lang w:eastAsia="en-AU"/>
              </w:rPr>
              <w:t>NSW Lower Darling</w:t>
            </w:r>
          </w:p>
        </w:tc>
        <w:tc>
          <w:tcPr>
            <w:tcW w:w="1204" w:type="dxa"/>
            <w:noWrap/>
            <w:hideMark/>
          </w:tcPr>
          <w:p w14:paraId="598B11DF"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473979DE" w14:textId="5B7985A1"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20</w:t>
            </w:r>
          </w:p>
        </w:tc>
        <w:tc>
          <w:tcPr>
            <w:tcW w:w="1204" w:type="dxa"/>
            <w:noWrap/>
            <w:vAlign w:val="center"/>
            <w:hideMark/>
          </w:tcPr>
          <w:p w14:paraId="03051C09" w14:textId="38C5EC9F"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20</w:t>
            </w:r>
          </w:p>
        </w:tc>
        <w:tc>
          <w:tcPr>
            <w:tcW w:w="1204" w:type="dxa"/>
            <w:noWrap/>
            <w:vAlign w:val="center"/>
            <w:hideMark/>
          </w:tcPr>
          <w:p w14:paraId="76112556" w14:textId="2CE72BBA"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45</w:t>
            </w:r>
          </w:p>
        </w:tc>
        <w:tc>
          <w:tcPr>
            <w:tcW w:w="967" w:type="dxa"/>
            <w:noWrap/>
            <w:vAlign w:val="center"/>
            <w:hideMark/>
          </w:tcPr>
          <w:p w14:paraId="0AD24A8F" w14:textId="02AC67B4"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70</w:t>
            </w:r>
          </w:p>
        </w:tc>
      </w:tr>
      <w:tr w:rsidR="001A6563" w:rsidRPr="00B52DF5" w14:paraId="57BAC991"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7F82E31C" w14:textId="77777777" w:rsidR="001A6563" w:rsidRPr="00B52DF5" w:rsidRDefault="001A6563" w:rsidP="001A6563">
            <w:pPr>
              <w:pStyle w:val="TableText"/>
              <w:rPr>
                <w:lang w:eastAsia="en-AU"/>
              </w:rPr>
            </w:pPr>
            <w:r w:rsidRPr="00B52DF5">
              <w:rPr>
                <w:lang w:eastAsia="en-AU"/>
              </w:rPr>
              <w:t>NSW Murrumbidgee</w:t>
            </w:r>
          </w:p>
        </w:tc>
        <w:tc>
          <w:tcPr>
            <w:tcW w:w="1204" w:type="dxa"/>
            <w:noWrap/>
            <w:hideMark/>
          </w:tcPr>
          <w:p w14:paraId="5B4F937E"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General</w:t>
            </w:r>
          </w:p>
        </w:tc>
        <w:tc>
          <w:tcPr>
            <w:tcW w:w="1423" w:type="dxa"/>
            <w:noWrap/>
            <w:vAlign w:val="center"/>
            <w:hideMark/>
          </w:tcPr>
          <w:p w14:paraId="16DA3F63" w14:textId="174AE888"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4DBE810C" w14:textId="0FE3E906"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20697929" w14:textId="0A22096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25</w:t>
            </w:r>
          </w:p>
        </w:tc>
        <w:tc>
          <w:tcPr>
            <w:tcW w:w="967" w:type="dxa"/>
            <w:noWrap/>
            <w:vAlign w:val="center"/>
            <w:hideMark/>
          </w:tcPr>
          <w:p w14:paraId="0959DE88" w14:textId="06AACFA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50</w:t>
            </w:r>
          </w:p>
        </w:tc>
      </w:tr>
      <w:tr w:rsidR="001A6563" w:rsidRPr="00B52DF5" w14:paraId="46F3649D" w14:textId="77777777" w:rsidTr="002908C8">
        <w:trPr>
          <w:trHeight w:val="292"/>
        </w:trPr>
        <w:tc>
          <w:tcPr>
            <w:cnfStyle w:val="001000000000" w:firstRow="0" w:lastRow="0" w:firstColumn="1" w:lastColumn="0" w:oddVBand="0" w:evenVBand="0" w:oddHBand="0" w:evenHBand="0" w:firstRowFirstColumn="0" w:firstRowLastColumn="0" w:lastRowFirstColumn="0" w:lastRowLastColumn="0"/>
            <w:tcW w:w="2895" w:type="dxa"/>
            <w:noWrap/>
            <w:hideMark/>
          </w:tcPr>
          <w:p w14:paraId="33D3A86D" w14:textId="77777777" w:rsidR="001A6563" w:rsidRPr="00B52DF5" w:rsidRDefault="001A6563" w:rsidP="001A6563">
            <w:pPr>
              <w:pStyle w:val="TableText"/>
              <w:rPr>
                <w:lang w:eastAsia="en-AU"/>
              </w:rPr>
            </w:pPr>
            <w:r w:rsidRPr="00B52DF5">
              <w:rPr>
                <w:lang w:eastAsia="en-AU"/>
              </w:rPr>
              <w:t>NSW Murrumbidgee</w:t>
            </w:r>
          </w:p>
        </w:tc>
        <w:tc>
          <w:tcPr>
            <w:tcW w:w="1204" w:type="dxa"/>
            <w:noWrap/>
            <w:hideMark/>
          </w:tcPr>
          <w:p w14:paraId="59F134E3"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1586D9C2" w14:textId="71D57BC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95</w:t>
            </w:r>
          </w:p>
        </w:tc>
        <w:tc>
          <w:tcPr>
            <w:tcW w:w="1204" w:type="dxa"/>
            <w:noWrap/>
            <w:vAlign w:val="center"/>
            <w:hideMark/>
          </w:tcPr>
          <w:p w14:paraId="715CB387" w14:textId="2A51AFF7"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95</w:t>
            </w:r>
          </w:p>
        </w:tc>
        <w:tc>
          <w:tcPr>
            <w:tcW w:w="1204" w:type="dxa"/>
            <w:noWrap/>
            <w:vAlign w:val="center"/>
            <w:hideMark/>
          </w:tcPr>
          <w:p w14:paraId="0C6029E6" w14:textId="78053504"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603406BD" w14:textId="11B99F94"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0E9C78DA"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0267C0B8" w14:textId="77777777" w:rsidR="001A6563" w:rsidRPr="00B52DF5" w:rsidRDefault="001A6563" w:rsidP="001A6563">
            <w:pPr>
              <w:pStyle w:val="TableText"/>
              <w:rPr>
                <w:lang w:eastAsia="en-AU"/>
              </w:rPr>
            </w:pPr>
            <w:r w:rsidRPr="00B52DF5">
              <w:rPr>
                <w:lang w:eastAsia="en-AU"/>
              </w:rPr>
              <w:t>VIC Murray</w:t>
            </w:r>
          </w:p>
        </w:tc>
        <w:tc>
          <w:tcPr>
            <w:tcW w:w="1204" w:type="dxa"/>
            <w:noWrap/>
            <w:hideMark/>
          </w:tcPr>
          <w:p w14:paraId="6158F29D"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2C604B7A" w14:textId="3C42996F"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29</w:t>
            </w:r>
          </w:p>
        </w:tc>
        <w:tc>
          <w:tcPr>
            <w:tcW w:w="1204" w:type="dxa"/>
            <w:noWrap/>
            <w:vAlign w:val="center"/>
            <w:hideMark/>
          </w:tcPr>
          <w:p w14:paraId="053C5B05" w14:textId="77E9047F"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55</w:t>
            </w:r>
          </w:p>
        </w:tc>
        <w:tc>
          <w:tcPr>
            <w:tcW w:w="1204" w:type="dxa"/>
            <w:noWrap/>
            <w:vAlign w:val="center"/>
            <w:hideMark/>
          </w:tcPr>
          <w:p w14:paraId="777C7E2B" w14:textId="5DD28A03"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7E013007" w14:textId="784114D8"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09AAFA3B"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23D503DC" w14:textId="77777777" w:rsidR="001A6563" w:rsidRPr="00B52DF5" w:rsidRDefault="001A6563" w:rsidP="001A6563">
            <w:pPr>
              <w:pStyle w:val="TableText"/>
              <w:rPr>
                <w:lang w:eastAsia="en-AU"/>
              </w:rPr>
            </w:pPr>
            <w:r w:rsidRPr="00B52DF5">
              <w:rPr>
                <w:lang w:eastAsia="en-AU"/>
              </w:rPr>
              <w:t>VIC Goulburn</w:t>
            </w:r>
          </w:p>
        </w:tc>
        <w:tc>
          <w:tcPr>
            <w:tcW w:w="1204" w:type="dxa"/>
            <w:noWrap/>
            <w:hideMark/>
          </w:tcPr>
          <w:p w14:paraId="3E01DF65"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68E402AD" w14:textId="1ADCA1F0"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20</w:t>
            </w:r>
          </w:p>
        </w:tc>
        <w:tc>
          <w:tcPr>
            <w:tcW w:w="1204" w:type="dxa"/>
            <w:noWrap/>
            <w:vAlign w:val="center"/>
            <w:hideMark/>
          </w:tcPr>
          <w:p w14:paraId="0E4790A6" w14:textId="51D08C45"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43</w:t>
            </w:r>
          </w:p>
        </w:tc>
        <w:tc>
          <w:tcPr>
            <w:tcW w:w="1204" w:type="dxa"/>
            <w:noWrap/>
            <w:vAlign w:val="center"/>
            <w:hideMark/>
          </w:tcPr>
          <w:p w14:paraId="6A84F610" w14:textId="0BA7F407"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09E0A1C7" w14:textId="29DFB8E4"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774458FA"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7F4E5FFA" w14:textId="77777777" w:rsidR="001A6563" w:rsidRPr="00B52DF5" w:rsidRDefault="001A6563" w:rsidP="001A6563">
            <w:pPr>
              <w:pStyle w:val="TableText"/>
              <w:rPr>
                <w:lang w:eastAsia="en-AU"/>
              </w:rPr>
            </w:pPr>
            <w:r w:rsidRPr="00B52DF5">
              <w:rPr>
                <w:lang w:eastAsia="en-AU"/>
              </w:rPr>
              <w:t>VIC Campaspe</w:t>
            </w:r>
          </w:p>
        </w:tc>
        <w:tc>
          <w:tcPr>
            <w:tcW w:w="1204" w:type="dxa"/>
            <w:noWrap/>
            <w:hideMark/>
          </w:tcPr>
          <w:p w14:paraId="7CC50303"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2D117A69" w14:textId="44281948"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31</w:t>
            </w:r>
          </w:p>
        </w:tc>
        <w:tc>
          <w:tcPr>
            <w:tcW w:w="1204" w:type="dxa"/>
            <w:noWrap/>
            <w:vAlign w:val="center"/>
            <w:hideMark/>
          </w:tcPr>
          <w:p w14:paraId="1291CC6A" w14:textId="3C3C05A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44</w:t>
            </w:r>
          </w:p>
        </w:tc>
        <w:tc>
          <w:tcPr>
            <w:tcW w:w="1204" w:type="dxa"/>
            <w:noWrap/>
            <w:vAlign w:val="center"/>
            <w:hideMark/>
          </w:tcPr>
          <w:p w14:paraId="7E5BAFCF" w14:textId="03239A5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1E7485F9" w14:textId="008453D0"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3AD5C9C0"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14165F84" w14:textId="77777777" w:rsidR="001A6563" w:rsidRPr="00B52DF5" w:rsidRDefault="001A6563" w:rsidP="001A6563">
            <w:pPr>
              <w:pStyle w:val="TableText"/>
              <w:rPr>
                <w:lang w:eastAsia="en-AU"/>
              </w:rPr>
            </w:pPr>
            <w:r w:rsidRPr="00B52DF5">
              <w:rPr>
                <w:lang w:eastAsia="en-AU"/>
              </w:rPr>
              <w:t>VIC Loddon</w:t>
            </w:r>
          </w:p>
        </w:tc>
        <w:tc>
          <w:tcPr>
            <w:tcW w:w="1204" w:type="dxa"/>
            <w:noWrap/>
            <w:hideMark/>
          </w:tcPr>
          <w:p w14:paraId="395B059F"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73F38737" w14:textId="025B4DCD"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20</w:t>
            </w:r>
          </w:p>
        </w:tc>
        <w:tc>
          <w:tcPr>
            <w:tcW w:w="1204" w:type="dxa"/>
            <w:noWrap/>
            <w:vAlign w:val="center"/>
            <w:hideMark/>
          </w:tcPr>
          <w:p w14:paraId="60973CBE" w14:textId="211F476B"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43</w:t>
            </w:r>
          </w:p>
        </w:tc>
        <w:tc>
          <w:tcPr>
            <w:tcW w:w="1204" w:type="dxa"/>
            <w:noWrap/>
            <w:vAlign w:val="center"/>
            <w:hideMark/>
          </w:tcPr>
          <w:p w14:paraId="2502374B" w14:textId="4D48D60D"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610FEBCC" w14:textId="40B91F52"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48E66B9C" w14:textId="77777777" w:rsidTr="002908C8">
        <w:trPr>
          <w:trHeight w:val="278"/>
        </w:trPr>
        <w:tc>
          <w:tcPr>
            <w:cnfStyle w:val="001000000000" w:firstRow="0" w:lastRow="0" w:firstColumn="1" w:lastColumn="0" w:oddVBand="0" w:evenVBand="0" w:oddHBand="0" w:evenHBand="0" w:firstRowFirstColumn="0" w:firstRowLastColumn="0" w:lastRowFirstColumn="0" w:lastRowLastColumn="0"/>
            <w:tcW w:w="2895" w:type="dxa"/>
            <w:noWrap/>
            <w:hideMark/>
          </w:tcPr>
          <w:p w14:paraId="36A9A005" w14:textId="77777777" w:rsidR="001A6563" w:rsidRPr="00B52DF5" w:rsidRDefault="001A6563" w:rsidP="001A6563">
            <w:pPr>
              <w:pStyle w:val="TableText"/>
              <w:rPr>
                <w:lang w:eastAsia="en-AU"/>
              </w:rPr>
            </w:pPr>
            <w:r w:rsidRPr="00B52DF5">
              <w:rPr>
                <w:lang w:eastAsia="en-AU"/>
              </w:rPr>
              <w:t>VIC Broken</w:t>
            </w:r>
          </w:p>
        </w:tc>
        <w:tc>
          <w:tcPr>
            <w:tcW w:w="1204" w:type="dxa"/>
            <w:noWrap/>
            <w:hideMark/>
          </w:tcPr>
          <w:p w14:paraId="246CAE6B"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786C0719" w14:textId="4B844DDE"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63594E2E" w14:textId="4035CF40"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0</w:t>
            </w:r>
          </w:p>
        </w:tc>
        <w:tc>
          <w:tcPr>
            <w:tcW w:w="1204" w:type="dxa"/>
            <w:noWrap/>
            <w:vAlign w:val="center"/>
            <w:hideMark/>
          </w:tcPr>
          <w:p w14:paraId="74191D8A" w14:textId="5E267FF9"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028F2761" w14:textId="0795ADC5"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r w:rsidR="001A6563" w:rsidRPr="00B52DF5" w14:paraId="2E9BFCFF" w14:textId="77777777" w:rsidTr="002908C8">
        <w:trPr>
          <w:trHeight w:val="292"/>
        </w:trPr>
        <w:tc>
          <w:tcPr>
            <w:cnfStyle w:val="001000000000" w:firstRow="0" w:lastRow="0" w:firstColumn="1" w:lastColumn="0" w:oddVBand="0" w:evenVBand="0" w:oddHBand="0" w:evenHBand="0" w:firstRowFirstColumn="0" w:firstRowLastColumn="0" w:lastRowFirstColumn="0" w:lastRowLastColumn="0"/>
            <w:tcW w:w="2895" w:type="dxa"/>
            <w:noWrap/>
            <w:hideMark/>
          </w:tcPr>
          <w:p w14:paraId="4ABB226E" w14:textId="77777777" w:rsidR="001A6563" w:rsidRPr="00B52DF5" w:rsidRDefault="001A6563" w:rsidP="001A6563">
            <w:pPr>
              <w:pStyle w:val="TableText"/>
              <w:rPr>
                <w:lang w:eastAsia="en-AU"/>
              </w:rPr>
            </w:pPr>
            <w:r w:rsidRPr="00B52DF5">
              <w:rPr>
                <w:lang w:eastAsia="en-AU"/>
              </w:rPr>
              <w:t>SA Murray</w:t>
            </w:r>
          </w:p>
        </w:tc>
        <w:tc>
          <w:tcPr>
            <w:tcW w:w="1204" w:type="dxa"/>
            <w:noWrap/>
            <w:hideMark/>
          </w:tcPr>
          <w:p w14:paraId="0824AFE1" w14:textId="77777777" w:rsidR="001A6563" w:rsidRPr="00B52DF5" w:rsidRDefault="001A6563" w:rsidP="001A6563">
            <w:pPr>
              <w:pStyle w:val="TableText"/>
              <w:jc w:val="left"/>
              <w:cnfStyle w:val="000000000000" w:firstRow="0" w:lastRow="0" w:firstColumn="0" w:lastColumn="0" w:oddVBand="0" w:evenVBand="0" w:oddHBand="0" w:evenHBand="0" w:firstRowFirstColumn="0" w:firstRowLastColumn="0" w:lastRowFirstColumn="0" w:lastRowLastColumn="0"/>
              <w:rPr>
                <w:lang w:eastAsia="en-AU"/>
              </w:rPr>
            </w:pPr>
            <w:r w:rsidRPr="00B52DF5">
              <w:rPr>
                <w:lang w:eastAsia="en-AU"/>
              </w:rPr>
              <w:t>High</w:t>
            </w:r>
          </w:p>
        </w:tc>
        <w:tc>
          <w:tcPr>
            <w:tcW w:w="1423" w:type="dxa"/>
            <w:noWrap/>
            <w:vAlign w:val="center"/>
            <w:hideMark/>
          </w:tcPr>
          <w:p w14:paraId="027BFD05" w14:textId="438F5EE5"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60</w:t>
            </w:r>
          </w:p>
        </w:tc>
        <w:tc>
          <w:tcPr>
            <w:tcW w:w="1204" w:type="dxa"/>
            <w:noWrap/>
            <w:vAlign w:val="center"/>
            <w:hideMark/>
          </w:tcPr>
          <w:p w14:paraId="69A657B8" w14:textId="03105FFE"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97</w:t>
            </w:r>
          </w:p>
        </w:tc>
        <w:tc>
          <w:tcPr>
            <w:tcW w:w="1204" w:type="dxa"/>
            <w:noWrap/>
            <w:vAlign w:val="center"/>
            <w:hideMark/>
          </w:tcPr>
          <w:p w14:paraId="2D8022D0" w14:textId="66BD6C13"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c>
          <w:tcPr>
            <w:tcW w:w="967" w:type="dxa"/>
            <w:noWrap/>
            <w:vAlign w:val="center"/>
            <w:hideMark/>
          </w:tcPr>
          <w:p w14:paraId="27C43E6F" w14:textId="5ECF7D63" w:rsidR="001A6563" w:rsidRPr="00B52DF5"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100</w:t>
            </w:r>
          </w:p>
        </w:tc>
      </w:tr>
    </w:tbl>
    <w:p w14:paraId="31457FDB" w14:textId="77777777" w:rsidR="00F24042" w:rsidRDefault="00F24042" w:rsidP="00F24042">
      <w:pPr>
        <w:pStyle w:val="Normalsmall"/>
      </w:pPr>
      <w:r w:rsidRPr="003342F7">
        <w:rPr>
          <w:b/>
        </w:rPr>
        <w:t>Source:</w:t>
      </w:r>
      <w:r>
        <w:rPr>
          <w:b/>
        </w:rPr>
        <w:t xml:space="preserve"> </w:t>
      </w:r>
      <w:r w:rsidRPr="009F6092">
        <w:t>NSW DPI</w:t>
      </w:r>
      <w:r>
        <w:t xml:space="preserve">, </w:t>
      </w:r>
      <w:r w:rsidRPr="000D420F">
        <w:t>NVRM</w:t>
      </w:r>
      <w:r>
        <w:t>, SA DEW</w:t>
      </w:r>
    </w:p>
    <w:p w14:paraId="5246B765" w14:textId="3DC41A49" w:rsidR="00E41930" w:rsidRDefault="003F5321" w:rsidP="003F5321">
      <w:r>
        <w:t>Forecast allocations have been updated since the March outlook</w:t>
      </w:r>
      <w:r w:rsidR="00756895">
        <w:t>,</w:t>
      </w:r>
      <w:r>
        <w:t xml:space="preserve"> and represent a</w:t>
      </w:r>
      <w:r w:rsidR="005027FF">
        <w:t>n</w:t>
      </w:r>
      <w:r>
        <w:t xml:space="preserve"> improvement </w:t>
      </w:r>
      <w:r w:rsidR="00756895">
        <w:t xml:space="preserve">in water availability </w:t>
      </w:r>
      <w:r>
        <w:t>for a number of key regions (</w:t>
      </w:r>
      <w:r w:rsidR="00F12F46">
        <w:fldChar w:fldCharType="begin"/>
      </w:r>
      <w:r w:rsidR="00F12F46">
        <w:instrText xml:space="preserve"> REF _Ref12536745 \h </w:instrText>
      </w:r>
      <w:r w:rsidR="00F12F46">
        <w:fldChar w:fldCharType="separate"/>
      </w:r>
      <w:r w:rsidR="00200004">
        <w:t>Table A</w:t>
      </w:r>
      <w:r w:rsidR="00200004">
        <w:rPr>
          <w:noProof/>
        </w:rPr>
        <w:t>4</w:t>
      </w:r>
      <w:r w:rsidR="00F12F46">
        <w:fldChar w:fldCharType="end"/>
      </w:r>
      <w:r>
        <w:t>).  The</w:t>
      </w:r>
      <w:r w:rsidR="007D41E3">
        <w:t>re are a few</w:t>
      </w:r>
      <w:r>
        <w:t xml:space="preserve"> notable exception</w:t>
      </w:r>
      <w:r w:rsidR="007D41E3">
        <w:t xml:space="preserve">s including the </w:t>
      </w:r>
      <w:r w:rsidR="0001178F">
        <w:t>South Australian</w:t>
      </w:r>
      <w:r>
        <w:t xml:space="preserve"> Murray</w:t>
      </w:r>
      <w:r w:rsidR="007D41E3">
        <w:t xml:space="preserve">, </w:t>
      </w:r>
      <w:r w:rsidR="0001178F">
        <w:t xml:space="preserve">Victorian </w:t>
      </w:r>
      <w:r w:rsidR="007D41E3">
        <w:t xml:space="preserve">Goulburn and </w:t>
      </w:r>
      <w:r w:rsidR="0001178F">
        <w:t xml:space="preserve">New South Wales </w:t>
      </w:r>
      <w:r w:rsidR="007D41E3">
        <w:t>Lower Darling, which see</w:t>
      </w:r>
      <w:r>
        <w:t xml:space="preserve"> allocation forecasts decline </w:t>
      </w:r>
      <w:r w:rsidR="007D41E3">
        <w:t xml:space="preserve">marginally </w:t>
      </w:r>
      <w:r>
        <w:t xml:space="preserve">under the </w:t>
      </w:r>
      <w:r>
        <w:rPr>
          <w:i/>
        </w:rPr>
        <w:t>dry</w:t>
      </w:r>
      <w:r>
        <w:t xml:space="preserve"> scenario.</w:t>
      </w:r>
    </w:p>
    <w:p w14:paraId="7376EC86" w14:textId="77777777" w:rsidR="003F5321" w:rsidRDefault="003F5321" w:rsidP="003F5321">
      <w:pPr>
        <w:pStyle w:val="Caption"/>
      </w:pPr>
      <w:bookmarkStart w:id="34" w:name="_Ref12536745"/>
      <w:bookmarkStart w:id="35" w:name="_Toc14962340"/>
      <w:r>
        <w:t xml:space="preserve">Table </w:t>
      </w:r>
      <w:r w:rsidR="00A66DD6">
        <w:t>A</w:t>
      </w:r>
      <w:r>
        <w:rPr>
          <w:noProof/>
        </w:rPr>
        <w:fldChar w:fldCharType="begin"/>
      </w:r>
      <w:r>
        <w:rPr>
          <w:noProof/>
        </w:rPr>
        <w:instrText xml:space="preserve"> SEQ Table \* ARABIC </w:instrText>
      </w:r>
      <w:r>
        <w:rPr>
          <w:noProof/>
        </w:rPr>
        <w:fldChar w:fldCharType="separate"/>
      </w:r>
      <w:r w:rsidR="00200004">
        <w:rPr>
          <w:noProof/>
        </w:rPr>
        <w:t>4</w:t>
      </w:r>
      <w:r>
        <w:rPr>
          <w:noProof/>
        </w:rPr>
        <w:fldChar w:fldCharType="end"/>
      </w:r>
      <w:bookmarkEnd w:id="34"/>
      <w:r>
        <w:t xml:space="preserve"> March allocation forecasts for 2019–20</w:t>
      </w:r>
      <w:bookmarkEnd w:id="35"/>
    </w:p>
    <w:tbl>
      <w:tblPr>
        <w:tblStyle w:val="ABARESTableleftrightalign"/>
        <w:tblW w:w="7340" w:type="dxa"/>
        <w:tblLook w:val="04A0" w:firstRow="1" w:lastRow="0" w:firstColumn="1" w:lastColumn="0" w:noHBand="0" w:noVBand="1"/>
      </w:tblPr>
      <w:tblGrid>
        <w:gridCol w:w="1889"/>
        <w:gridCol w:w="1391"/>
        <w:gridCol w:w="1349"/>
        <w:gridCol w:w="1361"/>
        <w:gridCol w:w="1350"/>
      </w:tblGrid>
      <w:tr w:rsidR="003F5321" w:rsidRPr="006B5AFD" w14:paraId="66346BD2" w14:textId="77777777" w:rsidTr="00B203FF">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889" w:type="dxa"/>
            <w:noWrap/>
            <w:hideMark/>
          </w:tcPr>
          <w:p w14:paraId="345CC57E" w14:textId="77777777" w:rsidR="003F5321" w:rsidRPr="006B5AFD" w:rsidRDefault="003F5321" w:rsidP="00E83423">
            <w:pPr>
              <w:pStyle w:val="TableText"/>
            </w:pPr>
            <w:r w:rsidRPr="006B5AFD">
              <w:t>Region</w:t>
            </w:r>
          </w:p>
        </w:tc>
        <w:tc>
          <w:tcPr>
            <w:tcW w:w="1391" w:type="dxa"/>
            <w:noWrap/>
            <w:hideMark/>
          </w:tcPr>
          <w:p w14:paraId="66115381" w14:textId="77777777" w:rsidR="003F5321" w:rsidRPr="006B5AFD" w:rsidRDefault="003F5321" w:rsidP="00B203FF">
            <w:pPr>
              <w:pStyle w:val="TableText"/>
              <w:jc w:val="left"/>
              <w:cnfStyle w:val="100000000000" w:firstRow="1" w:lastRow="0" w:firstColumn="0" w:lastColumn="0" w:oddVBand="0" w:evenVBand="0" w:oddHBand="0" w:evenHBand="0" w:firstRowFirstColumn="0" w:firstRowLastColumn="0" w:lastRowFirstColumn="0" w:lastRowLastColumn="0"/>
            </w:pPr>
            <w:r w:rsidRPr="006B5AFD">
              <w:t>Security</w:t>
            </w:r>
          </w:p>
        </w:tc>
        <w:tc>
          <w:tcPr>
            <w:tcW w:w="1349" w:type="dxa"/>
            <w:hideMark/>
          </w:tcPr>
          <w:p w14:paraId="41BD68CF" w14:textId="77777777" w:rsidR="003F5321" w:rsidRPr="006B5AFD" w:rsidRDefault="003F5321" w:rsidP="00E83423">
            <w:pPr>
              <w:pStyle w:val="TableText"/>
              <w:cnfStyle w:val="100000000000" w:firstRow="1" w:lastRow="0" w:firstColumn="0" w:lastColumn="0" w:oddVBand="0" w:evenVBand="0" w:oddHBand="0" w:evenHBand="0" w:firstRowFirstColumn="0" w:firstRowLastColumn="0" w:lastRowFirstColumn="0" w:lastRowLastColumn="0"/>
            </w:pPr>
            <w:r w:rsidRPr="006B5AFD">
              <w:t xml:space="preserve">Dry </w:t>
            </w:r>
            <w:r w:rsidRPr="006B5AFD">
              <w:br/>
              <w:t>(%)</w:t>
            </w:r>
          </w:p>
        </w:tc>
        <w:tc>
          <w:tcPr>
            <w:tcW w:w="1361" w:type="dxa"/>
            <w:hideMark/>
          </w:tcPr>
          <w:p w14:paraId="1A6AAB16" w14:textId="77777777" w:rsidR="003F5321" w:rsidRPr="006B5AFD" w:rsidRDefault="003F5321" w:rsidP="00E83423">
            <w:pPr>
              <w:pStyle w:val="TableText"/>
              <w:cnfStyle w:val="100000000000" w:firstRow="1" w:lastRow="0" w:firstColumn="0" w:lastColumn="0" w:oddVBand="0" w:evenVBand="0" w:oddHBand="0" w:evenHBand="0" w:firstRowFirstColumn="0" w:firstRowLastColumn="0" w:lastRowFirstColumn="0" w:lastRowLastColumn="0"/>
            </w:pPr>
            <w:r w:rsidRPr="006B5AFD">
              <w:t xml:space="preserve">Average </w:t>
            </w:r>
            <w:r w:rsidRPr="006B5AFD">
              <w:br/>
              <w:t>(%)</w:t>
            </w:r>
          </w:p>
        </w:tc>
        <w:tc>
          <w:tcPr>
            <w:tcW w:w="1350" w:type="dxa"/>
            <w:hideMark/>
          </w:tcPr>
          <w:p w14:paraId="09323553" w14:textId="77777777" w:rsidR="003F5321" w:rsidRPr="006B5AFD" w:rsidRDefault="003F5321" w:rsidP="00E83423">
            <w:pPr>
              <w:pStyle w:val="TableText"/>
              <w:cnfStyle w:val="100000000000" w:firstRow="1" w:lastRow="0" w:firstColumn="0" w:lastColumn="0" w:oddVBand="0" w:evenVBand="0" w:oddHBand="0" w:evenHBand="0" w:firstRowFirstColumn="0" w:firstRowLastColumn="0" w:lastRowFirstColumn="0" w:lastRowLastColumn="0"/>
            </w:pPr>
            <w:r w:rsidRPr="006B5AFD">
              <w:t xml:space="preserve">Wet </w:t>
            </w:r>
            <w:r w:rsidRPr="006B5AFD">
              <w:br/>
              <w:t>(%)</w:t>
            </w:r>
          </w:p>
        </w:tc>
      </w:tr>
      <w:tr w:rsidR="003F5321" w:rsidRPr="006B5AFD" w14:paraId="74239AAA"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041939C0" w14:textId="77777777" w:rsidR="003F5321" w:rsidRPr="006B5AFD" w:rsidRDefault="003F5321" w:rsidP="00E83423">
            <w:pPr>
              <w:pStyle w:val="TableText"/>
            </w:pPr>
            <w:r w:rsidRPr="006B5AFD">
              <w:t>NSW Murray</w:t>
            </w:r>
          </w:p>
        </w:tc>
        <w:tc>
          <w:tcPr>
            <w:tcW w:w="1391" w:type="dxa"/>
            <w:noWrap/>
            <w:hideMark/>
          </w:tcPr>
          <w:p w14:paraId="56C921C9"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General</w:t>
            </w:r>
          </w:p>
        </w:tc>
        <w:tc>
          <w:tcPr>
            <w:tcW w:w="1349" w:type="dxa"/>
            <w:noWrap/>
            <w:hideMark/>
          </w:tcPr>
          <w:p w14:paraId="7D220E35"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0</w:t>
            </w:r>
          </w:p>
        </w:tc>
        <w:tc>
          <w:tcPr>
            <w:tcW w:w="1361" w:type="dxa"/>
            <w:noWrap/>
            <w:hideMark/>
          </w:tcPr>
          <w:p w14:paraId="1E880091"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25</w:t>
            </w:r>
          </w:p>
        </w:tc>
        <w:tc>
          <w:tcPr>
            <w:tcW w:w="1350" w:type="dxa"/>
            <w:noWrap/>
            <w:hideMark/>
          </w:tcPr>
          <w:p w14:paraId="628A7126"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50</w:t>
            </w:r>
          </w:p>
        </w:tc>
      </w:tr>
      <w:tr w:rsidR="003F5321" w:rsidRPr="006B5AFD" w14:paraId="3ADD1BE6"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14F16020" w14:textId="77777777" w:rsidR="003F5321" w:rsidRPr="006B5AFD" w:rsidRDefault="003F5321" w:rsidP="00E83423">
            <w:pPr>
              <w:pStyle w:val="TableText"/>
            </w:pPr>
            <w:r w:rsidRPr="006B5AFD">
              <w:t>NSW Murray</w:t>
            </w:r>
          </w:p>
        </w:tc>
        <w:tc>
          <w:tcPr>
            <w:tcW w:w="1391" w:type="dxa"/>
            <w:noWrap/>
            <w:hideMark/>
          </w:tcPr>
          <w:p w14:paraId="0B01628D"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4F2E742B"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97</w:t>
            </w:r>
          </w:p>
        </w:tc>
        <w:tc>
          <w:tcPr>
            <w:tcW w:w="1361" w:type="dxa"/>
            <w:noWrap/>
            <w:hideMark/>
          </w:tcPr>
          <w:p w14:paraId="442B7142"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97</w:t>
            </w:r>
          </w:p>
        </w:tc>
        <w:tc>
          <w:tcPr>
            <w:tcW w:w="1350" w:type="dxa"/>
            <w:noWrap/>
            <w:hideMark/>
          </w:tcPr>
          <w:p w14:paraId="51A4D06F"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97</w:t>
            </w:r>
          </w:p>
        </w:tc>
      </w:tr>
      <w:tr w:rsidR="003F5321" w:rsidRPr="006B5AFD" w14:paraId="4622F8C8"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4F841DC5" w14:textId="77777777" w:rsidR="003F5321" w:rsidRPr="006B5AFD" w:rsidRDefault="003F5321" w:rsidP="00E83423">
            <w:pPr>
              <w:pStyle w:val="TableText"/>
            </w:pPr>
            <w:r w:rsidRPr="006B5AFD">
              <w:t>NSW Lower Darling</w:t>
            </w:r>
          </w:p>
        </w:tc>
        <w:tc>
          <w:tcPr>
            <w:tcW w:w="1391" w:type="dxa"/>
            <w:noWrap/>
            <w:hideMark/>
          </w:tcPr>
          <w:p w14:paraId="1A76F8E4"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General</w:t>
            </w:r>
          </w:p>
        </w:tc>
        <w:tc>
          <w:tcPr>
            <w:tcW w:w="1349" w:type="dxa"/>
            <w:noWrap/>
            <w:hideMark/>
          </w:tcPr>
          <w:p w14:paraId="61371300"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0</w:t>
            </w:r>
          </w:p>
        </w:tc>
        <w:tc>
          <w:tcPr>
            <w:tcW w:w="1361" w:type="dxa"/>
            <w:noWrap/>
            <w:hideMark/>
          </w:tcPr>
          <w:p w14:paraId="18E0CE7B"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25</w:t>
            </w:r>
          </w:p>
        </w:tc>
        <w:tc>
          <w:tcPr>
            <w:tcW w:w="1350" w:type="dxa"/>
            <w:noWrap/>
            <w:hideMark/>
          </w:tcPr>
          <w:p w14:paraId="035DF23E"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50</w:t>
            </w:r>
          </w:p>
        </w:tc>
      </w:tr>
      <w:tr w:rsidR="003F5321" w:rsidRPr="006B5AFD" w14:paraId="1BE3D2D9"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46AEFCB4" w14:textId="77777777" w:rsidR="003F5321" w:rsidRPr="006B5AFD" w:rsidRDefault="003F5321" w:rsidP="00E83423">
            <w:pPr>
              <w:pStyle w:val="TableText"/>
            </w:pPr>
            <w:r w:rsidRPr="006B5AFD">
              <w:t>NSW Lower Darling</w:t>
            </w:r>
          </w:p>
        </w:tc>
        <w:tc>
          <w:tcPr>
            <w:tcW w:w="1391" w:type="dxa"/>
            <w:noWrap/>
            <w:hideMark/>
          </w:tcPr>
          <w:p w14:paraId="42215C62"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14E1F106"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61" w:type="dxa"/>
            <w:noWrap/>
            <w:hideMark/>
          </w:tcPr>
          <w:p w14:paraId="3AE8295A"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7787480B"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r w:rsidR="003F5321" w:rsidRPr="006B5AFD" w14:paraId="46D0B178"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0E1C8442" w14:textId="77777777" w:rsidR="003F5321" w:rsidRPr="006B5AFD" w:rsidRDefault="003F5321" w:rsidP="00E83423">
            <w:pPr>
              <w:pStyle w:val="TableText"/>
            </w:pPr>
            <w:r w:rsidRPr="006B5AFD">
              <w:t>NSW Murrumbidgee</w:t>
            </w:r>
          </w:p>
        </w:tc>
        <w:tc>
          <w:tcPr>
            <w:tcW w:w="1391" w:type="dxa"/>
            <w:noWrap/>
            <w:hideMark/>
          </w:tcPr>
          <w:p w14:paraId="770A9F01"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General</w:t>
            </w:r>
          </w:p>
        </w:tc>
        <w:tc>
          <w:tcPr>
            <w:tcW w:w="1349" w:type="dxa"/>
            <w:noWrap/>
            <w:hideMark/>
          </w:tcPr>
          <w:p w14:paraId="6D82F10E"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0</w:t>
            </w:r>
          </w:p>
        </w:tc>
        <w:tc>
          <w:tcPr>
            <w:tcW w:w="1361" w:type="dxa"/>
            <w:noWrap/>
            <w:hideMark/>
          </w:tcPr>
          <w:p w14:paraId="5366A47D"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25</w:t>
            </w:r>
          </w:p>
        </w:tc>
        <w:tc>
          <w:tcPr>
            <w:tcW w:w="1350" w:type="dxa"/>
            <w:noWrap/>
            <w:hideMark/>
          </w:tcPr>
          <w:p w14:paraId="23C139BC"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50</w:t>
            </w:r>
          </w:p>
        </w:tc>
      </w:tr>
      <w:tr w:rsidR="003F5321" w:rsidRPr="006B5AFD" w14:paraId="45FC01BE"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4F353012" w14:textId="77777777" w:rsidR="003F5321" w:rsidRPr="006B5AFD" w:rsidRDefault="003F5321" w:rsidP="00E83423">
            <w:pPr>
              <w:pStyle w:val="TableText"/>
            </w:pPr>
            <w:r w:rsidRPr="006B5AFD">
              <w:t>NSW Murrumbidgee</w:t>
            </w:r>
          </w:p>
        </w:tc>
        <w:tc>
          <w:tcPr>
            <w:tcW w:w="1391" w:type="dxa"/>
            <w:noWrap/>
            <w:hideMark/>
          </w:tcPr>
          <w:p w14:paraId="4681F675"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02D8D122"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95</w:t>
            </w:r>
          </w:p>
        </w:tc>
        <w:tc>
          <w:tcPr>
            <w:tcW w:w="1361" w:type="dxa"/>
            <w:noWrap/>
            <w:hideMark/>
          </w:tcPr>
          <w:p w14:paraId="52DBA4AC"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95</w:t>
            </w:r>
          </w:p>
        </w:tc>
        <w:tc>
          <w:tcPr>
            <w:tcW w:w="1350" w:type="dxa"/>
            <w:noWrap/>
            <w:hideMark/>
          </w:tcPr>
          <w:p w14:paraId="4F49317A"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95</w:t>
            </w:r>
          </w:p>
        </w:tc>
      </w:tr>
      <w:tr w:rsidR="003F5321" w:rsidRPr="006B5AFD" w14:paraId="5F7229C2"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6FDBA97E" w14:textId="77777777" w:rsidR="003F5321" w:rsidRPr="006B5AFD" w:rsidRDefault="003F5321" w:rsidP="00E83423">
            <w:pPr>
              <w:pStyle w:val="TableText"/>
            </w:pPr>
            <w:r w:rsidRPr="006B5AFD">
              <w:t>VIC Murray</w:t>
            </w:r>
          </w:p>
        </w:tc>
        <w:tc>
          <w:tcPr>
            <w:tcW w:w="1391" w:type="dxa"/>
            <w:noWrap/>
            <w:hideMark/>
          </w:tcPr>
          <w:p w14:paraId="59022DF3"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43A9A1C3"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53</w:t>
            </w:r>
          </w:p>
        </w:tc>
        <w:tc>
          <w:tcPr>
            <w:tcW w:w="1361" w:type="dxa"/>
            <w:noWrap/>
            <w:hideMark/>
          </w:tcPr>
          <w:p w14:paraId="5DAF918D"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336FB4A7"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r w:rsidR="003F5321" w:rsidRPr="006B5AFD" w14:paraId="64B4B9F7"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39B8CF12" w14:textId="77777777" w:rsidR="003F5321" w:rsidRPr="006B5AFD" w:rsidRDefault="003F5321" w:rsidP="00E83423">
            <w:pPr>
              <w:pStyle w:val="TableText"/>
            </w:pPr>
            <w:r w:rsidRPr="006B5AFD">
              <w:t>VIC Goulburn</w:t>
            </w:r>
          </w:p>
        </w:tc>
        <w:tc>
          <w:tcPr>
            <w:tcW w:w="1391" w:type="dxa"/>
            <w:noWrap/>
            <w:hideMark/>
          </w:tcPr>
          <w:p w14:paraId="01ECA5FB"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6EA849C0"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46</w:t>
            </w:r>
          </w:p>
        </w:tc>
        <w:tc>
          <w:tcPr>
            <w:tcW w:w="1361" w:type="dxa"/>
            <w:noWrap/>
            <w:hideMark/>
          </w:tcPr>
          <w:p w14:paraId="4922341A"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4035A2D6"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r w:rsidR="003F5321" w:rsidRPr="006B5AFD" w14:paraId="2D2275BF"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044F2ADA" w14:textId="77777777" w:rsidR="003F5321" w:rsidRPr="006B5AFD" w:rsidRDefault="003F5321" w:rsidP="00E83423">
            <w:pPr>
              <w:pStyle w:val="TableText"/>
            </w:pPr>
            <w:r w:rsidRPr="006B5AFD">
              <w:t>VIC Campaspe</w:t>
            </w:r>
          </w:p>
        </w:tc>
        <w:tc>
          <w:tcPr>
            <w:tcW w:w="1391" w:type="dxa"/>
            <w:noWrap/>
            <w:hideMark/>
          </w:tcPr>
          <w:p w14:paraId="6C2B92CF"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5EABF014"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34</w:t>
            </w:r>
          </w:p>
        </w:tc>
        <w:tc>
          <w:tcPr>
            <w:tcW w:w="1361" w:type="dxa"/>
            <w:noWrap/>
            <w:hideMark/>
          </w:tcPr>
          <w:p w14:paraId="05262A3A"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242EA952"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r w:rsidR="003F5321" w:rsidRPr="006B5AFD" w14:paraId="426D090C"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1E0BFAC1" w14:textId="77777777" w:rsidR="003F5321" w:rsidRPr="006B5AFD" w:rsidRDefault="003F5321" w:rsidP="00E83423">
            <w:pPr>
              <w:pStyle w:val="TableText"/>
            </w:pPr>
            <w:r w:rsidRPr="006B5AFD">
              <w:t>VIC Loddon</w:t>
            </w:r>
          </w:p>
        </w:tc>
        <w:tc>
          <w:tcPr>
            <w:tcW w:w="1391" w:type="dxa"/>
            <w:noWrap/>
            <w:hideMark/>
          </w:tcPr>
          <w:p w14:paraId="4C9F73D6"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1C2BBBA6"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36</w:t>
            </w:r>
          </w:p>
        </w:tc>
        <w:tc>
          <w:tcPr>
            <w:tcW w:w="1361" w:type="dxa"/>
            <w:noWrap/>
            <w:hideMark/>
          </w:tcPr>
          <w:p w14:paraId="54CAA027"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7C6ED1A1"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r w:rsidR="003F5321" w:rsidRPr="006B5AFD" w14:paraId="543451C0"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6C00D910" w14:textId="77777777" w:rsidR="003F5321" w:rsidRPr="006B5AFD" w:rsidRDefault="003F5321" w:rsidP="00E83423">
            <w:pPr>
              <w:pStyle w:val="TableText"/>
            </w:pPr>
            <w:r w:rsidRPr="006B5AFD">
              <w:t>VIC Broken</w:t>
            </w:r>
          </w:p>
        </w:tc>
        <w:tc>
          <w:tcPr>
            <w:tcW w:w="1391" w:type="dxa"/>
            <w:noWrap/>
            <w:hideMark/>
          </w:tcPr>
          <w:p w14:paraId="7794347E"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0BAEC561"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8</w:t>
            </w:r>
          </w:p>
        </w:tc>
        <w:tc>
          <w:tcPr>
            <w:tcW w:w="1361" w:type="dxa"/>
            <w:noWrap/>
            <w:hideMark/>
          </w:tcPr>
          <w:p w14:paraId="4AD6DA9A"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2F8D20E9"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r w:rsidR="003F5321" w:rsidRPr="006B5AFD" w14:paraId="4C0A41F1" w14:textId="77777777" w:rsidTr="00B203FF">
        <w:trPr>
          <w:trHeight w:val="268"/>
        </w:trPr>
        <w:tc>
          <w:tcPr>
            <w:cnfStyle w:val="001000000000" w:firstRow="0" w:lastRow="0" w:firstColumn="1" w:lastColumn="0" w:oddVBand="0" w:evenVBand="0" w:oddHBand="0" w:evenHBand="0" w:firstRowFirstColumn="0" w:firstRowLastColumn="0" w:lastRowFirstColumn="0" w:lastRowLastColumn="0"/>
            <w:tcW w:w="1889" w:type="dxa"/>
            <w:noWrap/>
            <w:hideMark/>
          </w:tcPr>
          <w:p w14:paraId="76311B0C" w14:textId="77777777" w:rsidR="003F5321" w:rsidRPr="006B5AFD" w:rsidRDefault="003F5321" w:rsidP="00E83423">
            <w:pPr>
              <w:pStyle w:val="TableText"/>
            </w:pPr>
            <w:r w:rsidRPr="006B5AFD">
              <w:t>SA Murray</w:t>
            </w:r>
          </w:p>
        </w:tc>
        <w:tc>
          <w:tcPr>
            <w:tcW w:w="1391" w:type="dxa"/>
            <w:noWrap/>
            <w:hideMark/>
          </w:tcPr>
          <w:p w14:paraId="54E79591" w14:textId="77777777" w:rsidR="003F5321" w:rsidRPr="006B5AFD" w:rsidRDefault="003F5321" w:rsidP="0032782F">
            <w:pPr>
              <w:pStyle w:val="TableText"/>
              <w:jc w:val="left"/>
              <w:cnfStyle w:val="000000000000" w:firstRow="0" w:lastRow="0" w:firstColumn="0" w:lastColumn="0" w:oddVBand="0" w:evenVBand="0" w:oddHBand="0" w:evenHBand="0" w:firstRowFirstColumn="0" w:firstRowLastColumn="0" w:lastRowFirstColumn="0" w:lastRowLastColumn="0"/>
            </w:pPr>
            <w:r w:rsidRPr="006B5AFD">
              <w:t>High</w:t>
            </w:r>
          </w:p>
        </w:tc>
        <w:tc>
          <w:tcPr>
            <w:tcW w:w="1349" w:type="dxa"/>
            <w:noWrap/>
            <w:hideMark/>
          </w:tcPr>
          <w:p w14:paraId="5361BF68"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61" w:type="dxa"/>
            <w:noWrap/>
            <w:hideMark/>
          </w:tcPr>
          <w:p w14:paraId="67F8C98D"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c>
          <w:tcPr>
            <w:tcW w:w="1350" w:type="dxa"/>
            <w:noWrap/>
            <w:hideMark/>
          </w:tcPr>
          <w:p w14:paraId="4E591F15" w14:textId="77777777" w:rsidR="003F5321" w:rsidRPr="006B5AFD" w:rsidRDefault="003F5321" w:rsidP="00E83423">
            <w:pPr>
              <w:pStyle w:val="TableText"/>
              <w:cnfStyle w:val="000000000000" w:firstRow="0" w:lastRow="0" w:firstColumn="0" w:lastColumn="0" w:oddVBand="0" w:evenVBand="0" w:oddHBand="0" w:evenHBand="0" w:firstRowFirstColumn="0" w:firstRowLastColumn="0" w:lastRowFirstColumn="0" w:lastRowLastColumn="0"/>
            </w:pPr>
            <w:r w:rsidRPr="006B5AFD">
              <w:t>100</w:t>
            </w:r>
          </w:p>
        </w:tc>
      </w:tr>
    </w:tbl>
    <w:p w14:paraId="4090A82C" w14:textId="77777777" w:rsidR="003F5321" w:rsidRDefault="003F5321" w:rsidP="003F5321">
      <w:pPr>
        <w:pStyle w:val="Normalsmall"/>
      </w:pPr>
      <w:r w:rsidRPr="0033778D">
        <w:rPr>
          <w:b/>
        </w:rPr>
        <w:t xml:space="preserve">Note: </w:t>
      </w:r>
      <w:r w:rsidR="00427DF4">
        <w:rPr>
          <w:i/>
        </w:rPr>
        <w:t>extreme</w:t>
      </w:r>
      <w:r>
        <w:rPr>
          <w:i/>
        </w:rPr>
        <w:t xml:space="preserve"> dry</w:t>
      </w:r>
      <w:r>
        <w:t xml:space="preserve"> scenario not previously considered. </w:t>
      </w:r>
      <w:r>
        <w:rPr>
          <w:i/>
        </w:rPr>
        <w:t xml:space="preserve">Wet </w:t>
      </w:r>
      <w:r>
        <w:t xml:space="preserve">and </w:t>
      </w:r>
      <w:r>
        <w:rPr>
          <w:i/>
        </w:rPr>
        <w:t>average</w:t>
      </w:r>
      <w:r>
        <w:t xml:space="preserve"> forecasts for NSW calculated by ABARES</w:t>
      </w:r>
      <w:r w:rsidR="00A37026">
        <w:br/>
      </w:r>
    </w:p>
    <w:p w14:paraId="08906FDD" w14:textId="77777777" w:rsidR="003F5321" w:rsidRDefault="003F5321" w:rsidP="003F5321">
      <w:pPr>
        <w:pStyle w:val="Style2"/>
      </w:pPr>
      <w:r>
        <w:t>Carryover</w:t>
      </w:r>
    </w:p>
    <w:p w14:paraId="28201687" w14:textId="2E508A36" w:rsidR="00A66DD6" w:rsidRDefault="003F5321" w:rsidP="003F5321">
      <w:pPr>
        <w:rPr>
          <w:lang w:eastAsia="ja-JP"/>
        </w:rPr>
      </w:pPr>
      <w:r>
        <w:rPr>
          <w:lang w:eastAsia="ja-JP"/>
        </w:rPr>
        <w:t>Carryover estimates for 2</w:t>
      </w:r>
      <w:r w:rsidR="00892605">
        <w:rPr>
          <w:lang w:eastAsia="ja-JP"/>
        </w:rPr>
        <w:t>0</w:t>
      </w:r>
      <w:r w:rsidR="005B1E51">
        <w:rPr>
          <w:lang w:eastAsia="ja-JP"/>
        </w:rPr>
        <w:t>19–</w:t>
      </w:r>
      <w:r w:rsidR="00892605">
        <w:rPr>
          <w:lang w:eastAsia="ja-JP"/>
        </w:rPr>
        <w:t xml:space="preserve">20 are shown </w:t>
      </w:r>
      <w:r w:rsidR="00C2112F">
        <w:rPr>
          <w:lang w:eastAsia="ja-JP"/>
        </w:rPr>
        <w:t>in</w:t>
      </w:r>
      <w:r w:rsidR="00E64A7E">
        <w:rPr>
          <w:lang w:eastAsia="ja-JP"/>
        </w:rPr>
        <w:t xml:space="preserve"> </w:t>
      </w:r>
      <w:r w:rsidR="00E64A7E">
        <w:rPr>
          <w:lang w:eastAsia="ja-JP"/>
        </w:rPr>
        <w:fldChar w:fldCharType="begin"/>
      </w:r>
      <w:r w:rsidR="00E64A7E">
        <w:rPr>
          <w:lang w:eastAsia="ja-JP"/>
        </w:rPr>
        <w:instrText xml:space="preserve"> REF _Ref13059529 \h </w:instrText>
      </w:r>
      <w:r w:rsidR="00E64A7E">
        <w:rPr>
          <w:lang w:eastAsia="ja-JP"/>
        </w:rPr>
      </w:r>
      <w:r w:rsidR="00E64A7E">
        <w:rPr>
          <w:lang w:eastAsia="ja-JP"/>
        </w:rPr>
        <w:fldChar w:fldCharType="separate"/>
      </w:r>
      <w:r w:rsidR="00200004">
        <w:t>Table A</w:t>
      </w:r>
      <w:r w:rsidR="00200004">
        <w:rPr>
          <w:noProof/>
        </w:rPr>
        <w:t>5</w:t>
      </w:r>
      <w:r w:rsidR="00E64A7E">
        <w:rPr>
          <w:lang w:eastAsia="ja-JP"/>
        </w:rPr>
        <w:fldChar w:fldCharType="end"/>
      </w:r>
      <w:r>
        <w:rPr>
          <w:lang w:eastAsia="ja-JP"/>
        </w:rPr>
        <w:t xml:space="preserve">. A number of assumptions were made for Victoria and </w:t>
      </w:r>
      <w:r w:rsidR="0001178F">
        <w:t>New South Wales</w:t>
      </w:r>
      <w:r w:rsidR="0001178F">
        <w:rPr>
          <w:lang w:eastAsia="ja-JP"/>
        </w:rPr>
        <w:t xml:space="preserve"> </w:t>
      </w:r>
      <w:r>
        <w:rPr>
          <w:lang w:eastAsia="ja-JP"/>
        </w:rPr>
        <w:t xml:space="preserve">and are listed in the sections below. For </w:t>
      </w:r>
      <w:r w:rsidR="0001178F">
        <w:t>South Australia</w:t>
      </w:r>
      <w:r>
        <w:rPr>
          <w:lang w:eastAsia="ja-JP"/>
        </w:rPr>
        <w:t>, carryover is assumed to be zero.</w:t>
      </w:r>
      <w:r w:rsidR="00BF047F">
        <w:rPr>
          <w:lang w:eastAsia="ja-JP"/>
        </w:rPr>
        <w:t xml:space="preserve"> </w:t>
      </w:r>
      <w:r w:rsidR="00A66DD6">
        <w:rPr>
          <w:lang w:eastAsia="ja-JP"/>
        </w:rPr>
        <w:t>The volume of water estimated to be carried forward in to 20</w:t>
      </w:r>
      <w:r w:rsidR="005B1E51">
        <w:rPr>
          <w:lang w:eastAsia="ja-JP"/>
        </w:rPr>
        <w:t>19–</w:t>
      </w:r>
      <w:r w:rsidR="00A66DD6">
        <w:rPr>
          <w:lang w:eastAsia="ja-JP"/>
        </w:rPr>
        <w:t xml:space="preserve">20 has </w:t>
      </w:r>
      <w:r w:rsidR="007D41E3">
        <w:rPr>
          <w:lang w:eastAsia="ja-JP"/>
        </w:rPr>
        <w:t>increased</w:t>
      </w:r>
      <w:r w:rsidR="00A66DD6">
        <w:rPr>
          <w:lang w:eastAsia="ja-JP"/>
        </w:rPr>
        <w:t xml:space="preserve"> considerably since the March Outlook, with the total across the southern </w:t>
      </w:r>
      <w:r w:rsidR="004B0673">
        <w:rPr>
          <w:lang w:eastAsia="ja-JP"/>
        </w:rPr>
        <w:lastRenderedPageBreak/>
        <w:t>basin increasing by 42</w:t>
      </w:r>
      <w:r w:rsidR="00C107EE">
        <w:rPr>
          <w:lang w:eastAsia="ja-JP"/>
        </w:rPr>
        <w:t xml:space="preserve"> per</w:t>
      </w:r>
      <w:r w:rsidR="00756895">
        <w:rPr>
          <w:lang w:eastAsia="ja-JP"/>
        </w:rPr>
        <w:t xml:space="preserve"> </w:t>
      </w:r>
      <w:r w:rsidR="00C107EE">
        <w:rPr>
          <w:lang w:eastAsia="ja-JP"/>
        </w:rPr>
        <w:t>cent</w:t>
      </w:r>
      <w:r w:rsidR="00A66DD6">
        <w:rPr>
          <w:lang w:eastAsia="ja-JP"/>
        </w:rPr>
        <w:t>.  However, the Murrumbidgee region is expected to have less carryover water available in 2019–20 than previously estimated.</w:t>
      </w:r>
    </w:p>
    <w:p w14:paraId="720CF715" w14:textId="77777777" w:rsidR="00C41130" w:rsidRDefault="00C41130" w:rsidP="00C41130">
      <w:pPr>
        <w:pStyle w:val="Caption"/>
      </w:pPr>
      <w:bookmarkStart w:id="36" w:name="_Ref13059529"/>
      <w:bookmarkStart w:id="37" w:name="_Toc14962341"/>
      <w:r>
        <w:t>Table A</w:t>
      </w:r>
      <w:r>
        <w:rPr>
          <w:noProof/>
        </w:rPr>
        <w:fldChar w:fldCharType="begin"/>
      </w:r>
      <w:r>
        <w:rPr>
          <w:noProof/>
        </w:rPr>
        <w:instrText xml:space="preserve"> SEQ Table \* ARABIC </w:instrText>
      </w:r>
      <w:r>
        <w:rPr>
          <w:noProof/>
        </w:rPr>
        <w:fldChar w:fldCharType="separate"/>
      </w:r>
      <w:r w:rsidR="00200004">
        <w:rPr>
          <w:noProof/>
        </w:rPr>
        <w:t>5</w:t>
      </w:r>
      <w:r>
        <w:rPr>
          <w:noProof/>
        </w:rPr>
        <w:fldChar w:fldCharType="end"/>
      </w:r>
      <w:bookmarkEnd w:id="36"/>
      <w:r>
        <w:t>: Volume carried over into 2019–20, comparison between July and March</w:t>
      </w:r>
      <w:bookmarkEnd w:id="37"/>
    </w:p>
    <w:tbl>
      <w:tblPr>
        <w:tblStyle w:val="ABARESTableleftrightalign"/>
        <w:tblW w:w="6280" w:type="dxa"/>
        <w:tblLook w:val="04A0" w:firstRow="1" w:lastRow="0" w:firstColumn="1" w:lastColumn="0" w:noHBand="0" w:noVBand="1"/>
      </w:tblPr>
      <w:tblGrid>
        <w:gridCol w:w="2236"/>
        <w:gridCol w:w="2012"/>
        <w:gridCol w:w="2032"/>
      </w:tblGrid>
      <w:tr w:rsidR="00427DF4" w:rsidRPr="007A169B" w14:paraId="500AD312" w14:textId="77777777" w:rsidTr="00427DF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766FC9C0" w14:textId="77777777" w:rsidR="00427DF4" w:rsidRPr="00E64A7E" w:rsidRDefault="00427DF4" w:rsidP="00E64A7E">
            <w:pPr>
              <w:pStyle w:val="TableText"/>
              <w:rPr>
                <w:lang w:eastAsia="en-AU"/>
              </w:rPr>
            </w:pPr>
            <w:r w:rsidRPr="00E64A7E">
              <w:rPr>
                <w:bCs/>
                <w:color w:val="000000"/>
                <w:szCs w:val="18"/>
              </w:rPr>
              <w:t>Region</w:t>
            </w:r>
          </w:p>
        </w:tc>
        <w:tc>
          <w:tcPr>
            <w:tcW w:w="2012" w:type="dxa"/>
            <w:vAlign w:val="center"/>
            <w:hideMark/>
          </w:tcPr>
          <w:p w14:paraId="399BC4F5" w14:textId="77777777" w:rsidR="00427DF4" w:rsidRPr="00E64A7E" w:rsidRDefault="00427DF4" w:rsidP="00E64A7E">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E64A7E">
              <w:rPr>
                <w:bCs/>
                <w:color w:val="000000"/>
                <w:szCs w:val="18"/>
              </w:rPr>
              <w:t>Previous carryover forecast for 2019–20</w:t>
            </w:r>
            <w:r w:rsidRPr="00E64A7E">
              <w:rPr>
                <w:bCs/>
                <w:color w:val="000000"/>
                <w:szCs w:val="18"/>
              </w:rPr>
              <w:br/>
              <w:t>(ML)</w:t>
            </w:r>
          </w:p>
        </w:tc>
        <w:tc>
          <w:tcPr>
            <w:tcW w:w="2032" w:type="dxa"/>
            <w:vAlign w:val="center"/>
            <w:hideMark/>
          </w:tcPr>
          <w:p w14:paraId="27DFCEBC" w14:textId="77777777" w:rsidR="00427DF4" w:rsidRPr="00E64A7E" w:rsidRDefault="00427DF4" w:rsidP="00E64A7E">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E64A7E">
              <w:rPr>
                <w:bCs/>
                <w:color w:val="000000"/>
                <w:szCs w:val="18"/>
              </w:rPr>
              <w:t>Current carryover estimate for 2019–20</w:t>
            </w:r>
            <w:r w:rsidRPr="00E64A7E">
              <w:rPr>
                <w:bCs/>
                <w:color w:val="000000"/>
                <w:szCs w:val="18"/>
              </w:rPr>
              <w:br/>
              <w:t>(ML)</w:t>
            </w:r>
          </w:p>
        </w:tc>
      </w:tr>
      <w:tr w:rsidR="001A6563" w:rsidRPr="007A169B" w14:paraId="139E50A1"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4A502C09" w14:textId="77777777" w:rsidR="001A6563" w:rsidRPr="007A169B" w:rsidRDefault="001A6563" w:rsidP="001A6563">
            <w:pPr>
              <w:pStyle w:val="TableText"/>
              <w:rPr>
                <w:lang w:eastAsia="en-AU"/>
              </w:rPr>
            </w:pPr>
            <w:r>
              <w:rPr>
                <w:color w:val="000000"/>
                <w:szCs w:val="18"/>
              </w:rPr>
              <w:t>VIC Loddon-Campaspe</w:t>
            </w:r>
          </w:p>
        </w:tc>
        <w:tc>
          <w:tcPr>
            <w:tcW w:w="2012" w:type="dxa"/>
            <w:noWrap/>
            <w:vAlign w:val="center"/>
            <w:hideMark/>
          </w:tcPr>
          <w:p w14:paraId="00B62E97"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29,248</w:t>
            </w:r>
          </w:p>
        </w:tc>
        <w:tc>
          <w:tcPr>
            <w:tcW w:w="2032" w:type="dxa"/>
            <w:noWrap/>
            <w:vAlign w:val="center"/>
            <w:hideMark/>
          </w:tcPr>
          <w:p w14:paraId="6825F7BF" w14:textId="6B0CDF2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34,346</w:t>
            </w:r>
          </w:p>
        </w:tc>
      </w:tr>
      <w:tr w:rsidR="001A6563" w:rsidRPr="007A169B" w14:paraId="287B0FEC"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3B87E131" w14:textId="77777777" w:rsidR="001A6563" w:rsidRPr="007A169B" w:rsidRDefault="001A6563" w:rsidP="001A6563">
            <w:pPr>
              <w:pStyle w:val="TableText"/>
              <w:rPr>
                <w:lang w:eastAsia="en-AU"/>
              </w:rPr>
            </w:pPr>
            <w:r>
              <w:rPr>
                <w:color w:val="000000"/>
                <w:szCs w:val="18"/>
              </w:rPr>
              <w:t>VIC Goulburn-Broken</w:t>
            </w:r>
          </w:p>
        </w:tc>
        <w:tc>
          <w:tcPr>
            <w:tcW w:w="2012" w:type="dxa"/>
            <w:noWrap/>
            <w:vAlign w:val="center"/>
            <w:hideMark/>
          </w:tcPr>
          <w:p w14:paraId="66D6F12F"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321,106</w:t>
            </w:r>
          </w:p>
        </w:tc>
        <w:tc>
          <w:tcPr>
            <w:tcW w:w="2032" w:type="dxa"/>
            <w:noWrap/>
            <w:vAlign w:val="center"/>
            <w:hideMark/>
          </w:tcPr>
          <w:p w14:paraId="5EEF96DA" w14:textId="2C3A57D4"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466,007</w:t>
            </w:r>
          </w:p>
        </w:tc>
      </w:tr>
      <w:tr w:rsidR="001A6563" w:rsidRPr="007A169B" w14:paraId="5CAB1B83"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141EABB3" w14:textId="77777777" w:rsidR="001A6563" w:rsidRPr="007A169B" w:rsidRDefault="001A6563" w:rsidP="001A6563">
            <w:pPr>
              <w:pStyle w:val="TableText"/>
              <w:rPr>
                <w:lang w:eastAsia="en-AU"/>
              </w:rPr>
            </w:pPr>
            <w:r>
              <w:rPr>
                <w:color w:val="000000"/>
                <w:szCs w:val="18"/>
              </w:rPr>
              <w:t>VIC Murray Above</w:t>
            </w:r>
          </w:p>
        </w:tc>
        <w:tc>
          <w:tcPr>
            <w:tcW w:w="2012" w:type="dxa"/>
            <w:noWrap/>
            <w:vAlign w:val="center"/>
            <w:hideMark/>
          </w:tcPr>
          <w:p w14:paraId="77ADB922"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130,060</w:t>
            </w:r>
          </w:p>
        </w:tc>
        <w:tc>
          <w:tcPr>
            <w:tcW w:w="2032" w:type="dxa"/>
            <w:noWrap/>
            <w:vAlign w:val="center"/>
            <w:hideMark/>
          </w:tcPr>
          <w:p w14:paraId="5EA435A6" w14:textId="4CE94EDD"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213,201</w:t>
            </w:r>
          </w:p>
        </w:tc>
      </w:tr>
      <w:tr w:rsidR="001A6563" w:rsidRPr="007A169B" w14:paraId="3182AA50"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2B4B543F" w14:textId="77777777" w:rsidR="001A6563" w:rsidRPr="007A169B" w:rsidRDefault="001A6563" w:rsidP="001A6563">
            <w:pPr>
              <w:pStyle w:val="TableText"/>
              <w:rPr>
                <w:lang w:eastAsia="en-AU"/>
              </w:rPr>
            </w:pPr>
            <w:r>
              <w:rPr>
                <w:color w:val="000000"/>
                <w:szCs w:val="18"/>
              </w:rPr>
              <w:t>VIC Murray Below</w:t>
            </w:r>
          </w:p>
        </w:tc>
        <w:tc>
          <w:tcPr>
            <w:tcW w:w="2012" w:type="dxa"/>
            <w:noWrap/>
            <w:vAlign w:val="center"/>
            <w:hideMark/>
          </w:tcPr>
          <w:p w14:paraId="03EBBEB2"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277,052</w:t>
            </w:r>
          </w:p>
        </w:tc>
        <w:tc>
          <w:tcPr>
            <w:tcW w:w="2032" w:type="dxa"/>
            <w:noWrap/>
            <w:vAlign w:val="center"/>
            <w:hideMark/>
          </w:tcPr>
          <w:p w14:paraId="05FF62EC" w14:textId="201FA165"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462,320</w:t>
            </w:r>
          </w:p>
        </w:tc>
      </w:tr>
      <w:tr w:rsidR="001A6563" w:rsidRPr="007A169B" w14:paraId="611D973A"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7CCC89D6" w14:textId="77777777" w:rsidR="001A6563" w:rsidRPr="007A169B" w:rsidRDefault="001A6563" w:rsidP="001A6563">
            <w:pPr>
              <w:pStyle w:val="TableText"/>
              <w:rPr>
                <w:lang w:eastAsia="en-AU"/>
              </w:rPr>
            </w:pPr>
            <w:r>
              <w:rPr>
                <w:color w:val="000000"/>
                <w:szCs w:val="18"/>
              </w:rPr>
              <w:t>NSW Murrumbidgee</w:t>
            </w:r>
          </w:p>
        </w:tc>
        <w:tc>
          <w:tcPr>
            <w:tcW w:w="2012" w:type="dxa"/>
            <w:noWrap/>
            <w:vAlign w:val="center"/>
            <w:hideMark/>
          </w:tcPr>
          <w:p w14:paraId="4DD0E195"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217,466</w:t>
            </w:r>
          </w:p>
        </w:tc>
        <w:tc>
          <w:tcPr>
            <w:tcW w:w="2032" w:type="dxa"/>
            <w:noWrap/>
            <w:vAlign w:val="center"/>
            <w:hideMark/>
          </w:tcPr>
          <w:p w14:paraId="616B014B" w14:textId="4BA89C20"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151,360</w:t>
            </w:r>
          </w:p>
        </w:tc>
      </w:tr>
      <w:tr w:rsidR="001A6563" w:rsidRPr="007A169B" w14:paraId="057F7EB9"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473F6503" w14:textId="77777777" w:rsidR="001A6563" w:rsidRPr="007A169B" w:rsidRDefault="001A6563" w:rsidP="001A6563">
            <w:pPr>
              <w:pStyle w:val="TableText"/>
              <w:rPr>
                <w:lang w:eastAsia="en-AU"/>
              </w:rPr>
            </w:pPr>
            <w:r>
              <w:rPr>
                <w:color w:val="000000"/>
                <w:szCs w:val="18"/>
              </w:rPr>
              <w:t>NSW Murray Above</w:t>
            </w:r>
          </w:p>
        </w:tc>
        <w:tc>
          <w:tcPr>
            <w:tcW w:w="2012" w:type="dxa"/>
            <w:noWrap/>
            <w:vAlign w:val="center"/>
            <w:hideMark/>
          </w:tcPr>
          <w:p w14:paraId="6612EEDE"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132,039</w:t>
            </w:r>
          </w:p>
        </w:tc>
        <w:tc>
          <w:tcPr>
            <w:tcW w:w="2032" w:type="dxa"/>
            <w:noWrap/>
            <w:vAlign w:val="center"/>
            <w:hideMark/>
          </w:tcPr>
          <w:p w14:paraId="7F629F20" w14:textId="53832BB3"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234,062</w:t>
            </w:r>
          </w:p>
        </w:tc>
      </w:tr>
      <w:tr w:rsidR="001A6563" w:rsidRPr="007A169B" w14:paraId="035A5572" w14:textId="77777777" w:rsidTr="00427DF4">
        <w:trPr>
          <w:trHeight w:val="300"/>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072D287F" w14:textId="77777777" w:rsidR="001A6563" w:rsidRPr="007A169B" w:rsidRDefault="001A6563" w:rsidP="001A6563">
            <w:pPr>
              <w:pStyle w:val="TableText"/>
              <w:rPr>
                <w:lang w:eastAsia="en-AU"/>
              </w:rPr>
            </w:pPr>
            <w:r>
              <w:rPr>
                <w:color w:val="000000"/>
                <w:szCs w:val="18"/>
              </w:rPr>
              <w:t>NSW Murray Below</w:t>
            </w:r>
          </w:p>
        </w:tc>
        <w:tc>
          <w:tcPr>
            <w:tcW w:w="2012" w:type="dxa"/>
            <w:noWrap/>
            <w:vAlign w:val="center"/>
            <w:hideMark/>
          </w:tcPr>
          <w:p w14:paraId="6A7746D5"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39,912</w:t>
            </w:r>
          </w:p>
        </w:tc>
        <w:tc>
          <w:tcPr>
            <w:tcW w:w="2032" w:type="dxa"/>
            <w:noWrap/>
            <w:vAlign w:val="center"/>
            <w:hideMark/>
          </w:tcPr>
          <w:p w14:paraId="7CE54A25" w14:textId="5871259D"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66,915</w:t>
            </w:r>
          </w:p>
        </w:tc>
      </w:tr>
      <w:tr w:rsidR="001A6563" w:rsidRPr="007A169B" w14:paraId="61757938" w14:textId="77777777" w:rsidTr="00427DF4">
        <w:trPr>
          <w:trHeight w:val="315"/>
        </w:trPr>
        <w:tc>
          <w:tcPr>
            <w:cnfStyle w:val="001000000000" w:firstRow="0" w:lastRow="0" w:firstColumn="1" w:lastColumn="0" w:oddVBand="0" w:evenVBand="0" w:oddHBand="0" w:evenHBand="0" w:firstRowFirstColumn="0" w:firstRowLastColumn="0" w:lastRowFirstColumn="0" w:lastRowLastColumn="0"/>
            <w:tcW w:w="2236" w:type="dxa"/>
            <w:noWrap/>
            <w:vAlign w:val="center"/>
            <w:hideMark/>
          </w:tcPr>
          <w:p w14:paraId="3B8CAE63" w14:textId="77777777" w:rsidR="001A6563" w:rsidRPr="007A169B" w:rsidRDefault="001A6563" w:rsidP="001A6563">
            <w:pPr>
              <w:pStyle w:val="TableText"/>
              <w:rPr>
                <w:lang w:eastAsia="en-AU"/>
              </w:rPr>
            </w:pPr>
            <w:r>
              <w:rPr>
                <w:color w:val="000000"/>
                <w:szCs w:val="18"/>
              </w:rPr>
              <w:t>Total</w:t>
            </w:r>
          </w:p>
        </w:tc>
        <w:tc>
          <w:tcPr>
            <w:tcW w:w="2012" w:type="dxa"/>
            <w:noWrap/>
            <w:vAlign w:val="center"/>
            <w:hideMark/>
          </w:tcPr>
          <w:p w14:paraId="1F0AD9BE" w14:textId="77777777"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1,146,883</w:t>
            </w:r>
          </w:p>
        </w:tc>
        <w:tc>
          <w:tcPr>
            <w:tcW w:w="2032" w:type="dxa"/>
            <w:noWrap/>
            <w:vAlign w:val="center"/>
            <w:hideMark/>
          </w:tcPr>
          <w:p w14:paraId="7E501653" w14:textId="74CEAD62" w:rsidR="001A6563" w:rsidRPr="007A169B" w:rsidRDefault="001A6563" w:rsidP="001A6563">
            <w:pPr>
              <w:pStyle w:val="TableText"/>
              <w:cnfStyle w:val="000000000000" w:firstRow="0" w:lastRow="0" w:firstColumn="0" w:lastColumn="0" w:oddVBand="0" w:evenVBand="0" w:oddHBand="0" w:evenHBand="0" w:firstRowFirstColumn="0" w:firstRowLastColumn="0" w:lastRowFirstColumn="0" w:lastRowLastColumn="0"/>
              <w:rPr>
                <w:lang w:eastAsia="en-AU"/>
              </w:rPr>
            </w:pPr>
            <w:r>
              <w:rPr>
                <w:color w:val="000000"/>
                <w:szCs w:val="18"/>
              </w:rPr>
              <w:t>1,628,212</w:t>
            </w:r>
          </w:p>
        </w:tc>
      </w:tr>
    </w:tbl>
    <w:p w14:paraId="72B837FA" w14:textId="0B5E0E34" w:rsidR="00A52C3A" w:rsidRDefault="00C41130" w:rsidP="00C41130">
      <w:pPr>
        <w:pStyle w:val="Normalsmall"/>
        <w:rPr>
          <w:lang w:eastAsia="ja-JP"/>
        </w:rPr>
      </w:pPr>
      <w:r w:rsidRPr="003342F7">
        <w:rPr>
          <w:b/>
        </w:rPr>
        <w:t>Source:</w:t>
      </w:r>
      <w:r w:rsidRPr="00EC6E89">
        <w:rPr>
          <w:lang w:eastAsia="ja-JP"/>
        </w:rPr>
        <w:t xml:space="preserve"> </w:t>
      </w:r>
      <w:r w:rsidR="00775EA6">
        <w:rPr>
          <w:lang w:eastAsia="ja-JP"/>
        </w:rPr>
        <w:t xml:space="preserve">ABARES estimate using data from </w:t>
      </w:r>
      <w:r w:rsidRPr="00DF4714">
        <w:rPr>
          <w:lang w:eastAsia="ja-JP"/>
        </w:rPr>
        <w:t xml:space="preserve">SA </w:t>
      </w:r>
      <w:r>
        <w:rPr>
          <w:lang w:eastAsia="ja-JP"/>
        </w:rPr>
        <w:t>DEW</w:t>
      </w:r>
      <w:r w:rsidRPr="00DF4714">
        <w:rPr>
          <w:lang w:eastAsia="ja-JP"/>
        </w:rPr>
        <w:t>, NSW DPI, NVRM</w:t>
      </w:r>
      <w:r w:rsidR="00210667">
        <w:rPr>
          <w:lang w:eastAsia="ja-JP"/>
        </w:rPr>
        <w:t xml:space="preserve"> </w:t>
      </w:r>
      <w:r w:rsidR="0063531C">
        <w:rPr>
          <w:lang w:eastAsia="ja-JP"/>
        </w:rPr>
        <w:br/>
      </w:r>
      <w:r w:rsidR="00A52C3A" w:rsidRPr="00A52C3A">
        <w:rPr>
          <w:b/>
          <w:lang w:eastAsia="ja-JP"/>
        </w:rPr>
        <w:t xml:space="preserve">Note: </w:t>
      </w:r>
      <w:r w:rsidR="00A52C3A">
        <w:rPr>
          <w:lang w:eastAsia="ja-JP"/>
        </w:rPr>
        <w:t xml:space="preserve">Under the </w:t>
      </w:r>
      <w:r w:rsidR="00A52C3A">
        <w:rPr>
          <w:i/>
          <w:lang w:eastAsia="ja-JP"/>
        </w:rPr>
        <w:t xml:space="preserve">average </w:t>
      </w:r>
      <w:r w:rsidR="00A52C3A">
        <w:rPr>
          <w:lang w:eastAsia="ja-JP"/>
        </w:rPr>
        <w:t xml:space="preserve">and </w:t>
      </w:r>
      <w:r w:rsidR="00A52C3A">
        <w:rPr>
          <w:i/>
          <w:lang w:eastAsia="ja-JP"/>
        </w:rPr>
        <w:t>wet</w:t>
      </w:r>
      <w:r w:rsidR="00A52C3A">
        <w:rPr>
          <w:lang w:eastAsia="ja-JP"/>
        </w:rPr>
        <w:t xml:space="preserve"> scenarios, the 100 per cent rule in the Broken and Loddon regions is likely to be binding.</w:t>
      </w:r>
    </w:p>
    <w:p w14:paraId="20485B79" w14:textId="77777777" w:rsidR="00843480" w:rsidRPr="00B13DF0" w:rsidRDefault="00843480" w:rsidP="00533784">
      <w:pPr>
        <w:pStyle w:val="Heading5"/>
        <w:rPr>
          <w:lang w:eastAsia="ja-JP"/>
        </w:rPr>
      </w:pPr>
      <w:r>
        <w:t>Victoria</w:t>
      </w:r>
    </w:p>
    <w:p w14:paraId="12E9E8EE" w14:textId="0ADEB32A" w:rsidR="00843480" w:rsidRPr="00725BB7" w:rsidRDefault="00843480" w:rsidP="00725BB7">
      <w:pPr>
        <w:rPr>
          <w:b/>
        </w:rPr>
      </w:pPr>
      <w:r w:rsidRPr="00B13DF0">
        <w:t>In Victoria, carryover was calculated from unused water volumes as at 14 June 2019 by catchment. A 5 per cent transmission loss was applied for water carried forward in to 20</w:t>
      </w:r>
      <w:r w:rsidR="005B1E51">
        <w:t>19–</w:t>
      </w:r>
      <w:r w:rsidRPr="00B13DF0">
        <w:t>20. Where applicable, an upper bound was applied to the volume of carryover water.</w:t>
      </w:r>
      <w:r w:rsidR="001A6563">
        <w:t xml:space="preserve"> For 2019-20, carryover is assumed to be zero for all Victorian low reliability entitlements.</w:t>
      </w:r>
    </w:p>
    <w:p w14:paraId="3299C03D" w14:textId="620C915C" w:rsidR="00843480" w:rsidRDefault="00843480" w:rsidP="00843480">
      <w:pPr>
        <w:pStyle w:val="ListBullet2"/>
        <w:spacing w:before="0"/>
        <w:ind w:left="794" w:hanging="369"/>
        <w:rPr>
          <w:lang w:eastAsia="ja-JP"/>
        </w:rPr>
      </w:pPr>
      <w:r>
        <w:rPr>
          <w:lang w:eastAsia="ja-JP"/>
        </w:rPr>
        <w:t>In the Vic</w:t>
      </w:r>
      <w:r w:rsidR="007D41E3">
        <w:rPr>
          <w:lang w:eastAsia="ja-JP"/>
        </w:rPr>
        <w:t>torian</w:t>
      </w:r>
      <w:r>
        <w:rPr>
          <w:lang w:eastAsia="ja-JP"/>
        </w:rPr>
        <w:t xml:space="preserve"> Murray, Goulburn and Campaspe, carryover is allowed up to a maximum of 200 per cent of entitlement volume</w:t>
      </w:r>
      <w:r w:rsidR="00FF2229">
        <w:rPr>
          <w:lang w:eastAsia="ja-JP"/>
        </w:rPr>
        <w:t xml:space="preserve"> (both high and low reliability entitlements)</w:t>
      </w:r>
      <w:r>
        <w:rPr>
          <w:lang w:eastAsia="ja-JP"/>
        </w:rPr>
        <w:t xml:space="preserve">. </w:t>
      </w:r>
    </w:p>
    <w:p w14:paraId="4F70AC77" w14:textId="77777777" w:rsidR="00843480" w:rsidRDefault="00843480" w:rsidP="00843480">
      <w:pPr>
        <w:pStyle w:val="ListBullet2"/>
        <w:spacing w:before="0"/>
        <w:ind w:left="794" w:hanging="369"/>
        <w:rPr>
          <w:lang w:eastAsia="ja-JP"/>
        </w:rPr>
      </w:pPr>
      <w:r>
        <w:rPr>
          <w:lang w:eastAsia="ja-JP"/>
        </w:rPr>
        <w:t xml:space="preserve">In the Broken and Loddon, the sum of carryover and allocation water cannot exceed 100 per cent of entitlement volume. </w:t>
      </w:r>
      <w:r w:rsidR="0072480E">
        <w:rPr>
          <w:lang w:eastAsia="ja-JP"/>
        </w:rPr>
        <w:t>While irrigators in the Loddon can carry over water against high and low reliability entitlements</w:t>
      </w:r>
      <w:r w:rsidR="00FF2229">
        <w:rPr>
          <w:lang w:eastAsia="ja-JP"/>
        </w:rPr>
        <w:t>, irrigators in the Broken can only carry over water against high reliability entitlements</w:t>
      </w:r>
      <w:r w:rsidR="0072480E">
        <w:rPr>
          <w:lang w:eastAsia="ja-JP"/>
        </w:rPr>
        <w:t>.</w:t>
      </w:r>
    </w:p>
    <w:p w14:paraId="6742F075" w14:textId="77777777" w:rsidR="003F5321" w:rsidRPr="00B13DF0" w:rsidRDefault="003F5321" w:rsidP="00533784">
      <w:pPr>
        <w:pStyle w:val="Heading5"/>
        <w:rPr>
          <w:lang w:eastAsia="ja-JP"/>
        </w:rPr>
      </w:pPr>
      <w:r w:rsidRPr="00B13DF0">
        <w:t>New South Wales</w:t>
      </w:r>
    </w:p>
    <w:p w14:paraId="2E7A2BE1" w14:textId="6C7F26AF" w:rsidR="004805D3" w:rsidRDefault="003F5321" w:rsidP="004805D3">
      <w:pPr>
        <w:rPr>
          <w:lang w:eastAsia="ja-JP"/>
        </w:rPr>
      </w:pPr>
      <w:r>
        <w:rPr>
          <w:lang w:eastAsia="ja-JP"/>
        </w:rPr>
        <w:t xml:space="preserve">In </w:t>
      </w:r>
      <w:r w:rsidR="0001178F">
        <w:t>New South Wales</w:t>
      </w:r>
      <w:r>
        <w:rPr>
          <w:lang w:eastAsia="ja-JP"/>
        </w:rPr>
        <w:t xml:space="preserve">, carryover estimates were taken from </w:t>
      </w:r>
      <w:hyperlink r:id="rId24" w:history="1">
        <w:r w:rsidRPr="006571C7">
          <w:rPr>
            <w:rStyle w:val="Hyperlink"/>
            <w:lang w:eastAsia="ja-JP"/>
          </w:rPr>
          <w:t>NSW Water Allocation Statements</w:t>
        </w:r>
      </w:hyperlink>
      <w:r>
        <w:rPr>
          <w:lang w:eastAsia="ja-JP"/>
        </w:rPr>
        <w:t xml:space="preserve"> (13 June 2019). The percentage figure reported was multiplied out by volume of entitlements on issue in each catchment. Carryover was assumed to be zero for High security entitlements and for the Lower Darling. No further transmission loss was applied for </w:t>
      </w:r>
      <w:r w:rsidR="0001178F">
        <w:t>New South Wales</w:t>
      </w:r>
      <w:r w:rsidR="0001178F">
        <w:rPr>
          <w:lang w:eastAsia="ja-JP"/>
        </w:rPr>
        <w:t xml:space="preserve"> </w:t>
      </w:r>
      <w:r>
        <w:rPr>
          <w:lang w:eastAsia="ja-JP"/>
        </w:rPr>
        <w:t xml:space="preserve">as the carryover percentages reported by </w:t>
      </w:r>
      <w:r w:rsidR="0001178F">
        <w:t>New South Wales</w:t>
      </w:r>
      <w:r>
        <w:rPr>
          <w:lang w:eastAsia="ja-JP"/>
        </w:rPr>
        <w:t xml:space="preserve"> takes this into account.</w:t>
      </w:r>
      <w:r w:rsidR="00BF047F">
        <w:rPr>
          <w:lang w:eastAsia="ja-JP"/>
        </w:rPr>
        <w:t xml:space="preserve"> </w:t>
      </w:r>
      <w:r>
        <w:rPr>
          <w:lang w:eastAsia="ja-JP"/>
        </w:rPr>
        <w:t>Above and below splits for carryover were calculated by ABARES for the Vic</w:t>
      </w:r>
      <w:r w:rsidR="007D41E3">
        <w:rPr>
          <w:lang w:eastAsia="ja-JP"/>
        </w:rPr>
        <w:t>torian</w:t>
      </w:r>
      <w:r>
        <w:rPr>
          <w:lang w:eastAsia="ja-JP"/>
        </w:rPr>
        <w:t xml:space="preserve"> Murray and </w:t>
      </w:r>
      <w:r w:rsidR="0001178F">
        <w:t>New South Wales</w:t>
      </w:r>
      <w:r w:rsidR="0001178F">
        <w:rPr>
          <w:lang w:eastAsia="ja-JP"/>
        </w:rPr>
        <w:t xml:space="preserve"> </w:t>
      </w:r>
      <w:r>
        <w:rPr>
          <w:lang w:eastAsia="ja-JP"/>
        </w:rPr>
        <w:t>Murray in order to simulate the Barmah Choke hydrological constraint.</w:t>
      </w:r>
    </w:p>
    <w:p w14:paraId="08CC905B" w14:textId="77777777" w:rsidR="00533784" w:rsidRPr="00B13DF0" w:rsidRDefault="00533784" w:rsidP="00533784">
      <w:pPr>
        <w:pStyle w:val="Heading5"/>
        <w:rPr>
          <w:lang w:eastAsia="ja-JP"/>
        </w:rPr>
      </w:pPr>
      <w:r>
        <w:t>Carryover into 20</w:t>
      </w:r>
      <w:r w:rsidR="005B1E51">
        <w:t>20–</w:t>
      </w:r>
      <w:r>
        <w:t>21</w:t>
      </w:r>
    </w:p>
    <w:p w14:paraId="2ACAB2E6" w14:textId="12D6E890" w:rsidR="00551234" w:rsidRDefault="003F5321" w:rsidP="003F5321">
      <w:pPr>
        <w:rPr>
          <w:lang w:eastAsia="ja-JP"/>
        </w:rPr>
      </w:pPr>
      <w:r>
        <w:rPr>
          <w:lang w:eastAsia="ja-JP"/>
        </w:rPr>
        <w:fldChar w:fldCharType="begin"/>
      </w:r>
      <w:r>
        <w:rPr>
          <w:lang w:eastAsia="ja-JP"/>
        </w:rPr>
        <w:instrText xml:space="preserve"> REF _Ref12603162 \h  \* MERGEFORMAT </w:instrText>
      </w:r>
      <w:r>
        <w:rPr>
          <w:lang w:eastAsia="ja-JP"/>
        </w:rPr>
      </w:r>
      <w:r>
        <w:rPr>
          <w:lang w:eastAsia="ja-JP"/>
        </w:rPr>
        <w:fldChar w:fldCharType="separate"/>
      </w:r>
      <w:r w:rsidR="00200004">
        <w:t xml:space="preserve">Table </w:t>
      </w:r>
      <w:r w:rsidR="00200004">
        <w:rPr>
          <w:noProof/>
        </w:rPr>
        <w:t>A6</w:t>
      </w:r>
      <w:r>
        <w:rPr>
          <w:lang w:eastAsia="ja-JP"/>
        </w:rPr>
        <w:fldChar w:fldCharType="end"/>
      </w:r>
      <w:r>
        <w:rPr>
          <w:lang w:eastAsia="ja-JP"/>
        </w:rPr>
        <w:t xml:space="preserve"> shows the modelled results for the volume of </w:t>
      </w:r>
      <w:r w:rsidR="00551234">
        <w:rPr>
          <w:lang w:eastAsia="ja-JP"/>
        </w:rPr>
        <w:t>water carried over into 2020–21. Overall the results suggest lower levels of carryover in to 20</w:t>
      </w:r>
      <w:r w:rsidR="005B1E51">
        <w:rPr>
          <w:lang w:eastAsia="ja-JP"/>
        </w:rPr>
        <w:t>20–</w:t>
      </w:r>
      <w:r w:rsidR="00551234">
        <w:rPr>
          <w:lang w:eastAsia="ja-JP"/>
        </w:rPr>
        <w:t xml:space="preserve">21 </w:t>
      </w:r>
      <w:r w:rsidR="004C588B">
        <w:rPr>
          <w:lang w:eastAsia="ja-JP"/>
        </w:rPr>
        <w:t xml:space="preserve">compared to 2019-20, </w:t>
      </w:r>
      <w:r w:rsidR="00551234">
        <w:rPr>
          <w:lang w:eastAsia="ja-JP"/>
        </w:rPr>
        <w:t>in the</w:t>
      </w:r>
      <w:r w:rsidR="004C588B">
        <w:rPr>
          <w:lang w:eastAsia="ja-JP"/>
        </w:rPr>
        <w:t xml:space="preserve"> </w:t>
      </w:r>
      <w:r w:rsidR="004C588B">
        <w:rPr>
          <w:i/>
          <w:lang w:eastAsia="ja-JP"/>
        </w:rPr>
        <w:t xml:space="preserve">extreme </w:t>
      </w:r>
      <w:r w:rsidR="00551234" w:rsidRPr="00C929D9">
        <w:rPr>
          <w:i/>
          <w:lang w:eastAsia="ja-JP"/>
        </w:rPr>
        <w:t>dry</w:t>
      </w:r>
      <w:r w:rsidR="00551234">
        <w:rPr>
          <w:lang w:eastAsia="ja-JP"/>
        </w:rPr>
        <w:t xml:space="preserve"> and </w:t>
      </w:r>
      <w:r w:rsidR="00551234" w:rsidRPr="00C929D9">
        <w:rPr>
          <w:i/>
          <w:lang w:eastAsia="ja-JP"/>
        </w:rPr>
        <w:t>dry</w:t>
      </w:r>
      <w:r w:rsidR="00551234">
        <w:rPr>
          <w:lang w:eastAsia="ja-JP"/>
        </w:rPr>
        <w:t xml:space="preserve"> scenarios. </w:t>
      </w:r>
    </w:p>
    <w:p w14:paraId="15185ED1" w14:textId="77777777" w:rsidR="004805D3" w:rsidRDefault="004805D3" w:rsidP="003F5321">
      <w:pPr>
        <w:rPr>
          <w:lang w:eastAsia="ja-JP"/>
        </w:rPr>
      </w:pPr>
    </w:p>
    <w:p w14:paraId="3D3DF21A" w14:textId="77777777" w:rsidR="003F5321" w:rsidRDefault="003F5321" w:rsidP="003F5321">
      <w:pPr>
        <w:pStyle w:val="Caption"/>
        <w:rPr>
          <w:b w:val="0"/>
          <w:lang w:eastAsia="ja-JP"/>
        </w:rPr>
      </w:pPr>
      <w:bookmarkStart w:id="38" w:name="_Ref12603162"/>
      <w:bookmarkStart w:id="39" w:name="_Toc14962342"/>
      <w:r>
        <w:lastRenderedPageBreak/>
        <w:t xml:space="preserve">Table </w:t>
      </w:r>
      <w:r w:rsidR="00533784">
        <w:t>A</w:t>
      </w:r>
      <w:r>
        <w:rPr>
          <w:noProof/>
        </w:rPr>
        <w:fldChar w:fldCharType="begin"/>
      </w:r>
      <w:r>
        <w:rPr>
          <w:noProof/>
        </w:rPr>
        <w:instrText xml:space="preserve"> SEQ Table \* ARABIC </w:instrText>
      </w:r>
      <w:r>
        <w:rPr>
          <w:noProof/>
        </w:rPr>
        <w:fldChar w:fldCharType="separate"/>
      </w:r>
      <w:r w:rsidR="00200004">
        <w:rPr>
          <w:noProof/>
        </w:rPr>
        <w:t>6</w:t>
      </w:r>
      <w:r>
        <w:rPr>
          <w:noProof/>
        </w:rPr>
        <w:fldChar w:fldCharType="end"/>
      </w:r>
      <w:bookmarkEnd w:id="38"/>
      <w:r>
        <w:t xml:space="preserve"> Projected carryover volume into 2020–21</w:t>
      </w:r>
      <w:bookmarkEnd w:id="39"/>
    </w:p>
    <w:tbl>
      <w:tblPr>
        <w:tblStyle w:val="ABARESTableleftrightalign"/>
        <w:tblW w:w="8502" w:type="dxa"/>
        <w:tblLook w:val="04A0" w:firstRow="1" w:lastRow="0" w:firstColumn="1" w:lastColumn="0" w:noHBand="0" w:noVBand="1"/>
      </w:tblPr>
      <w:tblGrid>
        <w:gridCol w:w="3458"/>
        <w:gridCol w:w="1261"/>
        <w:gridCol w:w="1261"/>
        <w:gridCol w:w="1261"/>
        <w:gridCol w:w="1261"/>
      </w:tblGrid>
      <w:tr w:rsidR="003F5321" w:rsidRPr="00E83423" w14:paraId="7C8E921A" w14:textId="77777777" w:rsidTr="001D65C2">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3458" w:type="dxa"/>
            <w:noWrap/>
            <w:hideMark/>
          </w:tcPr>
          <w:p w14:paraId="0C7DB367" w14:textId="77777777" w:rsidR="003F5321" w:rsidRPr="00E83423" w:rsidRDefault="001D65C2" w:rsidP="00E83423">
            <w:pPr>
              <w:pStyle w:val="TableText"/>
            </w:pPr>
            <w:r>
              <w:t>Region</w:t>
            </w:r>
          </w:p>
        </w:tc>
        <w:tc>
          <w:tcPr>
            <w:tcW w:w="1261" w:type="dxa"/>
            <w:hideMark/>
          </w:tcPr>
          <w:p w14:paraId="4D5835BB" w14:textId="77777777" w:rsidR="003F5321" w:rsidRPr="00E83423" w:rsidRDefault="00427DF4" w:rsidP="00E83423">
            <w:pPr>
              <w:pStyle w:val="TableText"/>
              <w:cnfStyle w:val="100000000000" w:firstRow="1" w:lastRow="0" w:firstColumn="0" w:lastColumn="0" w:oddVBand="0" w:evenVBand="0" w:oddHBand="0" w:evenHBand="0" w:firstRowFirstColumn="0" w:firstRowLastColumn="0" w:lastRowFirstColumn="0" w:lastRowLastColumn="0"/>
            </w:pPr>
            <w:r>
              <w:t>Extreme</w:t>
            </w:r>
            <w:r w:rsidR="003F5321" w:rsidRPr="00E83423">
              <w:t xml:space="preserve"> dry</w:t>
            </w:r>
            <w:r w:rsidR="003F5321" w:rsidRPr="00E83423">
              <w:br/>
              <w:t>(ML)</w:t>
            </w:r>
          </w:p>
        </w:tc>
        <w:tc>
          <w:tcPr>
            <w:tcW w:w="1261" w:type="dxa"/>
            <w:hideMark/>
          </w:tcPr>
          <w:p w14:paraId="4C12336E" w14:textId="77777777" w:rsidR="003F5321" w:rsidRPr="00E83423" w:rsidRDefault="003F5321" w:rsidP="00E83423">
            <w:pPr>
              <w:pStyle w:val="TableText"/>
              <w:cnfStyle w:val="100000000000" w:firstRow="1" w:lastRow="0" w:firstColumn="0" w:lastColumn="0" w:oddVBand="0" w:evenVBand="0" w:oddHBand="0" w:evenHBand="0" w:firstRowFirstColumn="0" w:firstRowLastColumn="0" w:lastRowFirstColumn="0" w:lastRowLastColumn="0"/>
            </w:pPr>
            <w:r w:rsidRPr="00E83423">
              <w:t>Dry</w:t>
            </w:r>
            <w:r w:rsidRPr="00E83423">
              <w:br/>
              <w:t>(ML)</w:t>
            </w:r>
          </w:p>
        </w:tc>
        <w:tc>
          <w:tcPr>
            <w:tcW w:w="1261" w:type="dxa"/>
            <w:hideMark/>
          </w:tcPr>
          <w:p w14:paraId="714BDD66" w14:textId="77777777" w:rsidR="003F5321" w:rsidRPr="00E83423" w:rsidRDefault="003F5321" w:rsidP="00E83423">
            <w:pPr>
              <w:pStyle w:val="TableText"/>
              <w:cnfStyle w:val="100000000000" w:firstRow="1" w:lastRow="0" w:firstColumn="0" w:lastColumn="0" w:oddVBand="0" w:evenVBand="0" w:oddHBand="0" w:evenHBand="0" w:firstRowFirstColumn="0" w:firstRowLastColumn="0" w:lastRowFirstColumn="0" w:lastRowLastColumn="0"/>
            </w:pPr>
            <w:r w:rsidRPr="00E83423">
              <w:t>Average</w:t>
            </w:r>
            <w:r w:rsidRPr="00E83423">
              <w:br/>
              <w:t>(ML)</w:t>
            </w:r>
          </w:p>
        </w:tc>
        <w:tc>
          <w:tcPr>
            <w:tcW w:w="1261" w:type="dxa"/>
            <w:hideMark/>
          </w:tcPr>
          <w:p w14:paraId="0679751D" w14:textId="77777777" w:rsidR="003F5321" w:rsidRPr="00E83423" w:rsidRDefault="003F5321" w:rsidP="00E83423">
            <w:pPr>
              <w:pStyle w:val="TableText"/>
              <w:cnfStyle w:val="100000000000" w:firstRow="1" w:lastRow="0" w:firstColumn="0" w:lastColumn="0" w:oddVBand="0" w:evenVBand="0" w:oddHBand="0" w:evenHBand="0" w:firstRowFirstColumn="0" w:firstRowLastColumn="0" w:lastRowFirstColumn="0" w:lastRowLastColumn="0"/>
            </w:pPr>
            <w:r w:rsidRPr="00E83423">
              <w:t>Wet</w:t>
            </w:r>
            <w:r w:rsidRPr="00E83423">
              <w:br/>
              <w:t>(ML)</w:t>
            </w:r>
          </w:p>
        </w:tc>
      </w:tr>
      <w:tr w:rsidR="001A6563" w:rsidRPr="00E83423" w14:paraId="6A31CA8F" w14:textId="77777777" w:rsidTr="003A0F57">
        <w:trPr>
          <w:trHeight w:val="295"/>
        </w:trPr>
        <w:tc>
          <w:tcPr>
            <w:cnfStyle w:val="001000000000" w:firstRow="0" w:lastRow="0" w:firstColumn="1" w:lastColumn="0" w:oddVBand="0" w:evenVBand="0" w:oddHBand="0" w:evenHBand="0" w:firstRowFirstColumn="0" w:firstRowLastColumn="0" w:lastRowFirstColumn="0" w:lastRowLastColumn="0"/>
            <w:tcW w:w="3458" w:type="dxa"/>
            <w:noWrap/>
            <w:vAlign w:val="center"/>
            <w:hideMark/>
          </w:tcPr>
          <w:p w14:paraId="0487F4F9" w14:textId="77777777" w:rsidR="001A6563" w:rsidRPr="00E83423" w:rsidRDefault="001A6563" w:rsidP="001A6563">
            <w:pPr>
              <w:pStyle w:val="TableText"/>
            </w:pPr>
            <w:r>
              <w:rPr>
                <w:color w:val="000000"/>
                <w:szCs w:val="18"/>
              </w:rPr>
              <w:t>NSW Murrumbidgee</w:t>
            </w:r>
          </w:p>
        </w:tc>
        <w:tc>
          <w:tcPr>
            <w:tcW w:w="1261" w:type="dxa"/>
            <w:noWrap/>
            <w:vAlign w:val="center"/>
            <w:hideMark/>
          </w:tcPr>
          <w:p w14:paraId="6ECD9BF1" w14:textId="47FD7CD6"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115,678</w:t>
            </w:r>
          </w:p>
        </w:tc>
        <w:tc>
          <w:tcPr>
            <w:tcW w:w="1261" w:type="dxa"/>
            <w:noWrap/>
            <w:vAlign w:val="center"/>
            <w:hideMark/>
          </w:tcPr>
          <w:p w14:paraId="60E46230" w14:textId="51C0F9A1"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122,773</w:t>
            </w:r>
          </w:p>
        </w:tc>
        <w:tc>
          <w:tcPr>
            <w:tcW w:w="1261" w:type="dxa"/>
            <w:noWrap/>
            <w:vAlign w:val="center"/>
            <w:hideMark/>
          </w:tcPr>
          <w:p w14:paraId="3497AC2C" w14:textId="67835294"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243,138</w:t>
            </w:r>
          </w:p>
        </w:tc>
        <w:tc>
          <w:tcPr>
            <w:tcW w:w="1261" w:type="dxa"/>
            <w:noWrap/>
            <w:vAlign w:val="center"/>
            <w:hideMark/>
          </w:tcPr>
          <w:p w14:paraId="39B4DA91" w14:textId="130867EA"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368,792</w:t>
            </w:r>
          </w:p>
        </w:tc>
      </w:tr>
      <w:tr w:rsidR="001A6563" w:rsidRPr="00E83423" w14:paraId="44EF337A" w14:textId="77777777" w:rsidTr="003A0F57">
        <w:trPr>
          <w:trHeight w:val="295"/>
        </w:trPr>
        <w:tc>
          <w:tcPr>
            <w:cnfStyle w:val="001000000000" w:firstRow="0" w:lastRow="0" w:firstColumn="1" w:lastColumn="0" w:oddVBand="0" w:evenVBand="0" w:oddHBand="0" w:evenHBand="0" w:firstRowFirstColumn="0" w:firstRowLastColumn="0" w:lastRowFirstColumn="0" w:lastRowLastColumn="0"/>
            <w:tcW w:w="3458" w:type="dxa"/>
            <w:noWrap/>
            <w:vAlign w:val="center"/>
            <w:hideMark/>
          </w:tcPr>
          <w:p w14:paraId="1334C0A5" w14:textId="77777777" w:rsidR="001A6563" w:rsidRPr="00E83423" w:rsidRDefault="001A6563" w:rsidP="001A6563">
            <w:pPr>
              <w:pStyle w:val="TableText"/>
            </w:pPr>
            <w:r>
              <w:rPr>
                <w:color w:val="000000"/>
                <w:szCs w:val="18"/>
              </w:rPr>
              <w:t>NSW Murray</w:t>
            </w:r>
          </w:p>
        </w:tc>
        <w:tc>
          <w:tcPr>
            <w:tcW w:w="1261" w:type="dxa"/>
            <w:noWrap/>
            <w:vAlign w:val="center"/>
            <w:hideMark/>
          </w:tcPr>
          <w:p w14:paraId="69CF349C" w14:textId="101BC665"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159,745</w:t>
            </w:r>
          </w:p>
        </w:tc>
        <w:tc>
          <w:tcPr>
            <w:tcW w:w="1261" w:type="dxa"/>
            <w:noWrap/>
            <w:vAlign w:val="center"/>
            <w:hideMark/>
          </w:tcPr>
          <w:p w14:paraId="4D222721" w14:textId="79E75526"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172,430</w:t>
            </w:r>
          </w:p>
        </w:tc>
        <w:tc>
          <w:tcPr>
            <w:tcW w:w="1261" w:type="dxa"/>
            <w:noWrap/>
            <w:vAlign w:val="center"/>
            <w:hideMark/>
          </w:tcPr>
          <w:p w14:paraId="3243EA64" w14:textId="20845E0C"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404,965</w:t>
            </w:r>
          </w:p>
        </w:tc>
        <w:tc>
          <w:tcPr>
            <w:tcW w:w="1261" w:type="dxa"/>
            <w:noWrap/>
            <w:vAlign w:val="center"/>
            <w:hideMark/>
          </w:tcPr>
          <w:p w14:paraId="7283CA27" w14:textId="7CF48E00"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642,112</w:t>
            </w:r>
          </w:p>
        </w:tc>
      </w:tr>
      <w:tr w:rsidR="001A6563" w:rsidRPr="00E83423" w14:paraId="5AE92038" w14:textId="77777777" w:rsidTr="003A0F57">
        <w:trPr>
          <w:trHeight w:val="295"/>
        </w:trPr>
        <w:tc>
          <w:tcPr>
            <w:cnfStyle w:val="001000000000" w:firstRow="0" w:lastRow="0" w:firstColumn="1" w:lastColumn="0" w:oddVBand="0" w:evenVBand="0" w:oddHBand="0" w:evenHBand="0" w:firstRowFirstColumn="0" w:firstRowLastColumn="0" w:lastRowFirstColumn="0" w:lastRowLastColumn="0"/>
            <w:tcW w:w="3458" w:type="dxa"/>
            <w:noWrap/>
            <w:vAlign w:val="center"/>
            <w:hideMark/>
          </w:tcPr>
          <w:p w14:paraId="2796AC29" w14:textId="77777777" w:rsidR="001A6563" w:rsidRPr="00E83423" w:rsidRDefault="001A6563" w:rsidP="001A6563">
            <w:pPr>
              <w:pStyle w:val="TableText"/>
            </w:pPr>
            <w:r>
              <w:rPr>
                <w:color w:val="000000"/>
                <w:szCs w:val="18"/>
              </w:rPr>
              <w:t>VIC Murray</w:t>
            </w:r>
          </w:p>
        </w:tc>
        <w:tc>
          <w:tcPr>
            <w:tcW w:w="1261" w:type="dxa"/>
            <w:noWrap/>
            <w:vAlign w:val="center"/>
            <w:hideMark/>
          </w:tcPr>
          <w:p w14:paraId="5A575664" w14:textId="7822B526"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265,224</w:t>
            </w:r>
          </w:p>
        </w:tc>
        <w:tc>
          <w:tcPr>
            <w:tcW w:w="1261" w:type="dxa"/>
            <w:noWrap/>
            <w:vAlign w:val="center"/>
            <w:hideMark/>
          </w:tcPr>
          <w:p w14:paraId="639A2EB1" w14:textId="339B1744"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381,888</w:t>
            </w:r>
          </w:p>
        </w:tc>
        <w:tc>
          <w:tcPr>
            <w:tcW w:w="1261" w:type="dxa"/>
            <w:noWrap/>
            <w:vAlign w:val="center"/>
            <w:hideMark/>
          </w:tcPr>
          <w:p w14:paraId="2CFE1983" w14:textId="0C20F2A5"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670,935</w:t>
            </w:r>
          </w:p>
        </w:tc>
        <w:tc>
          <w:tcPr>
            <w:tcW w:w="1261" w:type="dxa"/>
            <w:noWrap/>
            <w:vAlign w:val="center"/>
            <w:hideMark/>
          </w:tcPr>
          <w:p w14:paraId="2B258EEF" w14:textId="6DBBC669"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852,811</w:t>
            </w:r>
          </w:p>
        </w:tc>
      </w:tr>
      <w:tr w:rsidR="001A6563" w:rsidRPr="00E83423" w14:paraId="61A3DFDB" w14:textId="77777777" w:rsidTr="003A0F57">
        <w:trPr>
          <w:trHeight w:val="295"/>
        </w:trPr>
        <w:tc>
          <w:tcPr>
            <w:cnfStyle w:val="001000000000" w:firstRow="0" w:lastRow="0" w:firstColumn="1" w:lastColumn="0" w:oddVBand="0" w:evenVBand="0" w:oddHBand="0" w:evenHBand="0" w:firstRowFirstColumn="0" w:firstRowLastColumn="0" w:lastRowFirstColumn="0" w:lastRowLastColumn="0"/>
            <w:tcW w:w="3458" w:type="dxa"/>
            <w:noWrap/>
            <w:vAlign w:val="center"/>
            <w:hideMark/>
          </w:tcPr>
          <w:p w14:paraId="3C85E36E" w14:textId="77777777" w:rsidR="001A6563" w:rsidRPr="00E83423" w:rsidRDefault="001A6563" w:rsidP="001A6563">
            <w:pPr>
              <w:pStyle w:val="TableText"/>
            </w:pPr>
            <w:r>
              <w:rPr>
                <w:color w:val="000000"/>
                <w:szCs w:val="18"/>
              </w:rPr>
              <w:t>VIC Goulburn-Broken</w:t>
            </w:r>
          </w:p>
        </w:tc>
        <w:tc>
          <w:tcPr>
            <w:tcW w:w="1261" w:type="dxa"/>
            <w:noWrap/>
            <w:vAlign w:val="center"/>
            <w:hideMark/>
          </w:tcPr>
          <w:p w14:paraId="7772B9B1" w14:textId="38B93090"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155,284</w:t>
            </w:r>
          </w:p>
        </w:tc>
        <w:tc>
          <w:tcPr>
            <w:tcW w:w="1261" w:type="dxa"/>
            <w:noWrap/>
            <w:vAlign w:val="center"/>
            <w:hideMark/>
          </w:tcPr>
          <w:p w14:paraId="074AA720" w14:textId="2637DEE6"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221,694</w:t>
            </w:r>
          </w:p>
        </w:tc>
        <w:tc>
          <w:tcPr>
            <w:tcW w:w="1261" w:type="dxa"/>
            <w:noWrap/>
            <w:vAlign w:val="center"/>
            <w:hideMark/>
          </w:tcPr>
          <w:p w14:paraId="55FA38C9" w14:textId="639A14EC"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491,551</w:t>
            </w:r>
          </w:p>
        </w:tc>
        <w:tc>
          <w:tcPr>
            <w:tcW w:w="1261" w:type="dxa"/>
            <w:noWrap/>
            <w:vAlign w:val="center"/>
            <w:hideMark/>
          </w:tcPr>
          <w:p w14:paraId="7B615FC4" w14:textId="080C7FDC" w:rsidR="001A6563" w:rsidRPr="00E83423"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664,879</w:t>
            </w:r>
          </w:p>
        </w:tc>
      </w:tr>
      <w:tr w:rsidR="001A6563" w:rsidRPr="00E83423" w14:paraId="4C75620E" w14:textId="77777777" w:rsidTr="003A0F57">
        <w:trPr>
          <w:trHeight w:val="295"/>
        </w:trPr>
        <w:tc>
          <w:tcPr>
            <w:cnfStyle w:val="001000000000" w:firstRow="0" w:lastRow="0" w:firstColumn="1" w:lastColumn="0" w:oddVBand="0" w:evenVBand="0" w:oddHBand="0" w:evenHBand="0" w:firstRowFirstColumn="0" w:firstRowLastColumn="0" w:lastRowFirstColumn="0" w:lastRowLastColumn="0"/>
            <w:tcW w:w="3458" w:type="dxa"/>
            <w:noWrap/>
            <w:vAlign w:val="center"/>
          </w:tcPr>
          <w:p w14:paraId="66CFC5EC" w14:textId="77777777" w:rsidR="001A6563" w:rsidRPr="00E83423" w:rsidRDefault="001A6563" w:rsidP="001A6563">
            <w:pPr>
              <w:pStyle w:val="TableText"/>
            </w:pPr>
            <w:r>
              <w:rPr>
                <w:color w:val="000000"/>
                <w:szCs w:val="18"/>
              </w:rPr>
              <w:t>VIC Loddon-Campaspe</w:t>
            </w:r>
          </w:p>
        </w:tc>
        <w:tc>
          <w:tcPr>
            <w:tcW w:w="1261" w:type="dxa"/>
            <w:noWrap/>
            <w:vAlign w:val="center"/>
          </w:tcPr>
          <w:p w14:paraId="4BE8E81E" w14:textId="0C3DEC89"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17,733</w:t>
            </w:r>
          </w:p>
        </w:tc>
        <w:tc>
          <w:tcPr>
            <w:tcW w:w="1261" w:type="dxa"/>
            <w:noWrap/>
            <w:vAlign w:val="center"/>
          </w:tcPr>
          <w:p w14:paraId="411DAAA1" w14:textId="4D4097FF"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20,882</w:t>
            </w:r>
          </w:p>
        </w:tc>
        <w:tc>
          <w:tcPr>
            <w:tcW w:w="1261" w:type="dxa"/>
            <w:noWrap/>
            <w:vAlign w:val="center"/>
          </w:tcPr>
          <w:p w14:paraId="2A27B343" w14:textId="135CC08D"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28,409</w:t>
            </w:r>
          </w:p>
        </w:tc>
        <w:tc>
          <w:tcPr>
            <w:tcW w:w="1261" w:type="dxa"/>
            <w:noWrap/>
            <w:vAlign w:val="center"/>
          </w:tcPr>
          <w:p w14:paraId="5014E3D6" w14:textId="6D6D5B4E"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32,536</w:t>
            </w:r>
          </w:p>
        </w:tc>
      </w:tr>
      <w:tr w:rsidR="001A6563" w:rsidRPr="00E83423" w14:paraId="0780E19C" w14:textId="77777777" w:rsidTr="003A0F57">
        <w:trPr>
          <w:trHeight w:val="295"/>
        </w:trPr>
        <w:tc>
          <w:tcPr>
            <w:cnfStyle w:val="001000000000" w:firstRow="0" w:lastRow="0" w:firstColumn="1" w:lastColumn="0" w:oddVBand="0" w:evenVBand="0" w:oddHBand="0" w:evenHBand="0" w:firstRowFirstColumn="0" w:firstRowLastColumn="0" w:lastRowFirstColumn="0" w:lastRowLastColumn="0"/>
            <w:tcW w:w="3458" w:type="dxa"/>
            <w:noWrap/>
            <w:vAlign w:val="center"/>
            <w:hideMark/>
          </w:tcPr>
          <w:p w14:paraId="4E3FA0B5" w14:textId="77777777" w:rsidR="001A6563" w:rsidRPr="00E83423" w:rsidRDefault="001A6563" w:rsidP="001A6563">
            <w:pPr>
              <w:pStyle w:val="TableText"/>
            </w:pPr>
            <w:r>
              <w:rPr>
                <w:color w:val="000000"/>
                <w:szCs w:val="18"/>
              </w:rPr>
              <w:t>Total</w:t>
            </w:r>
          </w:p>
        </w:tc>
        <w:tc>
          <w:tcPr>
            <w:tcW w:w="1261" w:type="dxa"/>
            <w:noWrap/>
            <w:vAlign w:val="center"/>
            <w:hideMark/>
          </w:tcPr>
          <w:p w14:paraId="7A050FA0" w14:textId="2525F245"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713,664</w:t>
            </w:r>
          </w:p>
        </w:tc>
        <w:tc>
          <w:tcPr>
            <w:tcW w:w="1261" w:type="dxa"/>
            <w:noWrap/>
            <w:vAlign w:val="center"/>
            <w:hideMark/>
          </w:tcPr>
          <w:p w14:paraId="2F355F18" w14:textId="1CCFCEE2"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919,668</w:t>
            </w:r>
          </w:p>
        </w:tc>
        <w:tc>
          <w:tcPr>
            <w:tcW w:w="1261" w:type="dxa"/>
            <w:noWrap/>
            <w:vAlign w:val="center"/>
            <w:hideMark/>
          </w:tcPr>
          <w:p w14:paraId="2D8DD9D6" w14:textId="22ACB51A"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1,838,997</w:t>
            </w:r>
          </w:p>
        </w:tc>
        <w:tc>
          <w:tcPr>
            <w:tcW w:w="1261" w:type="dxa"/>
            <w:noWrap/>
            <w:vAlign w:val="center"/>
            <w:hideMark/>
          </w:tcPr>
          <w:p w14:paraId="35EAB079" w14:textId="2E8972D2" w:rsidR="001A6563" w:rsidRPr="00C929D9" w:rsidRDefault="001A6563" w:rsidP="001A6563">
            <w:pPr>
              <w:pStyle w:val="TableText"/>
              <w:cnfStyle w:val="000000000000" w:firstRow="0" w:lastRow="0" w:firstColumn="0" w:lastColumn="0" w:oddVBand="0" w:evenVBand="0" w:oddHBand="0" w:evenHBand="0" w:firstRowFirstColumn="0" w:firstRowLastColumn="0" w:lastRowFirstColumn="0" w:lastRowLastColumn="0"/>
            </w:pPr>
            <w:r>
              <w:rPr>
                <w:color w:val="000000"/>
                <w:szCs w:val="18"/>
              </w:rPr>
              <w:t>2,561,129</w:t>
            </w:r>
          </w:p>
        </w:tc>
      </w:tr>
    </w:tbl>
    <w:p w14:paraId="765BD45E" w14:textId="61BAD2E5" w:rsidR="005027FF" w:rsidRDefault="005027FF" w:rsidP="00533784">
      <w:pPr>
        <w:pStyle w:val="Normalsmall"/>
      </w:pPr>
    </w:p>
    <w:p w14:paraId="5C829B15" w14:textId="77777777" w:rsidR="0053623B" w:rsidRDefault="00F17467">
      <w:pPr>
        <w:pStyle w:val="Heading2"/>
        <w:numPr>
          <w:ilvl w:val="0"/>
          <w:numId w:val="0"/>
        </w:numPr>
        <w:ind w:left="709" w:hanging="709"/>
      </w:pPr>
      <w:bookmarkStart w:id="40" w:name="_Toc14962335"/>
      <w:r>
        <w:lastRenderedPageBreak/>
        <w:t>References</w:t>
      </w:r>
      <w:bookmarkEnd w:id="26"/>
      <w:bookmarkEnd w:id="40"/>
    </w:p>
    <w:p w14:paraId="198459EF" w14:textId="5B8EB538" w:rsidR="005F290C" w:rsidRDefault="005F290C" w:rsidP="00F02AF3">
      <w:r>
        <w:t>ABARES</w:t>
      </w:r>
      <w:r w:rsidR="002A5A2E">
        <w:t xml:space="preserve"> 2018</w:t>
      </w:r>
      <w:r>
        <w:t xml:space="preserve">, </w:t>
      </w:r>
      <w:hyperlink r:id="rId25" w:history="1">
        <w:r w:rsidRPr="005F290C">
          <w:rPr>
            <w:rStyle w:val="Hyperlink"/>
          </w:rPr>
          <w:t>Agricultural commodities: December quarter 2018</w:t>
        </w:r>
      </w:hyperlink>
      <w:r>
        <w:t xml:space="preserve">, Australian Bureau of Agricultural and Resource Economics and Sciences, accessed </w:t>
      </w:r>
      <w:r w:rsidR="0000511A">
        <w:t>13</w:t>
      </w:r>
      <w:r>
        <w:t xml:space="preserve"> </w:t>
      </w:r>
      <w:r w:rsidR="0000511A">
        <w:t xml:space="preserve">June </w:t>
      </w:r>
      <w:r>
        <w:t>2019.</w:t>
      </w:r>
    </w:p>
    <w:p w14:paraId="057AEF7C" w14:textId="0CCB179D" w:rsidR="00353B9D" w:rsidRDefault="00353B9D" w:rsidP="00F02AF3">
      <w:r>
        <w:t>ABARES</w:t>
      </w:r>
      <w:r w:rsidR="002A5A2E">
        <w:t xml:space="preserve"> 2019</w:t>
      </w:r>
      <w:r>
        <w:t xml:space="preserve">, </w:t>
      </w:r>
      <w:hyperlink r:id="rId26" w:history="1">
        <w:r w:rsidRPr="00FB4C4F">
          <w:rPr>
            <w:rStyle w:val="Hyperlink"/>
          </w:rPr>
          <w:t>ABARES water market outlook</w:t>
        </w:r>
        <w:r w:rsidR="00FB4C4F" w:rsidRPr="00FB4C4F">
          <w:rPr>
            <w:rStyle w:val="Hyperlink"/>
          </w:rPr>
          <w:t xml:space="preserve"> (pdf 1.0 mb)</w:t>
        </w:r>
        <w:r w:rsidRPr="00FB4C4F">
          <w:rPr>
            <w:rStyle w:val="Hyperlink"/>
          </w:rPr>
          <w:t>,</w:t>
        </w:r>
      </w:hyperlink>
      <w:r>
        <w:t xml:space="preserve"> Australian Bureau of Agricultural and Resource Economics and Sciences, accessed </w:t>
      </w:r>
      <w:r w:rsidR="0000511A">
        <w:t xml:space="preserve">1 April </w:t>
      </w:r>
      <w:r>
        <w:t>2019.</w:t>
      </w:r>
    </w:p>
    <w:p w14:paraId="58420A5D" w14:textId="77777777" w:rsidR="00F02AF3" w:rsidRDefault="00F02AF3" w:rsidP="00F02AF3">
      <w:r w:rsidRPr="00AA69DB">
        <w:t xml:space="preserve">ABS 2019, </w:t>
      </w:r>
      <w:hyperlink r:id="rId27" w:history="1">
        <w:r w:rsidRPr="00AA69DB">
          <w:rPr>
            <w:rStyle w:val="Hyperlink"/>
          </w:rPr>
          <w:t>Consumer price index, Australia, Dec 2018</w:t>
        </w:r>
      </w:hyperlink>
      <w:r w:rsidRPr="00AA69DB">
        <w:t>, cat. No. 6401.0, Australia Bureau of Statistics, Canberra, accessed 1</w:t>
      </w:r>
      <w:r w:rsidR="00E409D6">
        <w:t>7</w:t>
      </w:r>
      <w:r w:rsidRPr="00AA69DB">
        <w:t xml:space="preserve"> </w:t>
      </w:r>
      <w:r w:rsidR="00E409D6">
        <w:t xml:space="preserve">June </w:t>
      </w:r>
      <w:r w:rsidRPr="00AA69DB">
        <w:t>2019.</w:t>
      </w:r>
    </w:p>
    <w:p w14:paraId="789472F7" w14:textId="66559595" w:rsidR="006479A3" w:rsidRDefault="006479A3" w:rsidP="006479A3">
      <w:r w:rsidRPr="00AA69DB">
        <w:t>BOM</w:t>
      </w:r>
      <w:r w:rsidR="002A5A2E">
        <w:t xml:space="preserve"> 2019a</w:t>
      </w:r>
      <w:r w:rsidRPr="00AA69DB">
        <w:t>,</w:t>
      </w:r>
      <w:r>
        <w:t xml:space="preserve"> </w:t>
      </w:r>
      <w:hyperlink r:id="rId28" w:anchor="/overview/summary" w:history="1">
        <w:r w:rsidRPr="00FE1EDA">
          <w:rPr>
            <w:rStyle w:val="Hyperlink"/>
          </w:rPr>
          <w:t>Climate outlooks – monthly and seasonal</w:t>
        </w:r>
      </w:hyperlink>
      <w:r w:rsidRPr="00AA69DB">
        <w:t xml:space="preserve">, Bureau of Meteorology, Victoria, accessed </w:t>
      </w:r>
      <w:r>
        <w:t>2</w:t>
      </w:r>
      <w:r w:rsidRPr="00AA69DB">
        <w:t xml:space="preserve"> J</w:t>
      </w:r>
      <w:r>
        <w:t>uly</w:t>
      </w:r>
      <w:r w:rsidRPr="00AA69DB">
        <w:t xml:space="preserve"> 2019.</w:t>
      </w:r>
    </w:p>
    <w:p w14:paraId="720B5E1F" w14:textId="7C587421" w:rsidR="00F02AF3" w:rsidRPr="00AA69DB" w:rsidRDefault="00F02AF3" w:rsidP="00F02AF3">
      <w:r w:rsidRPr="00AA69DB">
        <w:t>BOM</w:t>
      </w:r>
      <w:r w:rsidR="002A5A2E">
        <w:t xml:space="preserve"> 2019b</w:t>
      </w:r>
      <w:r w:rsidRPr="00AA69DB">
        <w:t xml:space="preserve">, </w:t>
      </w:r>
      <w:hyperlink r:id="rId29" w:anchor="/water-markets/mdb/at" w:history="1">
        <w:r w:rsidRPr="00AA69DB">
          <w:rPr>
            <w:rStyle w:val="Hyperlink"/>
          </w:rPr>
          <w:t>Water information</w:t>
        </w:r>
      </w:hyperlink>
      <w:r w:rsidRPr="00AA69DB">
        <w:t>, Bureau of Meteorology, Victoria, accessed 1</w:t>
      </w:r>
      <w:r w:rsidR="00F96892">
        <w:t>3</w:t>
      </w:r>
      <w:r w:rsidRPr="00AA69DB">
        <w:t xml:space="preserve"> J</w:t>
      </w:r>
      <w:r w:rsidR="00F96892">
        <w:t>une</w:t>
      </w:r>
      <w:r w:rsidRPr="00AA69DB">
        <w:t xml:space="preserve"> 2019.</w:t>
      </w:r>
    </w:p>
    <w:p w14:paraId="3926B6C9" w14:textId="686C119E" w:rsidR="00F02AF3" w:rsidRDefault="00F02AF3" w:rsidP="00F02AF3">
      <w:r w:rsidRPr="00AA69DB">
        <w:t>GMW</w:t>
      </w:r>
      <w:r w:rsidR="002A5A2E">
        <w:t xml:space="preserve"> 2019</w:t>
      </w:r>
      <w:r w:rsidRPr="00AA69DB">
        <w:t xml:space="preserve">, </w:t>
      </w:r>
      <w:hyperlink r:id="rId30" w:history="1">
        <w:r w:rsidRPr="00AA69DB">
          <w:rPr>
            <w:rStyle w:val="Hyperlink"/>
          </w:rPr>
          <w:t>Storage levels</w:t>
        </w:r>
      </w:hyperlink>
      <w:r w:rsidRPr="00AA69DB">
        <w:t>, Goulburn-Murray Water, Victoria, accessed 1</w:t>
      </w:r>
      <w:r w:rsidR="00F96892">
        <w:t>3</w:t>
      </w:r>
      <w:r w:rsidRPr="00AA69DB">
        <w:t xml:space="preserve"> J</w:t>
      </w:r>
      <w:r w:rsidR="00F96892">
        <w:t>une</w:t>
      </w:r>
      <w:r w:rsidRPr="00AA69DB">
        <w:t xml:space="preserve"> 2019.</w:t>
      </w:r>
    </w:p>
    <w:p w14:paraId="1D3F09AC" w14:textId="77777777" w:rsidR="0037053A" w:rsidRPr="0037053A" w:rsidRDefault="0037053A" w:rsidP="0037053A">
      <w:r w:rsidRPr="0037053A">
        <w:t xml:space="preserve">Gupta, M, Hughes, N &amp; Wakerman Powell, Kai 2018, </w:t>
      </w:r>
      <w:r w:rsidRPr="0037053A">
        <w:rPr>
          <w:i/>
          <w:iCs/>
        </w:rPr>
        <w:t>A model for water trade and irrigation activity in the southern Murray-Darling Basin</w:t>
      </w:r>
      <w:r w:rsidRPr="0037053A">
        <w:t>, ABARES conference paper, Canberra, January.</w:t>
      </w:r>
    </w:p>
    <w:p w14:paraId="1662DE5C" w14:textId="77777777" w:rsidR="00EC2874" w:rsidRDefault="00EC2874">
      <w:r w:rsidRPr="00AA69DB">
        <w:t xml:space="preserve">Gupta, M &amp; Hughes, N 2018, </w:t>
      </w:r>
      <w:hyperlink r:id="rId31" w:anchor="download-report" w:history="1">
        <w:r w:rsidRPr="00AA69DB">
          <w:rPr>
            <w:rStyle w:val="Hyperlink"/>
            <w:i/>
            <w:iCs/>
          </w:rPr>
          <w:t>Future scenarios for the southern Murray–Darling Basin water market</w:t>
        </w:r>
      </w:hyperlink>
      <w:r w:rsidRPr="00AA69DB">
        <w:t>, ABARES research report, Canberra, August. CC BY 4.0.</w:t>
      </w:r>
    </w:p>
    <w:p w14:paraId="69F91ED9" w14:textId="00B8BF6D" w:rsidR="000F15D2" w:rsidRDefault="000F15D2" w:rsidP="008A271F">
      <w:r>
        <w:t>NSW DPI</w:t>
      </w:r>
      <w:r w:rsidR="002A5A2E">
        <w:t xml:space="preserve"> 2019a</w:t>
      </w:r>
      <w:r>
        <w:t xml:space="preserve">, </w:t>
      </w:r>
      <w:hyperlink r:id="rId32" w:history="1">
        <w:r w:rsidRPr="000F15D2">
          <w:rPr>
            <w:rStyle w:val="Hyperlink"/>
          </w:rPr>
          <w:t>Summary of Current Water Allocations</w:t>
        </w:r>
      </w:hyperlink>
      <w:r>
        <w:t>, NSW Government Department of Industry, accessed 13 June 2019.</w:t>
      </w:r>
    </w:p>
    <w:p w14:paraId="15216A37" w14:textId="4A946A6D" w:rsidR="008A271F" w:rsidRDefault="002A5A2E" w:rsidP="008A271F">
      <w:r>
        <w:t>NSW DPI</w:t>
      </w:r>
      <w:r w:rsidR="008A271F">
        <w:t xml:space="preserve"> 2019</w:t>
      </w:r>
      <w:r>
        <w:t>b</w:t>
      </w:r>
      <w:r w:rsidR="008A271F">
        <w:t>,</w:t>
      </w:r>
      <w:r w:rsidR="008A271F" w:rsidRPr="00AA69DB">
        <w:t xml:space="preserve"> </w:t>
      </w:r>
      <w:hyperlink r:id="rId33" w:history="1">
        <w:r w:rsidR="008A271F" w:rsidRPr="009235C5">
          <w:rPr>
            <w:rStyle w:val="Hyperlink"/>
          </w:rPr>
          <w:t xml:space="preserve">Murrumbidgee valley, water allocation statement (pdf </w:t>
        </w:r>
        <w:r w:rsidR="009235C5" w:rsidRPr="009235C5">
          <w:rPr>
            <w:rStyle w:val="Hyperlink"/>
          </w:rPr>
          <w:t>170</w:t>
        </w:r>
        <w:r w:rsidR="008A271F" w:rsidRPr="009235C5">
          <w:rPr>
            <w:rStyle w:val="Hyperlink"/>
          </w:rPr>
          <w:t>kb)</w:t>
        </w:r>
      </w:hyperlink>
      <w:r w:rsidR="008A271F" w:rsidRPr="00AA69DB">
        <w:t>, N</w:t>
      </w:r>
      <w:r w:rsidR="008A271F">
        <w:t xml:space="preserve">ew </w:t>
      </w:r>
      <w:r w:rsidR="008A271F" w:rsidRPr="00AA69DB">
        <w:t>S</w:t>
      </w:r>
      <w:r w:rsidR="008A271F">
        <w:t xml:space="preserve">outh </w:t>
      </w:r>
      <w:r w:rsidR="008A271F" w:rsidRPr="00AA69DB">
        <w:t>W</w:t>
      </w:r>
      <w:r w:rsidR="008A271F">
        <w:t>ales</w:t>
      </w:r>
      <w:r w:rsidR="008A271F" w:rsidRPr="00AA69DB">
        <w:t xml:space="preserve"> Department of Primary Industries, NSW.</w:t>
      </w:r>
    </w:p>
    <w:p w14:paraId="3DF46B5D" w14:textId="3AC3A96C" w:rsidR="008A271F" w:rsidRDefault="002A5A2E" w:rsidP="008A271F">
      <w:r>
        <w:t>NSW DPI</w:t>
      </w:r>
      <w:r w:rsidR="008A271F" w:rsidRPr="00AA69DB">
        <w:t xml:space="preserve"> </w:t>
      </w:r>
      <w:r w:rsidR="008A271F">
        <w:t>2019</w:t>
      </w:r>
      <w:r>
        <w:t>c</w:t>
      </w:r>
      <w:r w:rsidR="008A271F">
        <w:t xml:space="preserve">, </w:t>
      </w:r>
      <w:hyperlink r:id="rId34" w:history="1">
        <w:r w:rsidR="008A271F" w:rsidRPr="009235C5">
          <w:rPr>
            <w:rStyle w:val="Hyperlink"/>
          </w:rPr>
          <w:t xml:space="preserve">NSW Murray and Lower Darling, water allocation statement (pdf </w:t>
        </w:r>
        <w:r w:rsidR="009235C5" w:rsidRPr="009235C5">
          <w:rPr>
            <w:rStyle w:val="Hyperlink"/>
          </w:rPr>
          <w:t>248</w:t>
        </w:r>
        <w:r w:rsidR="008A271F" w:rsidRPr="009235C5">
          <w:rPr>
            <w:rStyle w:val="Hyperlink"/>
          </w:rPr>
          <w:t>kb)</w:t>
        </w:r>
      </w:hyperlink>
      <w:r w:rsidR="008A271F" w:rsidRPr="00AA69DB">
        <w:t>, N</w:t>
      </w:r>
      <w:r w:rsidR="008A271F">
        <w:t xml:space="preserve">ew </w:t>
      </w:r>
      <w:r w:rsidR="008A271F" w:rsidRPr="00AA69DB">
        <w:t>S</w:t>
      </w:r>
      <w:r w:rsidR="008A271F">
        <w:t xml:space="preserve">outh </w:t>
      </w:r>
      <w:r w:rsidR="008A271F" w:rsidRPr="00AA69DB">
        <w:t>W</w:t>
      </w:r>
      <w:r w:rsidR="008A271F">
        <w:t>ales</w:t>
      </w:r>
      <w:r w:rsidR="008A271F" w:rsidRPr="00AA69DB">
        <w:t xml:space="preserve"> Department of Primary Industries, NSW.</w:t>
      </w:r>
    </w:p>
    <w:p w14:paraId="64C7AF24" w14:textId="7F4760A8" w:rsidR="00F02AF3" w:rsidRDefault="00F02AF3" w:rsidP="00F02AF3">
      <w:r w:rsidRPr="00AA69DB">
        <w:t>NVRM</w:t>
      </w:r>
      <w:r w:rsidR="002A5A2E">
        <w:t xml:space="preserve"> 2019</w:t>
      </w:r>
      <w:r w:rsidRPr="00AA69DB">
        <w:t xml:space="preserve">, </w:t>
      </w:r>
      <w:hyperlink r:id="rId35" w:history="1">
        <w:r w:rsidRPr="00AA69DB">
          <w:rPr>
            <w:rStyle w:val="Hyperlink"/>
          </w:rPr>
          <w:t>Current Outlook</w:t>
        </w:r>
      </w:hyperlink>
      <w:r w:rsidRPr="00AA69DB">
        <w:t>, Northern Victoria Resource Manager, accessed 1</w:t>
      </w:r>
      <w:r w:rsidR="009235C5">
        <w:t>3</w:t>
      </w:r>
      <w:r w:rsidRPr="00AA69DB">
        <w:t xml:space="preserve"> </w:t>
      </w:r>
      <w:r w:rsidR="009235C5">
        <w:t xml:space="preserve">June </w:t>
      </w:r>
      <w:r w:rsidRPr="00AA69DB">
        <w:t xml:space="preserve">2019. </w:t>
      </w:r>
    </w:p>
    <w:p w14:paraId="5B96E88B" w14:textId="705417B9" w:rsidR="00E0631F" w:rsidRDefault="00E0631F" w:rsidP="00F02AF3">
      <w:r>
        <w:t>Ruralco water</w:t>
      </w:r>
      <w:r w:rsidR="002A5A2E">
        <w:t xml:space="preserve"> 2019</w:t>
      </w:r>
      <w:r>
        <w:t xml:space="preserve">, </w:t>
      </w:r>
      <w:hyperlink r:id="rId36" w:history="1">
        <w:r w:rsidRPr="00E0631F">
          <w:rPr>
            <w:rStyle w:val="Hyperlink"/>
          </w:rPr>
          <w:t>Water markets</w:t>
        </w:r>
      </w:hyperlink>
      <w:r>
        <w:t xml:space="preserve">, Ruralco water, accessed </w:t>
      </w:r>
      <w:r w:rsidR="007F3555">
        <w:t>13</w:t>
      </w:r>
      <w:r>
        <w:t xml:space="preserve"> </w:t>
      </w:r>
      <w:r w:rsidR="007F3555">
        <w:t xml:space="preserve">June </w:t>
      </w:r>
      <w:r>
        <w:t>2019.</w:t>
      </w:r>
    </w:p>
    <w:p w14:paraId="47640EFD" w14:textId="651EF670" w:rsidR="00CC60E1" w:rsidRPr="00CC60E1" w:rsidRDefault="00CC60E1" w:rsidP="00CC60E1">
      <w:pPr>
        <w:rPr>
          <w:rFonts w:cs="Times New Roman"/>
        </w:rPr>
      </w:pPr>
      <w:r>
        <w:t>SA DEW</w:t>
      </w:r>
      <w:r w:rsidR="002A5A2E">
        <w:t xml:space="preserve"> 2019</w:t>
      </w:r>
      <w:r>
        <w:t xml:space="preserve">, </w:t>
      </w:r>
      <w:hyperlink r:id="rId37" w:history="1">
        <w:r w:rsidR="000F15D2" w:rsidRPr="000F15D2">
          <w:rPr>
            <w:rStyle w:val="Hyperlink"/>
          </w:rPr>
          <w:t>South Australia’s River Murray Water Allocation Statement</w:t>
        </w:r>
      </w:hyperlink>
      <w:r>
        <w:t>, Government of South Australia Department for Environment and Water, accessed 1</w:t>
      </w:r>
      <w:r w:rsidR="000F15D2">
        <w:t>3</w:t>
      </w:r>
      <w:r>
        <w:t xml:space="preserve"> J</w:t>
      </w:r>
      <w:r w:rsidR="000F15D2">
        <w:t>une</w:t>
      </w:r>
      <w:r>
        <w:t xml:space="preserve"> 2019.</w:t>
      </w:r>
    </w:p>
    <w:p w14:paraId="649FC85D" w14:textId="6FE1059E" w:rsidR="00F02AF3" w:rsidRPr="00AA69DB" w:rsidRDefault="00F02AF3" w:rsidP="00F02AF3">
      <w:r w:rsidRPr="00AA69DB">
        <w:t>SAWater</w:t>
      </w:r>
      <w:r w:rsidR="002A5A2E">
        <w:t xml:space="preserve"> 2019</w:t>
      </w:r>
      <w:r w:rsidRPr="00AA69DB">
        <w:t xml:space="preserve">, </w:t>
      </w:r>
      <w:hyperlink r:id="rId38" w:history="1">
        <w:r w:rsidRPr="00AA69DB">
          <w:rPr>
            <w:rStyle w:val="Hyperlink"/>
          </w:rPr>
          <w:t>Daily flow report</w:t>
        </w:r>
      </w:hyperlink>
      <w:r w:rsidRPr="00AA69DB">
        <w:t>, S</w:t>
      </w:r>
      <w:r w:rsidR="000852D4" w:rsidRPr="00AA69DB">
        <w:t xml:space="preserve">outh </w:t>
      </w:r>
      <w:r w:rsidRPr="00AA69DB">
        <w:t>A</w:t>
      </w:r>
      <w:r w:rsidR="000852D4" w:rsidRPr="00AA69DB">
        <w:t xml:space="preserve">ustralian </w:t>
      </w:r>
      <w:r w:rsidRPr="00AA69DB">
        <w:t xml:space="preserve">Water, South Australia, accessed </w:t>
      </w:r>
      <w:r w:rsidR="009235C5">
        <w:t>17</w:t>
      </w:r>
      <w:r w:rsidRPr="00AA69DB">
        <w:t xml:space="preserve"> J</w:t>
      </w:r>
      <w:r w:rsidR="009235C5">
        <w:t xml:space="preserve">une </w:t>
      </w:r>
      <w:r w:rsidRPr="00AA69DB">
        <w:t>2019.</w:t>
      </w:r>
    </w:p>
    <w:p w14:paraId="60D68A6C" w14:textId="1D0FDC18" w:rsidR="00AA69DB" w:rsidRPr="00AA69DB" w:rsidRDefault="002A5A2E" w:rsidP="00AA69DB">
      <w:r>
        <w:t>Victoria Water Register 2019</w:t>
      </w:r>
      <w:r w:rsidR="00AA69DB" w:rsidRPr="00AA69DB">
        <w:t xml:space="preserve">, </w:t>
      </w:r>
      <w:hyperlink r:id="rId39" w:history="1">
        <w:r w:rsidR="00AA69DB" w:rsidRPr="00AA69DB">
          <w:rPr>
            <w:rStyle w:val="Hyperlink"/>
          </w:rPr>
          <w:t>Unused water</w:t>
        </w:r>
      </w:hyperlink>
      <w:r>
        <w:t>, Victoria</w:t>
      </w:r>
      <w:r w:rsidR="00AA69DB" w:rsidRPr="00AA69DB">
        <w:t xml:space="preserve"> Water Register, Victoria, accessed 1</w:t>
      </w:r>
      <w:r w:rsidR="007F3555">
        <w:t>8</w:t>
      </w:r>
      <w:r w:rsidR="00AA69DB" w:rsidRPr="00AA69DB">
        <w:t xml:space="preserve"> </w:t>
      </w:r>
      <w:r w:rsidR="007F3555">
        <w:t>June</w:t>
      </w:r>
      <w:r w:rsidR="00AA69DB" w:rsidRPr="00AA69DB">
        <w:t xml:space="preserve"> 2019.</w:t>
      </w:r>
    </w:p>
    <w:p w14:paraId="21894DFE" w14:textId="047B5725" w:rsidR="00490669" w:rsidRDefault="00490669" w:rsidP="00EC2874">
      <w:r w:rsidRPr="00AA69DB">
        <w:t>WaterNSW</w:t>
      </w:r>
      <w:r w:rsidR="002A5A2E">
        <w:t xml:space="preserve"> 2019a</w:t>
      </w:r>
      <w:r w:rsidRPr="00AA69DB">
        <w:t xml:space="preserve">, </w:t>
      </w:r>
      <w:hyperlink r:id="rId40" w:history="1">
        <w:r w:rsidR="00933B4C" w:rsidRPr="00933B4C">
          <w:rPr>
            <w:rStyle w:val="Hyperlink"/>
          </w:rPr>
          <w:t>Murrumbidgee IVT account status</w:t>
        </w:r>
      </w:hyperlink>
      <w:r w:rsidRPr="00AA69DB">
        <w:t>, Water</w:t>
      </w:r>
      <w:r w:rsidR="000852D4" w:rsidRPr="00AA69DB">
        <w:t xml:space="preserve"> </w:t>
      </w:r>
      <w:r w:rsidRPr="00AA69DB">
        <w:t>N</w:t>
      </w:r>
      <w:r w:rsidR="000852D4" w:rsidRPr="00AA69DB">
        <w:t xml:space="preserve">ew </w:t>
      </w:r>
      <w:r w:rsidRPr="00AA69DB">
        <w:t>S</w:t>
      </w:r>
      <w:r w:rsidR="000852D4" w:rsidRPr="00AA69DB">
        <w:t xml:space="preserve">outh </w:t>
      </w:r>
      <w:r w:rsidRPr="00AA69DB">
        <w:t>W</w:t>
      </w:r>
      <w:r w:rsidR="000852D4" w:rsidRPr="00AA69DB">
        <w:t>ales</w:t>
      </w:r>
      <w:r w:rsidR="007F3555">
        <w:t>, New South Wales, accessed 1</w:t>
      </w:r>
      <w:r w:rsidRPr="00AA69DB">
        <w:t xml:space="preserve"> J</w:t>
      </w:r>
      <w:r w:rsidR="007F3555">
        <w:t>u</w:t>
      </w:r>
      <w:r w:rsidR="00933B4C">
        <w:t>ly</w:t>
      </w:r>
      <w:r w:rsidR="007F3555">
        <w:t xml:space="preserve"> </w:t>
      </w:r>
      <w:r w:rsidRPr="00AA69DB">
        <w:t>2019.</w:t>
      </w:r>
    </w:p>
    <w:p w14:paraId="2B81CD4F" w14:textId="0ACAD26E" w:rsidR="00EC2874" w:rsidRDefault="00933B4C">
      <w:r w:rsidRPr="00AA69DB">
        <w:t>WaterNSW</w:t>
      </w:r>
      <w:r w:rsidR="002A5A2E">
        <w:t xml:space="preserve"> 2019b</w:t>
      </w:r>
      <w:r w:rsidRPr="00AA69DB">
        <w:t xml:space="preserve">, </w:t>
      </w:r>
      <w:hyperlink r:id="rId41" w:history="1">
        <w:r w:rsidRPr="00AA69DB">
          <w:rPr>
            <w:rStyle w:val="Hyperlink"/>
          </w:rPr>
          <w:t>Real-time water data</w:t>
        </w:r>
      </w:hyperlink>
      <w:r w:rsidRPr="00AA69DB">
        <w:t>, Water New South Wales</w:t>
      </w:r>
      <w:r>
        <w:t>, New South Wales, accessed 13</w:t>
      </w:r>
      <w:r w:rsidRPr="00AA69DB">
        <w:t xml:space="preserve"> J</w:t>
      </w:r>
      <w:r>
        <w:t xml:space="preserve">une </w:t>
      </w:r>
      <w:r w:rsidRPr="00AA69DB">
        <w:t>2019.</w:t>
      </w:r>
    </w:p>
    <w:sectPr w:rsidR="00EC2874" w:rsidSect="00891F46">
      <w:headerReference w:type="even" r:id="rId42"/>
      <w:headerReference w:type="default" r:id="rId43"/>
      <w:footerReference w:type="even" r:id="rId44"/>
      <w:footerReference w:type="default" r:id="rId45"/>
      <w:headerReference w:type="first" r:id="rId46"/>
      <w:footerReference w:type="first" r:id="rId47"/>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3D85C" w14:textId="77777777" w:rsidR="00891F46" w:rsidRDefault="00891F46">
      <w:r>
        <w:separator/>
      </w:r>
    </w:p>
    <w:p w14:paraId="58501D48" w14:textId="77777777" w:rsidR="00891F46" w:rsidRDefault="00891F46"/>
    <w:p w14:paraId="14804786" w14:textId="77777777" w:rsidR="00891F46" w:rsidRDefault="00891F46"/>
  </w:endnote>
  <w:endnote w:type="continuationSeparator" w:id="0">
    <w:p w14:paraId="1A4F9163" w14:textId="77777777" w:rsidR="00891F46" w:rsidRDefault="00891F46">
      <w:r>
        <w:continuationSeparator/>
      </w:r>
    </w:p>
    <w:p w14:paraId="79893C5B" w14:textId="77777777" w:rsidR="00891F46" w:rsidRDefault="00891F46"/>
    <w:p w14:paraId="20DD7482" w14:textId="77777777" w:rsidR="00891F46" w:rsidRDefault="00891F46"/>
  </w:endnote>
  <w:endnote w:type="continuationNotice" w:id="1">
    <w:p w14:paraId="181633B3" w14:textId="77777777" w:rsidR="00891F46" w:rsidRDefault="00891F46">
      <w:pPr>
        <w:pStyle w:val="Footer"/>
      </w:pPr>
    </w:p>
    <w:p w14:paraId="26CA17FF" w14:textId="77777777" w:rsidR="00891F46" w:rsidRDefault="00891F46"/>
    <w:p w14:paraId="32074D6E" w14:textId="77777777" w:rsidR="00891F46" w:rsidRDefault="00891F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760D0" w14:textId="77777777" w:rsidR="007743A6" w:rsidRDefault="00774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7131D" w14:textId="6640D8A9" w:rsidR="00891F46" w:rsidRDefault="00E33794">
    <w:pPr>
      <w:pStyle w:val="Footer"/>
    </w:pPr>
    <w:r w:rsidRPr="00E33794">
      <w:t>Australian Bureau of Agricultural and Resource Economics and Sciences</w:t>
    </w:r>
  </w:p>
  <w:p w14:paraId="75751673" w14:textId="77777777" w:rsidR="00891F46" w:rsidRDefault="00891F46">
    <w:pPr>
      <w:pStyle w:val="Footer"/>
    </w:pPr>
    <w:r>
      <w:fldChar w:fldCharType="begin"/>
    </w:r>
    <w:r>
      <w:instrText xml:space="preserve"> PAGE   \* MERGEFORMAT </w:instrText>
    </w:r>
    <w:r>
      <w:fldChar w:fldCharType="separate"/>
    </w:r>
    <w:r w:rsidR="003315DF">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5AF22" w14:textId="77777777" w:rsidR="007743A6" w:rsidRDefault="00774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98799" w14:textId="77777777" w:rsidR="00891F46" w:rsidRDefault="00891F46">
      <w:r>
        <w:separator/>
      </w:r>
    </w:p>
    <w:p w14:paraId="3DC3E65A" w14:textId="77777777" w:rsidR="00891F46" w:rsidRDefault="00891F46"/>
    <w:p w14:paraId="1F68E895" w14:textId="77777777" w:rsidR="00891F46" w:rsidRDefault="00891F46"/>
  </w:footnote>
  <w:footnote w:type="continuationSeparator" w:id="0">
    <w:p w14:paraId="61FA7789" w14:textId="77777777" w:rsidR="00891F46" w:rsidRDefault="00891F46">
      <w:r>
        <w:continuationSeparator/>
      </w:r>
    </w:p>
    <w:p w14:paraId="60C8A539" w14:textId="77777777" w:rsidR="00891F46" w:rsidRDefault="00891F46"/>
    <w:p w14:paraId="0C776F7A" w14:textId="77777777" w:rsidR="00891F46" w:rsidRDefault="00891F46"/>
  </w:footnote>
  <w:footnote w:type="continuationNotice" w:id="1">
    <w:p w14:paraId="544E31F7" w14:textId="77777777" w:rsidR="00891F46" w:rsidRDefault="00891F46">
      <w:pPr>
        <w:pStyle w:val="Footer"/>
      </w:pPr>
    </w:p>
    <w:p w14:paraId="56DFAD7E" w14:textId="77777777" w:rsidR="00891F46" w:rsidRDefault="00891F46"/>
    <w:p w14:paraId="5E0F8FAA" w14:textId="77777777" w:rsidR="00891F46" w:rsidRDefault="00891F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14107" w14:textId="77777777" w:rsidR="007743A6" w:rsidRDefault="00774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FC869" w14:textId="77655B54" w:rsidR="00891F46" w:rsidRDefault="00E33794">
    <w:pPr>
      <w:pStyle w:val="Header"/>
    </w:pPr>
    <w:r>
      <w:t>W</w:t>
    </w:r>
    <w:r w:rsidR="00891F46">
      <w:t>ater market outlook</w:t>
    </w:r>
    <w:r>
      <w:t>: August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73798" w14:textId="6E7FA4AE" w:rsidR="00891F46" w:rsidRDefault="00891F46">
    <w:pPr>
      <w:pStyle w:val="Header"/>
      <w:jc w:val="left"/>
    </w:pPr>
    <w:r>
      <w:rPr>
        <w:noProof/>
        <w:lang w:eastAsia="en-AU"/>
      </w:rPr>
      <w:drawing>
        <wp:inline distT="0" distB="0" distL="0" distR="0" wp14:anchorId="3BA5A582" wp14:editId="7D8DE8DF">
          <wp:extent cx="2520000" cy="85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853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57F12C2"/>
    <w:multiLevelType w:val="hybridMultilevel"/>
    <w:tmpl w:val="868ACEA6"/>
    <w:lvl w:ilvl="0" w:tplc="C862CF20">
      <w:start w:val="65"/>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090C96"/>
    <w:multiLevelType w:val="multilevel"/>
    <w:tmpl w:val="3174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EF5306"/>
    <w:multiLevelType w:val="hybridMultilevel"/>
    <w:tmpl w:val="DC1CC9D0"/>
    <w:lvl w:ilvl="0" w:tplc="A606A97E">
      <w:start w:val="3"/>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42571D"/>
    <w:multiLevelType w:val="hybridMultilevel"/>
    <w:tmpl w:val="B2363798"/>
    <w:lvl w:ilvl="0" w:tplc="FB8EFB2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5" w15:restartNumberingAfterBreak="0">
    <w:nsid w:val="1B1830FB"/>
    <w:multiLevelType w:val="hybridMultilevel"/>
    <w:tmpl w:val="1B725E2C"/>
    <w:lvl w:ilvl="0" w:tplc="5F1402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E3330A"/>
    <w:multiLevelType w:val="hybridMultilevel"/>
    <w:tmpl w:val="CE3C705A"/>
    <w:lvl w:ilvl="0" w:tplc="631EE138">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A328D5"/>
    <w:multiLevelType w:val="multilevel"/>
    <w:tmpl w:val="BE78A4F8"/>
    <w:numStyleLink w:val="Numberlist"/>
  </w:abstractNum>
  <w:abstractNum w:abstractNumId="19"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39F5092"/>
    <w:multiLevelType w:val="hybridMultilevel"/>
    <w:tmpl w:val="DAEC52D6"/>
    <w:lvl w:ilvl="0" w:tplc="5B982B1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2B103637"/>
    <w:multiLevelType w:val="multilevel"/>
    <w:tmpl w:val="BE78A4F8"/>
    <w:numStyleLink w:val="Numberlist"/>
  </w:abstractNum>
  <w:abstractNum w:abstractNumId="23" w15:restartNumberingAfterBreak="0">
    <w:nsid w:val="2B330BDF"/>
    <w:multiLevelType w:val="hybridMultilevel"/>
    <w:tmpl w:val="3CEA2FB6"/>
    <w:lvl w:ilvl="0" w:tplc="620A7086">
      <w:start w:val="65"/>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EE555F"/>
    <w:multiLevelType w:val="hybridMultilevel"/>
    <w:tmpl w:val="AC62A5A2"/>
    <w:lvl w:ilvl="0" w:tplc="3A9E45A8">
      <w:start w:val="2018"/>
      <w:numFmt w:val="bullet"/>
      <w:lvlText w:val="-"/>
      <w:lvlJc w:val="left"/>
      <w:pPr>
        <w:ind w:left="930" w:hanging="360"/>
      </w:pPr>
      <w:rPr>
        <w:rFonts w:ascii="Cambria" w:eastAsia="Calibri" w:hAnsi="Cambria" w:cs="Times New Roman" w:hint="default"/>
      </w:rPr>
    </w:lvl>
    <w:lvl w:ilvl="1" w:tplc="0C090003">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25" w15:restartNumberingAfterBreak="0">
    <w:nsid w:val="34A01AFC"/>
    <w:multiLevelType w:val="hybridMultilevel"/>
    <w:tmpl w:val="03A89A90"/>
    <w:lvl w:ilvl="0" w:tplc="5F3CFBBC">
      <w:start w:val="4"/>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4A15FE"/>
    <w:multiLevelType w:val="multilevel"/>
    <w:tmpl w:val="F36C17E8"/>
    <w:numStyleLink w:val="Headinglist"/>
  </w:abstractNum>
  <w:abstractNum w:abstractNumId="27" w15:restartNumberingAfterBreak="0">
    <w:nsid w:val="414F4729"/>
    <w:multiLevelType w:val="multilevel"/>
    <w:tmpl w:val="A0241B28"/>
    <w:numStyleLink w:val="List1"/>
  </w:abstractNum>
  <w:abstractNum w:abstractNumId="28" w15:restartNumberingAfterBreak="0">
    <w:nsid w:val="46DD5C12"/>
    <w:multiLevelType w:val="multilevel"/>
    <w:tmpl w:val="20F2356A"/>
    <w:numStyleLink w:val="Appendix"/>
  </w:abstractNum>
  <w:abstractNum w:abstractNumId="29" w15:restartNumberingAfterBreak="0">
    <w:nsid w:val="486800B4"/>
    <w:multiLevelType w:val="multilevel"/>
    <w:tmpl w:val="A0241B28"/>
    <w:numStyleLink w:val="List1"/>
  </w:abstractNum>
  <w:abstractNum w:abstractNumId="30"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1" w15:restartNumberingAfterBreak="0">
    <w:nsid w:val="496159DC"/>
    <w:multiLevelType w:val="multilevel"/>
    <w:tmpl w:val="BE78A4F8"/>
    <w:numStyleLink w:val="Numberlist"/>
  </w:abstractNum>
  <w:abstractNum w:abstractNumId="32"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7" w15:restartNumberingAfterBreak="0">
    <w:nsid w:val="5F7F5188"/>
    <w:multiLevelType w:val="hybridMultilevel"/>
    <w:tmpl w:val="133C6868"/>
    <w:lvl w:ilvl="0" w:tplc="A41A0744">
      <w:numFmt w:val="bullet"/>
      <w:lvlText w:val="-"/>
      <w:lvlJc w:val="left"/>
      <w:pPr>
        <w:ind w:left="720" w:hanging="360"/>
      </w:pPr>
      <w:rPr>
        <w:rFonts w:ascii="Cambria" w:eastAsiaTheme="minorHAnsi" w:hAnsi="Cambria" w:cstheme="minorBid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8C10A1"/>
    <w:multiLevelType w:val="multilevel"/>
    <w:tmpl w:val="BE78A4F8"/>
    <w:numStyleLink w:val="Numberlist"/>
  </w:abstractNum>
  <w:abstractNum w:abstractNumId="40" w15:restartNumberingAfterBreak="0">
    <w:nsid w:val="733934B7"/>
    <w:multiLevelType w:val="multilevel"/>
    <w:tmpl w:val="A0241B28"/>
    <w:numStyleLink w:val="List1"/>
  </w:abstractNum>
  <w:abstractNum w:abstractNumId="41" w15:restartNumberingAfterBreak="0">
    <w:nsid w:val="782A3EDA"/>
    <w:multiLevelType w:val="hybridMultilevel"/>
    <w:tmpl w:val="CD6C1DC0"/>
    <w:lvl w:ilvl="0" w:tplc="75303D94">
      <w:start w:val="1819"/>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9"/>
  </w:num>
  <w:num w:numId="3">
    <w:abstractNumId w:val="30"/>
  </w:num>
  <w:num w:numId="4">
    <w:abstractNumId w:val="14"/>
  </w:num>
  <w:num w:numId="5">
    <w:abstractNumId w:val="34"/>
  </w:num>
  <w:num w:numId="6">
    <w:abstractNumId w:val="35"/>
  </w:num>
  <w:num w:numId="7">
    <w:abstractNumId w:val="9"/>
  </w:num>
  <w:num w:numId="8">
    <w:abstractNumId w:val="19"/>
  </w:num>
  <w:num w:numId="9">
    <w:abstractNumId w:val="26"/>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6"/>
  </w:num>
  <w:num w:numId="16">
    <w:abstractNumId w:val="33"/>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1"/>
  </w:num>
  <w:num w:numId="20">
    <w:abstractNumId w:val="0"/>
  </w:num>
  <w:num w:numId="21">
    <w:abstractNumId w:val="22"/>
  </w:num>
  <w:num w:numId="22">
    <w:abstractNumId w:val="31"/>
  </w:num>
  <w:num w:numId="23">
    <w:abstractNumId w:val="39"/>
  </w:num>
  <w:num w:numId="24">
    <w:abstractNumId w:val="18"/>
  </w:num>
  <w:num w:numId="25">
    <w:abstractNumId w:val="27"/>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10"/>
  </w:num>
  <w:num w:numId="29">
    <w:abstractNumId w:val="8"/>
  </w:num>
  <w:num w:numId="30">
    <w:abstractNumId w:val="32"/>
  </w:num>
  <w:num w:numId="31">
    <w:abstractNumId w:val="24"/>
  </w:num>
  <w:num w:numId="32">
    <w:abstractNumId w:val="20"/>
  </w:num>
  <w:num w:numId="33">
    <w:abstractNumId w:val="11"/>
  </w:num>
  <w:num w:numId="34">
    <w:abstractNumId w:val="13"/>
  </w:num>
  <w:num w:numId="35">
    <w:abstractNumId w:val="12"/>
  </w:num>
  <w:num w:numId="36">
    <w:abstractNumId w:val="15"/>
  </w:num>
  <w:num w:numId="37">
    <w:abstractNumId w:val="17"/>
  </w:num>
  <w:num w:numId="38">
    <w:abstractNumId w:val="41"/>
  </w:num>
  <w:num w:numId="39">
    <w:abstractNumId w:val="36"/>
  </w:num>
  <w:num w:numId="40">
    <w:abstractNumId w:val="21"/>
  </w:num>
  <w:num w:numId="41">
    <w:abstractNumId w:val="28"/>
  </w:num>
  <w:num w:numId="42">
    <w:abstractNumId w:val="37"/>
  </w:num>
  <w:num w:numId="43">
    <w:abstractNumId w:val="7"/>
  </w:num>
  <w:num w:numId="44">
    <w:abstractNumId w:val="23"/>
  </w:num>
  <w:num w:numId="45">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4"/>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32f893fe-0eb4-43bc-bcd7-818213e21f4f"/>
  </w:docVars>
  <w:rsids>
    <w:rsidRoot w:val="001340AE"/>
    <w:rsid w:val="00000145"/>
    <w:rsid w:val="00000521"/>
    <w:rsid w:val="000008CE"/>
    <w:rsid w:val="00001180"/>
    <w:rsid w:val="00002AA5"/>
    <w:rsid w:val="0000511A"/>
    <w:rsid w:val="00005966"/>
    <w:rsid w:val="0001033A"/>
    <w:rsid w:val="000106F5"/>
    <w:rsid w:val="0001178F"/>
    <w:rsid w:val="0001494E"/>
    <w:rsid w:val="0001774B"/>
    <w:rsid w:val="00017AB0"/>
    <w:rsid w:val="000211B8"/>
    <w:rsid w:val="00023A9D"/>
    <w:rsid w:val="000263D9"/>
    <w:rsid w:val="00027272"/>
    <w:rsid w:val="00027C37"/>
    <w:rsid w:val="00030E27"/>
    <w:rsid w:val="0003308E"/>
    <w:rsid w:val="00034CAD"/>
    <w:rsid w:val="00035585"/>
    <w:rsid w:val="00035A87"/>
    <w:rsid w:val="00035C56"/>
    <w:rsid w:val="0003763B"/>
    <w:rsid w:val="0004020C"/>
    <w:rsid w:val="00040306"/>
    <w:rsid w:val="00040726"/>
    <w:rsid w:val="00040C81"/>
    <w:rsid w:val="00040FCB"/>
    <w:rsid w:val="00043760"/>
    <w:rsid w:val="00043DFD"/>
    <w:rsid w:val="000444E9"/>
    <w:rsid w:val="0004526F"/>
    <w:rsid w:val="000455B5"/>
    <w:rsid w:val="0004786B"/>
    <w:rsid w:val="00047ACF"/>
    <w:rsid w:val="00050F7B"/>
    <w:rsid w:val="00052C75"/>
    <w:rsid w:val="00052F7F"/>
    <w:rsid w:val="00055E9A"/>
    <w:rsid w:val="00057199"/>
    <w:rsid w:val="00057917"/>
    <w:rsid w:val="00057A10"/>
    <w:rsid w:val="00060F16"/>
    <w:rsid w:val="00063130"/>
    <w:rsid w:val="00065A1D"/>
    <w:rsid w:val="00067B19"/>
    <w:rsid w:val="0007102C"/>
    <w:rsid w:val="000715E3"/>
    <w:rsid w:val="000726E5"/>
    <w:rsid w:val="00072E0E"/>
    <w:rsid w:val="00073485"/>
    <w:rsid w:val="0007604C"/>
    <w:rsid w:val="00076423"/>
    <w:rsid w:val="00080089"/>
    <w:rsid w:val="000804A1"/>
    <w:rsid w:val="00081067"/>
    <w:rsid w:val="00083439"/>
    <w:rsid w:val="00083EDB"/>
    <w:rsid w:val="00084932"/>
    <w:rsid w:val="00084ED6"/>
    <w:rsid w:val="000852D4"/>
    <w:rsid w:val="000863EA"/>
    <w:rsid w:val="00087A37"/>
    <w:rsid w:val="00090174"/>
    <w:rsid w:val="00091A61"/>
    <w:rsid w:val="00096C1C"/>
    <w:rsid w:val="000A2183"/>
    <w:rsid w:val="000A269D"/>
    <w:rsid w:val="000A34BC"/>
    <w:rsid w:val="000A46CD"/>
    <w:rsid w:val="000A54C3"/>
    <w:rsid w:val="000A7560"/>
    <w:rsid w:val="000B0FD4"/>
    <w:rsid w:val="000B1E4F"/>
    <w:rsid w:val="000B2211"/>
    <w:rsid w:val="000B4E1A"/>
    <w:rsid w:val="000C27E7"/>
    <w:rsid w:val="000C30EE"/>
    <w:rsid w:val="000C3FAB"/>
    <w:rsid w:val="000C53E7"/>
    <w:rsid w:val="000C6471"/>
    <w:rsid w:val="000C64A1"/>
    <w:rsid w:val="000D32B4"/>
    <w:rsid w:val="000D37F0"/>
    <w:rsid w:val="000D420F"/>
    <w:rsid w:val="000D7ED0"/>
    <w:rsid w:val="000E088C"/>
    <w:rsid w:val="000E122A"/>
    <w:rsid w:val="000E3F67"/>
    <w:rsid w:val="000E46AF"/>
    <w:rsid w:val="000E5463"/>
    <w:rsid w:val="000E7244"/>
    <w:rsid w:val="000F0428"/>
    <w:rsid w:val="000F130F"/>
    <w:rsid w:val="000F15D2"/>
    <w:rsid w:val="000F23D3"/>
    <w:rsid w:val="000F27EB"/>
    <w:rsid w:val="000F5DE7"/>
    <w:rsid w:val="000F6B20"/>
    <w:rsid w:val="000F6D97"/>
    <w:rsid w:val="000F7BDB"/>
    <w:rsid w:val="001008B9"/>
    <w:rsid w:val="001029BB"/>
    <w:rsid w:val="00105DE4"/>
    <w:rsid w:val="00106030"/>
    <w:rsid w:val="00106256"/>
    <w:rsid w:val="001067D8"/>
    <w:rsid w:val="00113245"/>
    <w:rsid w:val="00114D84"/>
    <w:rsid w:val="00115581"/>
    <w:rsid w:val="0011604B"/>
    <w:rsid w:val="00120852"/>
    <w:rsid w:val="00121909"/>
    <w:rsid w:val="0012375A"/>
    <w:rsid w:val="00125DB8"/>
    <w:rsid w:val="0012655B"/>
    <w:rsid w:val="0012780B"/>
    <w:rsid w:val="00130A8E"/>
    <w:rsid w:val="00132B7B"/>
    <w:rsid w:val="00133659"/>
    <w:rsid w:val="00133F04"/>
    <w:rsid w:val="001340AE"/>
    <w:rsid w:val="0013574D"/>
    <w:rsid w:val="00135894"/>
    <w:rsid w:val="00135A1C"/>
    <w:rsid w:val="00136A4D"/>
    <w:rsid w:val="0014039C"/>
    <w:rsid w:val="001433C1"/>
    <w:rsid w:val="001446A7"/>
    <w:rsid w:val="00144F0F"/>
    <w:rsid w:val="00145E90"/>
    <w:rsid w:val="00146BEA"/>
    <w:rsid w:val="001471C6"/>
    <w:rsid w:val="0014781D"/>
    <w:rsid w:val="00147E6A"/>
    <w:rsid w:val="00151AE4"/>
    <w:rsid w:val="00151D42"/>
    <w:rsid w:val="00152530"/>
    <w:rsid w:val="0016055D"/>
    <w:rsid w:val="00161C85"/>
    <w:rsid w:val="00161D6A"/>
    <w:rsid w:val="0016605B"/>
    <w:rsid w:val="0016638F"/>
    <w:rsid w:val="0017055C"/>
    <w:rsid w:val="00174047"/>
    <w:rsid w:val="00174607"/>
    <w:rsid w:val="00174FB5"/>
    <w:rsid w:val="00175401"/>
    <w:rsid w:val="0018136E"/>
    <w:rsid w:val="00181CB8"/>
    <w:rsid w:val="00182D00"/>
    <w:rsid w:val="00183FF9"/>
    <w:rsid w:val="00185B55"/>
    <w:rsid w:val="00186A44"/>
    <w:rsid w:val="0019036B"/>
    <w:rsid w:val="001923C9"/>
    <w:rsid w:val="001927E2"/>
    <w:rsid w:val="001A0917"/>
    <w:rsid w:val="001A108C"/>
    <w:rsid w:val="001A12AD"/>
    <w:rsid w:val="001A13EA"/>
    <w:rsid w:val="001A4C02"/>
    <w:rsid w:val="001A5E1A"/>
    <w:rsid w:val="001A6563"/>
    <w:rsid w:val="001B0414"/>
    <w:rsid w:val="001B1776"/>
    <w:rsid w:val="001B1A6E"/>
    <w:rsid w:val="001B1C17"/>
    <w:rsid w:val="001B3AAC"/>
    <w:rsid w:val="001B44EE"/>
    <w:rsid w:val="001B4A26"/>
    <w:rsid w:val="001C5950"/>
    <w:rsid w:val="001C5E3B"/>
    <w:rsid w:val="001D0EDB"/>
    <w:rsid w:val="001D1C06"/>
    <w:rsid w:val="001D3061"/>
    <w:rsid w:val="001D559E"/>
    <w:rsid w:val="001D65C2"/>
    <w:rsid w:val="001D78D7"/>
    <w:rsid w:val="001E1EB0"/>
    <w:rsid w:val="001E2E85"/>
    <w:rsid w:val="001E34A2"/>
    <w:rsid w:val="001E6463"/>
    <w:rsid w:val="001E7143"/>
    <w:rsid w:val="001F1D43"/>
    <w:rsid w:val="001F2387"/>
    <w:rsid w:val="001F30D0"/>
    <w:rsid w:val="001F4F1A"/>
    <w:rsid w:val="001F584D"/>
    <w:rsid w:val="001F5BC9"/>
    <w:rsid w:val="001F7334"/>
    <w:rsid w:val="00200004"/>
    <w:rsid w:val="00200185"/>
    <w:rsid w:val="0020207B"/>
    <w:rsid w:val="00203100"/>
    <w:rsid w:val="00206EE0"/>
    <w:rsid w:val="00210667"/>
    <w:rsid w:val="00211988"/>
    <w:rsid w:val="00212402"/>
    <w:rsid w:val="00212CE8"/>
    <w:rsid w:val="00214802"/>
    <w:rsid w:val="002167E8"/>
    <w:rsid w:val="002175DD"/>
    <w:rsid w:val="002179DB"/>
    <w:rsid w:val="00220791"/>
    <w:rsid w:val="00227743"/>
    <w:rsid w:val="002278EC"/>
    <w:rsid w:val="002306F8"/>
    <w:rsid w:val="0023226A"/>
    <w:rsid w:val="00234BA5"/>
    <w:rsid w:val="002358EF"/>
    <w:rsid w:val="002371D4"/>
    <w:rsid w:val="00237D25"/>
    <w:rsid w:val="00240B39"/>
    <w:rsid w:val="0024233D"/>
    <w:rsid w:val="002471B0"/>
    <w:rsid w:val="0025228B"/>
    <w:rsid w:val="00252C77"/>
    <w:rsid w:val="002536E1"/>
    <w:rsid w:val="00253A3E"/>
    <w:rsid w:val="00254A8E"/>
    <w:rsid w:val="00255987"/>
    <w:rsid w:val="00256AAA"/>
    <w:rsid w:val="00257F47"/>
    <w:rsid w:val="0026088B"/>
    <w:rsid w:val="00263487"/>
    <w:rsid w:val="00263FF2"/>
    <w:rsid w:val="00265B27"/>
    <w:rsid w:val="00271831"/>
    <w:rsid w:val="00273B2E"/>
    <w:rsid w:val="002749AB"/>
    <w:rsid w:val="00274FF7"/>
    <w:rsid w:val="0027631F"/>
    <w:rsid w:val="0028162D"/>
    <w:rsid w:val="002824FB"/>
    <w:rsid w:val="00284893"/>
    <w:rsid w:val="00287178"/>
    <w:rsid w:val="0028723C"/>
    <w:rsid w:val="002908C8"/>
    <w:rsid w:val="00291E67"/>
    <w:rsid w:val="002930D6"/>
    <w:rsid w:val="00293F0D"/>
    <w:rsid w:val="0029690D"/>
    <w:rsid w:val="0029720D"/>
    <w:rsid w:val="002A07E6"/>
    <w:rsid w:val="002A5A2E"/>
    <w:rsid w:val="002B06BF"/>
    <w:rsid w:val="002B0BCB"/>
    <w:rsid w:val="002B1838"/>
    <w:rsid w:val="002C003D"/>
    <w:rsid w:val="002C032F"/>
    <w:rsid w:val="002C196E"/>
    <w:rsid w:val="002C22D2"/>
    <w:rsid w:val="002C34CC"/>
    <w:rsid w:val="002C3CEA"/>
    <w:rsid w:val="002C4523"/>
    <w:rsid w:val="002C757C"/>
    <w:rsid w:val="002C7E4C"/>
    <w:rsid w:val="002D1215"/>
    <w:rsid w:val="002D2816"/>
    <w:rsid w:val="002D2A8E"/>
    <w:rsid w:val="002D66E2"/>
    <w:rsid w:val="002D6A32"/>
    <w:rsid w:val="002D6FAB"/>
    <w:rsid w:val="002D731A"/>
    <w:rsid w:val="002D73E4"/>
    <w:rsid w:val="002D775F"/>
    <w:rsid w:val="002D7E7D"/>
    <w:rsid w:val="002E0016"/>
    <w:rsid w:val="002E1020"/>
    <w:rsid w:val="002E440A"/>
    <w:rsid w:val="002F13A6"/>
    <w:rsid w:val="002F18E5"/>
    <w:rsid w:val="002F194B"/>
    <w:rsid w:val="002F1CEB"/>
    <w:rsid w:val="002F4476"/>
    <w:rsid w:val="002F61BB"/>
    <w:rsid w:val="002F6B45"/>
    <w:rsid w:val="002F6C51"/>
    <w:rsid w:val="00300CDE"/>
    <w:rsid w:val="00303698"/>
    <w:rsid w:val="00303D6C"/>
    <w:rsid w:val="0030554C"/>
    <w:rsid w:val="0030651F"/>
    <w:rsid w:val="00306809"/>
    <w:rsid w:val="003102F6"/>
    <w:rsid w:val="003104AE"/>
    <w:rsid w:val="003111E5"/>
    <w:rsid w:val="00313551"/>
    <w:rsid w:val="003138F9"/>
    <w:rsid w:val="00313DEC"/>
    <w:rsid w:val="0031757F"/>
    <w:rsid w:val="0031779C"/>
    <w:rsid w:val="00317A7F"/>
    <w:rsid w:val="00321E37"/>
    <w:rsid w:val="003267D3"/>
    <w:rsid w:val="003272AA"/>
    <w:rsid w:val="0032782F"/>
    <w:rsid w:val="00327A57"/>
    <w:rsid w:val="003315DF"/>
    <w:rsid w:val="0033236D"/>
    <w:rsid w:val="00332C11"/>
    <w:rsid w:val="0033340C"/>
    <w:rsid w:val="003342F7"/>
    <w:rsid w:val="00335344"/>
    <w:rsid w:val="00335A1F"/>
    <w:rsid w:val="00336AAF"/>
    <w:rsid w:val="00336E3C"/>
    <w:rsid w:val="0033778D"/>
    <w:rsid w:val="00337DA1"/>
    <w:rsid w:val="00340B33"/>
    <w:rsid w:val="0034186D"/>
    <w:rsid w:val="00341C35"/>
    <w:rsid w:val="003421EF"/>
    <w:rsid w:val="00342DD3"/>
    <w:rsid w:val="0034365D"/>
    <w:rsid w:val="003468CD"/>
    <w:rsid w:val="0034728A"/>
    <w:rsid w:val="00347D01"/>
    <w:rsid w:val="00352741"/>
    <w:rsid w:val="00353B9D"/>
    <w:rsid w:val="003546B3"/>
    <w:rsid w:val="00355887"/>
    <w:rsid w:val="003561D5"/>
    <w:rsid w:val="00356F6B"/>
    <w:rsid w:val="003571EA"/>
    <w:rsid w:val="00357F17"/>
    <w:rsid w:val="00360855"/>
    <w:rsid w:val="00362F3F"/>
    <w:rsid w:val="00363661"/>
    <w:rsid w:val="0037044C"/>
    <w:rsid w:val="0037053A"/>
    <w:rsid w:val="00371C1C"/>
    <w:rsid w:val="00373C9A"/>
    <w:rsid w:val="003827FA"/>
    <w:rsid w:val="0038283A"/>
    <w:rsid w:val="00382C5F"/>
    <w:rsid w:val="003848A1"/>
    <w:rsid w:val="00385CE7"/>
    <w:rsid w:val="00390AE9"/>
    <w:rsid w:val="00392166"/>
    <w:rsid w:val="0039382D"/>
    <w:rsid w:val="00393C99"/>
    <w:rsid w:val="00395A27"/>
    <w:rsid w:val="003969B0"/>
    <w:rsid w:val="00397CA9"/>
    <w:rsid w:val="003A0D76"/>
    <w:rsid w:val="003A0F57"/>
    <w:rsid w:val="003A1EE7"/>
    <w:rsid w:val="003A44EC"/>
    <w:rsid w:val="003A610C"/>
    <w:rsid w:val="003B270F"/>
    <w:rsid w:val="003B4F05"/>
    <w:rsid w:val="003B530B"/>
    <w:rsid w:val="003C0FDC"/>
    <w:rsid w:val="003C1A36"/>
    <w:rsid w:val="003C651F"/>
    <w:rsid w:val="003D142F"/>
    <w:rsid w:val="003D2027"/>
    <w:rsid w:val="003D238A"/>
    <w:rsid w:val="003D3FA6"/>
    <w:rsid w:val="003D4DBE"/>
    <w:rsid w:val="003D6ABD"/>
    <w:rsid w:val="003D7278"/>
    <w:rsid w:val="003E1E47"/>
    <w:rsid w:val="003E38AC"/>
    <w:rsid w:val="003E3C48"/>
    <w:rsid w:val="003E4155"/>
    <w:rsid w:val="003E5297"/>
    <w:rsid w:val="003E5965"/>
    <w:rsid w:val="003E6E01"/>
    <w:rsid w:val="003F0D0B"/>
    <w:rsid w:val="003F2214"/>
    <w:rsid w:val="003F227D"/>
    <w:rsid w:val="003F4353"/>
    <w:rsid w:val="003F5321"/>
    <w:rsid w:val="003F7BA5"/>
    <w:rsid w:val="00400667"/>
    <w:rsid w:val="00402BAE"/>
    <w:rsid w:val="00403AAA"/>
    <w:rsid w:val="0040486F"/>
    <w:rsid w:val="0040623D"/>
    <w:rsid w:val="00411B0E"/>
    <w:rsid w:val="004122BE"/>
    <w:rsid w:val="00412330"/>
    <w:rsid w:val="00415826"/>
    <w:rsid w:val="00416D3A"/>
    <w:rsid w:val="00417CD2"/>
    <w:rsid w:val="004236CA"/>
    <w:rsid w:val="00427DF4"/>
    <w:rsid w:val="00431276"/>
    <w:rsid w:val="004312FD"/>
    <w:rsid w:val="004326BF"/>
    <w:rsid w:val="004326F6"/>
    <w:rsid w:val="004329A2"/>
    <w:rsid w:val="00434BC1"/>
    <w:rsid w:val="00434FEF"/>
    <w:rsid w:val="00435014"/>
    <w:rsid w:val="00435088"/>
    <w:rsid w:val="00435F12"/>
    <w:rsid w:val="00436FF9"/>
    <w:rsid w:val="00437066"/>
    <w:rsid w:val="00437905"/>
    <w:rsid w:val="004431A9"/>
    <w:rsid w:val="00443988"/>
    <w:rsid w:val="00444F92"/>
    <w:rsid w:val="0044581F"/>
    <w:rsid w:val="00445DAB"/>
    <w:rsid w:val="00446D49"/>
    <w:rsid w:val="00447564"/>
    <w:rsid w:val="00450C3C"/>
    <w:rsid w:val="004529D5"/>
    <w:rsid w:val="0046260A"/>
    <w:rsid w:val="00462BE0"/>
    <w:rsid w:val="004651BE"/>
    <w:rsid w:val="004664E8"/>
    <w:rsid w:val="00470084"/>
    <w:rsid w:val="00471AEE"/>
    <w:rsid w:val="00473C2D"/>
    <w:rsid w:val="0047645E"/>
    <w:rsid w:val="00477B30"/>
    <w:rsid w:val="004804E8"/>
    <w:rsid w:val="004805D3"/>
    <w:rsid w:val="00480893"/>
    <w:rsid w:val="00483830"/>
    <w:rsid w:val="004855AA"/>
    <w:rsid w:val="00485907"/>
    <w:rsid w:val="004860E2"/>
    <w:rsid w:val="004865F5"/>
    <w:rsid w:val="00486E3F"/>
    <w:rsid w:val="00490010"/>
    <w:rsid w:val="00490669"/>
    <w:rsid w:val="00491C6B"/>
    <w:rsid w:val="0049245D"/>
    <w:rsid w:val="00492A6B"/>
    <w:rsid w:val="00493B78"/>
    <w:rsid w:val="00493BE9"/>
    <w:rsid w:val="00496077"/>
    <w:rsid w:val="0049697D"/>
    <w:rsid w:val="00496F09"/>
    <w:rsid w:val="00497D96"/>
    <w:rsid w:val="004A015D"/>
    <w:rsid w:val="004A1A27"/>
    <w:rsid w:val="004A1D46"/>
    <w:rsid w:val="004A2F1A"/>
    <w:rsid w:val="004A39C0"/>
    <w:rsid w:val="004A45C2"/>
    <w:rsid w:val="004A69C4"/>
    <w:rsid w:val="004A703E"/>
    <w:rsid w:val="004B0445"/>
    <w:rsid w:val="004B0673"/>
    <w:rsid w:val="004B0719"/>
    <w:rsid w:val="004B1453"/>
    <w:rsid w:val="004B17D6"/>
    <w:rsid w:val="004B32BF"/>
    <w:rsid w:val="004B3593"/>
    <w:rsid w:val="004B6CBB"/>
    <w:rsid w:val="004C0D0D"/>
    <w:rsid w:val="004C21AA"/>
    <w:rsid w:val="004C47A7"/>
    <w:rsid w:val="004C5375"/>
    <w:rsid w:val="004C5663"/>
    <w:rsid w:val="004C588B"/>
    <w:rsid w:val="004C7953"/>
    <w:rsid w:val="004C7CD4"/>
    <w:rsid w:val="004D0070"/>
    <w:rsid w:val="004D17E6"/>
    <w:rsid w:val="004D532E"/>
    <w:rsid w:val="004D752E"/>
    <w:rsid w:val="004D7B5A"/>
    <w:rsid w:val="004E063E"/>
    <w:rsid w:val="004E1EB3"/>
    <w:rsid w:val="004E3DB7"/>
    <w:rsid w:val="004E4EA1"/>
    <w:rsid w:val="004E5831"/>
    <w:rsid w:val="004E62B6"/>
    <w:rsid w:val="004E6551"/>
    <w:rsid w:val="004E66FE"/>
    <w:rsid w:val="004E67BF"/>
    <w:rsid w:val="004F0C7A"/>
    <w:rsid w:val="004F31BA"/>
    <w:rsid w:val="004F6205"/>
    <w:rsid w:val="004F6A77"/>
    <w:rsid w:val="00500DA9"/>
    <w:rsid w:val="005027FF"/>
    <w:rsid w:val="00502E85"/>
    <w:rsid w:val="0050316F"/>
    <w:rsid w:val="00504EEA"/>
    <w:rsid w:val="00514579"/>
    <w:rsid w:val="0051488C"/>
    <w:rsid w:val="00522D2C"/>
    <w:rsid w:val="00524CBB"/>
    <w:rsid w:val="00525503"/>
    <w:rsid w:val="00525BCE"/>
    <w:rsid w:val="005306C2"/>
    <w:rsid w:val="0053116F"/>
    <w:rsid w:val="00532242"/>
    <w:rsid w:val="00532C81"/>
    <w:rsid w:val="00533784"/>
    <w:rsid w:val="0053623B"/>
    <w:rsid w:val="00536A10"/>
    <w:rsid w:val="00536BDE"/>
    <w:rsid w:val="00536FB1"/>
    <w:rsid w:val="00540BB7"/>
    <w:rsid w:val="005422B5"/>
    <w:rsid w:val="005433A4"/>
    <w:rsid w:val="00543B91"/>
    <w:rsid w:val="00543EFB"/>
    <w:rsid w:val="00544299"/>
    <w:rsid w:val="005449E3"/>
    <w:rsid w:val="00544DB9"/>
    <w:rsid w:val="005474B5"/>
    <w:rsid w:val="00547B5D"/>
    <w:rsid w:val="00547C19"/>
    <w:rsid w:val="00551234"/>
    <w:rsid w:val="00553477"/>
    <w:rsid w:val="00554F6F"/>
    <w:rsid w:val="00560395"/>
    <w:rsid w:val="005614C2"/>
    <w:rsid w:val="00562176"/>
    <w:rsid w:val="005642AD"/>
    <w:rsid w:val="005644D4"/>
    <w:rsid w:val="00565A48"/>
    <w:rsid w:val="00566CB6"/>
    <w:rsid w:val="005678A3"/>
    <w:rsid w:val="00570792"/>
    <w:rsid w:val="00570962"/>
    <w:rsid w:val="0057608C"/>
    <w:rsid w:val="005827F9"/>
    <w:rsid w:val="0058413F"/>
    <w:rsid w:val="005849E9"/>
    <w:rsid w:val="00585A85"/>
    <w:rsid w:val="00587580"/>
    <w:rsid w:val="00590758"/>
    <w:rsid w:val="005907D6"/>
    <w:rsid w:val="00590832"/>
    <w:rsid w:val="00590A01"/>
    <w:rsid w:val="00594499"/>
    <w:rsid w:val="00594D93"/>
    <w:rsid w:val="0059502F"/>
    <w:rsid w:val="00596054"/>
    <w:rsid w:val="005966EC"/>
    <w:rsid w:val="005A11E5"/>
    <w:rsid w:val="005A1B0B"/>
    <w:rsid w:val="005A5467"/>
    <w:rsid w:val="005A5C2F"/>
    <w:rsid w:val="005B0303"/>
    <w:rsid w:val="005B082A"/>
    <w:rsid w:val="005B15DD"/>
    <w:rsid w:val="005B1C41"/>
    <w:rsid w:val="005B1E51"/>
    <w:rsid w:val="005B24F2"/>
    <w:rsid w:val="005B5060"/>
    <w:rsid w:val="005B50E5"/>
    <w:rsid w:val="005C060C"/>
    <w:rsid w:val="005C06BD"/>
    <w:rsid w:val="005C0949"/>
    <w:rsid w:val="005C3343"/>
    <w:rsid w:val="005C3DB9"/>
    <w:rsid w:val="005C7294"/>
    <w:rsid w:val="005D299E"/>
    <w:rsid w:val="005D29AD"/>
    <w:rsid w:val="005D3D60"/>
    <w:rsid w:val="005D6F04"/>
    <w:rsid w:val="005D78D3"/>
    <w:rsid w:val="005E0CE8"/>
    <w:rsid w:val="005E16F1"/>
    <w:rsid w:val="005E18CB"/>
    <w:rsid w:val="005E4385"/>
    <w:rsid w:val="005E4B2F"/>
    <w:rsid w:val="005E5D3E"/>
    <w:rsid w:val="005E764D"/>
    <w:rsid w:val="005F290C"/>
    <w:rsid w:val="00600F63"/>
    <w:rsid w:val="0060354C"/>
    <w:rsid w:val="00606528"/>
    <w:rsid w:val="006072D6"/>
    <w:rsid w:val="006073B1"/>
    <w:rsid w:val="0060778D"/>
    <w:rsid w:val="00610DA5"/>
    <w:rsid w:val="006113C9"/>
    <w:rsid w:val="00611756"/>
    <w:rsid w:val="006133EF"/>
    <w:rsid w:val="00613EBB"/>
    <w:rsid w:val="006143F5"/>
    <w:rsid w:val="00620625"/>
    <w:rsid w:val="0062075F"/>
    <w:rsid w:val="006207BA"/>
    <w:rsid w:val="00621497"/>
    <w:rsid w:val="006230E4"/>
    <w:rsid w:val="006233EB"/>
    <w:rsid w:val="006234DF"/>
    <w:rsid w:val="00624FD2"/>
    <w:rsid w:val="00626BE7"/>
    <w:rsid w:val="00630340"/>
    <w:rsid w:val="00632053"/>
    <w:rsid w:val="00632FB0"/>
    <w:rsid w:val="00634DE4"/>
    <w:rsid w:val="0063531C"/>
    <w:rsid w:val="0063566A"/>
    <w:rsid w:val="006366FD"/>
    <w:rsid w:val="00637B31"/>
    <w:rsid w:val="0064001D"/>
    <w:rsid w:val="00640111"/>
    <w:rsid w:val="00642059"/>
    <w:rsid w:val="00642A3F"/>
    <w:rsid w:val="00643CD5"/>
    <w:rsid w:val="00645896"/>
    <w:rsid w:val="00646CBA"/>
    <w:rsid w:val="00647775"/>
    <w:rsid w:val="0064782A"/>
    <w:rsid w:val="006479A3"/>
    <w:rsid w:val="006479BB"/>
    <w:rsid w:val="00647CB6"/>
    <w:rsid w:val="00647DF1"/>
    <w:rsid w:val="00651BC5"/>
    <w:rsid w:val="00661D75"/>
    <w:rsid w:val="006635E1"/>
    <w:rsid w:val="00664DED"/>
    <w:rsid w:val="006652EC"/>
    <w:rsid w:val="006657F1"/>
    <w:rsid w:val="006659C7"/>
    <w:rsid w:val="0066619E"/>
    <w:rsid w:val="00666B0A"/>
    <w:rsid w:val="0067028A"/>
    <w:rsid w:val="0067321F"/>
    <w:rsid w:val="00673671"/>
    <w:rsid w:val="006754ED"/>
    <w:rsid w:val="006756D7"/>
    <w:rsid w:val="00680D13"/>
    <w:rsid w:val="00681BDC"/>
    <w:rsid w:val="00681F25"/>
    <w:rsid w:val="00683A6E"/>
    <w:rsid w:val="00686024"/>
    <w:rsid w:val="0068605F"/>
    <w:rsid w:val="00690128"/>
    <w:rsid w:val="0069149E"/>
    <w:rsid w:val="006916BA"/>
    <w:rsid w:val="006934B3"/>
    <w:rsid w:val="006934E4"/>
    <w:rsid w:val="00694662"/>
    <w:rsid w:val="00694A55"/>
    <w:rsid w:val="0069648C"/>
    <w:rsid w:val="006968F3"/>
    <w:rsid w:val="00697DFD"/>
    <w:rsid w:val="006A383E"/>
    <w:rsid w:val="006A56AF"/>
    <w:rsid w:val="006A749E"/>
    <w:rsid w:val="006A77B0"/>
    <w:rsid w:val="006B23A8"/>
    <w:rsid w:val="006B5359"/>
    <w:rsid w:val="006B71C6"/>
    <w:rsid w:val="006C0568"/>
    <w:rsid w:val="006C3F71"/>
    <w:rsid w:val="006C4338"/>
    <w:rsid w:val="006C4826"/>
    <w:rsid w:val="006C491E"/>
    <w:rsid w:val="006C735C"/>
    <w:rsid w:val="006C74AA"/>
    <w:rsid w:val="006C7CA7"/>
    <w:rsid w:val="006D2C08"/>
    <w:rsid w:val="006D2E34"/>
    <w:rsid w:val="006D3361"/>
    <w:rsid w:val="006D5730"/>
    <w:rsid w:val="006D79DC"/>
    <w:rsid w:val="006E02BF"/>
    <w:rsid w:val="006E0E24"/>
    <w:rsid w:val="006E0FC0"/>
    <w:rsid w:val="006E1A4D"/>
    <w:rsid w:val="006E3B29"/>
    <w:rsid w:val="006E69DA"/>
    <w:rsid w:val="006E6EAF"/>
    <w:rsid w:val="006F2730"/>
    <w:rsid w:val="006F668D"/>
    <w:rsid w:val="006F7B35"/>
    <w:rsid w:val="00701CD8"/>
    <w:rsid w:val="00706359"/>
    <w:rsid w:val="00710881"/>
    <w:rsid w:val="00710CE5"/>
    <w:rsid w:val="00711B03"/>
    <w:rsid w:val="00713A87"/>
    <w:rsid w:val="00714B5F"/>
    <w:rsid w:val="0071721C"/>
    <w:rsid w:val="00717E51"/>
    <w:rsid w:val="007207E1"/>
    <w:rsid w:val="00723A3A"/>
    <w:rsid w:val="00724293"/>
    <w:rsid w:val="0072480E"/>
    <w:rsid w:val="00725B5C"/>
    <w:rsid w:val="00725BB7"/>
    <w:rsid w:val="007270AC"/>
    <w:rsid w:val="00731EAC"/>
    <w:rsid w:val="0073236A"/>
    <w:rsid w:val="00735714"/>
    <w:rsid w:val="00736CA7"/>
    <w:rsid w:val="00736FFC"/>
    <w:rsid w:val="00740233"/>
    <w:rsid w:val="007406AD"/>
    <w:rsid w:val="0074164D"/>
    <w:rsid w:val="00746F61"/>
    <w:rsid w:val="007479A0"/>
    <w:rsid w:val="00750A2C"/>
    <w:rsid w:val="00750D37"/>
    <w:rsid w:val="007511F4"/>
    <w:rsid w:val="00751E8E"/>
    <w:rsid w:val="00752153"/>
    <w:rsid w:val="0075250C"/>
    <w:rsid w:val="00753476"/>
    <w:rsid w:val="00753AD6"/>
    <w:rsid w:val="007540A6"/>
    <w:rsid w:val="00756895"/>
    <w:rsid w:val="007579B8"/>
    <w:rsid w:val="00764789"/>
    <w:rsid w:val="0076613F"/>
    <w:rsid w:val="00766EA1"/>
    <w:rsid w:val="0076713B"/>
    <w:rsid w:val="0077058F"/>
    <w:rsid w:val="00771D5D"/>
    <w:rsid w:val="00772183"/>
    <w:rsid w:val="00772408"/>
    <w:rsid w:val="007735E5"/>
    <w:rsid w:val="007743A6"/>
    <w:rsid w:val="00774E70"/>
    <w:rsid w:val="00775EA6"/>
    <w:rsid w:val="0077769F"/>
    <w:rsid w:val="00780BC0"/>
    <w:rsid w:val="0078103D"/>
    <w:rsid w:val="00781562"/>
    <w:rsid w:val="00782D25"/>
    <w:rsid w:val="0078327D"/>
    <w:rsid w:val="00786929"/>
    <w:rsid w:val="00792F21"/>
    <w:rsid w:val="00793DD0"/>
    <w:rsid w:val="007956C0"/>
    <w:rsid w:val="00795D36"/>
    <w:rsid w:val="0079622C"/>
    <w:rsid w:val="007975F8"/>
    <w:rsid w:val="007979F4"/>
    <w:rsid w:val="007A1011"/>
    <w:rsid w:val="007A169B"/>
    <w:rsid w:val="007A32ED"/>
    <w:rsid w:val="007A349C"/>
    <w:rsid w:val="007A3E04"/>
    <w:rsid w:val="007A4E4D"/>
    <w:rsid w:val="007A4F55"/>
    <w:rsid w:val="007A61D3"/>
    <w:rsid w:val="007B221D"/>
    <w:rsid w:val="007B29A5"/>
    <w:rsid w:val="007B2B4F"/>
    <w:rsid w:val="007C0566"/>
    <w:rsid w:val="007C1F59"/>
    <w:rsid w:val="007C4805"/>
    <w:rsid w:val="007C5742"/>
    <w:rsid w:val="007C5BDA"/>
    <w:rsid w:val="007C6CCD"/>
    <w:rsid w:val="007C733B"/>
    <w:rsid w:val="007D0B3C"/>
    <w:rsid w:val="007D17AA"/>
    <w:rsid w:val="007D41E3"/>
    <w:rsid w:val="007D46A2"/>
    <w:rsid w:val="007E3C72"/>
    <w:rsid w:val="007E3C7B"/>
    <w:rsid w:val="007E48B6"/>
    <w:rsid w:val="007E48F6"/>
    <w:rsid w:val="007E50E4"/>
    <w:rsid w:val="007E5993"/>
    <w:rsid w:val="007F011F"/>
    <w:rsid w:val="007F1154"/>
    <w:rsid w:val="007F2689"/>
    <w:rsid w:val="007F3555"/>
    <w:rsid w:val="007F4C9C"/>
    <w:rsid w:val="007F4D14"/>
    <w:rsid w:val="007F5167"/>
    <w:rsid w:val="007F6A47"/>
    <w:rsid w:val="00800ABF"/>
    <w:rsid w:val="00804215"/>
    <w:rsid w:val="00812D08"/>
    <w:rsid w:val="00813F58"/>
    <w:rsid w:val="0081516D"/>
    <w:rsid w:val="00817F76"/>
    <w:rsid w:val="00822675"/>
    <w:rsid w:val="00823E92"/>
    <w:rsid w:val="00825232"/>
    <w:rsid w:val="0082646E"/>
    <w:rsid w:val="00826C2F"/>
    <w:rsid w:val="00827065"/>
    <w:rsid w:val="00830B66"/>
    <w:rsid w:val="00832C58"/>
    <w:rsid w:val="00833141"/>
    <w:rsid w:val="008354BF"/>
    <w:rsid w:val="00836C83"/>
    <w:rsid w:val="00837C64"/>
    <w:rsid w:val="008415FB"/>
    <w:rsid w:val="00841DCC"/>
    <w:rsid w:val="00843480"/>
    <w:rsid w:val="00844C54"/>
    <w:rsid w:val="00846F30"/>
    <w:rsid w:val="00847C1D"/>
    <w:rsid w:val="00850824"/>
    <w:rsid w:val="008533C4"/>
    <w:rsid w:val="00854470"/>
    <w:rsid w:val="0085686B"/>
    <w:rsid w:val="00861B1C"/>
    <w:rsid w:val="00861F13"/>
    <w:rsid w:val="00862C2B"/>
    <w:rsid w:val="00862F6B"/>
    <w:rsid w:val="00865241"/>
    <w:rsid w:val="008672CB"/>
    <w:rsid w:val="00870121"/>
    <w:rsid w:val="00870A1A"/>
    <w:rsid w:val="00871983"/>
    <w:rsid w:val="00872344"/>
    <w:rsid w:val="0087413A"/>
    <w:rsid w:val="00874AB0"/>
    <w:rsid w:val="00875B65"/>
    <w:rsid w:val="008764A2"/>
    <w:rsid w:val="008772CB"/>
    <w:rsid w:val="00877B03"/>
    <w:rsid w:val="00880F16"/>
    <w:rsid w:val="00881888"/>
    <w:rsid w:val="0088228C"/>
    <w:rsid w:val="00883308"/>
    <w:rsid w:val="0088353C"/>
    <w:rsid w:val="00883B64"/>
    <w:rsid w:val="0088434D"/>
    <w:rsid w:val="00884C27"/>
    <w:rsid w:val="0088522F"/>
    <w:rsid w:val="00891F46"/>
    <w:rsid w:val="008922C9"/>
    <w:rsid w:val="008925EF"/>
    <w:rsid w:val="00892605"/>
    <w:rsid w:val="008937DA"/>
    <w:rsid w:val="00894C3C"/>
    <w:rsid w:val="0089564C"/>
    <w:rsid w:val="00895D2C"/>
    <w:rsid w:val="0089646E"/>
    <w:rsid w:val="00897D91"/>
    <w:rsid w:val="008A0D0E"/>
    <w:rsid w:val="008A271F"/>
    <w:rsid w:val="008A34A6"/>
    <w:rsid w:val="008A6D28"/>
    <w:rsid w:val="008B195B"/>
    <w:rsid w:val="008B1CBD"/>
    <w:rsid w:val="008B3CBD"/>
    <w:rsid w:val="008B492A"/>
    <w:rsid w:val="008B5023"/>
    <w:rsid w:val="008B52AF"/>
    <w:rsid w:val="008C0F8E"/>
    <w:rsid w:val="008C14D6"/>
    <w:rsid w:val="008C1BEC"/>
    <w:rsid w:val="008C349E"/>
    <w:rsid w:val="008C4414"/>
    <w:rsid w:val="008C4425"/>
    <w:rsid w:val="008C511A"/>
    <w:rsid w:val="008C5BE3"/>
    <w:rsid w:val="008C6952"/>
    <w:rsid w:val="008D0CD0"/>
    <w:rsid w:val="008D1B23"/>
    <w:rsid w:val="008D534F"/>
    <w:rsid w:val="008D5691"/>
    <w:rsid w:val="008D59C9"/>
    <w:rsid w:val="008D6A52"/>
    <w:rsid w:val="008D7A0C"/>
    <w:rsid w:val="008E3AC1"/>
    <w:rsid w:val="008E53C8"/>
    <w:rsid w:val="008E5805"/>
    <w:rsid w:val="008E5EF3"/>
    <w:rsid w:val="008E60A1"/>
    <w:rsid w:val="008E743A"/>
    <w:rsid w:val="008F3308"/>
    <w:rsid w:val="008F3480"/>
    <w:rsid w:val="008F573B"/>
    <w:rsid w:val="008F623A"/>
    <w:rsid w:val="008F793F"/>
    <w:rsid w:val="008F7C55"/>
    <w:rsid w:val="0090175A"/>
    <w:rsid w:val="009035B6"/>
    <w:rsid w:val="00903684"/>
    <w:rsid w:val="009043CE"/>
    <w:rsid w:val="009049E4"/>
    <w:rsid w:val="00905515"/>
    <w:rsid w:val="009109A4"/>
    <w:rsid w:val="009134FB"/>
    <w:rsid w:val="0091782F"/>
    <w:rsid w:val="009224CB"/>
    <w:rsid w:val="009235C5"/>
    <w:rsid w:val="00927CA5"/>
    <w:rsid w:val="009303DA"/>
    <w:rsid w:val="00930E74"/>
    <w:rsid w:val="00931243"/>
    <w:rsid w:val="00932209"/>
    <w:rsid w:val="00933B4C"/>
    <w:rsid w:val="00937F31"/>
    <w:rsid w:val="00937F8B"/>
    <w:rsid w:val="009404BD"/>
    <w:rsid w:val="0094052C"/>
    <w:rsid w:val="00941247"/>
    <w:rsid w:val="00941C79"/>
    <w:rsid w:val="009436E3"/>
    <w:rsid w:val="00944603"/>
    <w:rsid w:val="0094701F"/>
    <w:rsid w:val="0094756C"/>
    <w:rsid w:val="00947993"/>
    <w:rsid w:val="00951DAD"/>
    <w:rsid w:val="00960819"/>
    <w:rsid w:val="00961386"/>
    <w:rsid w:val="00962C1F"/>
    <w:rsid w:val="00964EE1"/>
    <w:rsid w:val="00965799"/>
    <w:rsid w:val="00966178"/>
    <w:rsid w:val="009662E9"/>
    <w:rsid w:val="00966AE5"/>
    <w:rsid w:val="00967342"/>
    <w:rsid w:val="00967687"/>
    <w:rsid w:val="00970113"/>
    <w:rsid w:val="00971F03"/>
    <w:rsid w:val="00972196"/>
    <w:rsid w:val="00972605"/>
    <w:rsid w:val="00975D6A"/>
    <w:rsid w:val="00981BA0"/>
    <w:rsid w:val="009848F2"/>
    <w:rsid w:val="00985EEB"/>
    <w:rsid w:val="0099000A"/>
    <w:rsid w:val="0099016F"/>
    <w:rsid w:val="009909EC"/>
    <w:rsid w:val="00990F82"/>
    <w:rsid w:val="009937AE"/>
    <w:rsid w:val="00993A0E"/>
    <w:rsid w:val="009943CE"/>
    <w:rsid w:val="0099542D"/>
    <w:rsid w:val="00996915"/>
    <w:rsid w:val="009A0C4F"/>
    <w:rsid w:val="009A1DB9"/>
    <w:rsid w:val="009A369A"/>
    <w:rsid w:val="009A3DB0"/>
    <w:rsid w:val="009B02AB"/>
    <w:rsid w:val="009B0EB5"/>
    <w:rsid w:val="009B1506"/>
    <w:rsid w:val="009B1668"/>
    <w:rsid w:val="009B1865"/>
    <w:rsid w:val="009B215A"/>
    <w:rsid w:val="009B2FF9"/>
    <w:rsid w:val="009B5782"/>
    <w:rsid w:val="009C08A4"/>
    <w:rsid w:val="009C1306"/>
    <w:rsid w:val="009C4270"/>
    <w:rsid w:val="009C54F7"/>
    <w:rsid w:val="009C56B9"/>
    <w:rsid w:val="009D0605"/>
    <w:rsid w:val="009D1D3B"/>
    <w:rsid w:val="009D1EC8"/>
    <w:rsid w:val="009D28AE"/>
    <w:rsid w:val="009D30F3"/>
    <w:rsid w:val="009D498C"/>
    <w:rsid w:val="009D7F46"/>
    <w:rsid w:val="009E2270"/>
    <w:rsid w:val="009E272D"/>
    <w:rsid w:val="009E362E"/>
    <w:rsid w:val="009F0426"/>
    <w:rsid w:val="009F0984"/>
    <w:rsid w:val="009F112C"/>
    <w:rsid w:val="009F4031"/>
    <w:rsid w:val="009F6092"/>
    <w:rsid w:val="009F6307"/>
    <w:rsid w:val="009F6C4B"/>
    <w:rsid w:val="009F728F"/>
    <w:rsid w:val="00A0032F"/>
    <w:rsid w:val="00A01490"/>
    <w:rsid w:val="00A02071"/>
    <w:rsid w:val="00A02ED4"/>
    <w:rsid w:val="00A03005"/>
    <w:rsid w:val="00A046BF"/>
    <w:rsid w:val="00A06C1E"/>
    <w:rsid w:val="00A0743A"/>
    <w:rsid w:val="00A1319E"/>
    <w:rsid w:val="00A14007"/>
    <w:rsid w:val="00A16226"/>
    <w:rsid w:val="00A174D7"/>
    <w:rsid w:val="00A1796C"/>
    <w:rsid w:val="00A200EE"/>
    <w:rsid w:val="00A21A21"/>
    <w:rsid w:val="00A242DE"/>
    <w:rsid w:val="00A24AB7"/>
    <w:rsid w:val="00A26C88"/>
    <w:rsid w:val="00A30140"/>
    <w:rsid w:val="00A30943"/>
    <w:rsid w:val="00A3139B"/>
    <w:rsid w:val="00A316A7"/>
    <w:rsid w:val="00A31CCE"/>
    <w:rsid w:val="00A32E36"/>
    <w:rsid w:val="00A33684"/>
    <w:rsid w:val="00A34B70"/>
    <w:rsid w:val="00A3529B"/>
    <w:rsid w:val="00A3532B"/>
    <w:rsid w:val="00A36603"/>
    <w:rsid w:val="00A36F2E"/>
    <w:rsid w:val="00A37026"/>
    <w:rsid w:val="00A37553"/>
    <w:rsid w:val="00A40C32"/>
    <w:rsid w:val="00A40CD7"/>
    <w:rsid w:val="00A42814"/>
    <w:rsid w:val="00A42FF1"/>
    <w:rsid w:val="00A43B40"/>
    <w:rsid w:val="00A44F49"/>
    <w:rsid w:val="00A50C2B"/>
    <w:rsid w:val="00A51325"/>
    <w:rsid w:val="00A52C3A"/>
    <w:rsid w:val="00A57154"/>
    <w:rsid w:val="00A60598"/>
    <w:rsid w:val="00A6085A"/>
    <w:rsid w:val="00A615A3"/>
    <w:rsid w:val="00A62B6C"/>
    <w:rsid w:val="00A630E5"/>
    <w:rsid w:val="00A64EF8"/>
    <w:rsid w:val="00A66DD6"/>
    <w:rsid w:val="00A72264"/>
    <w:rsid w:val="00A75D52"/>
    <w:rsid w:val="00A76714"/>
    <w:rsid w:val="00A767F7"/>
    <w:rsid w:val="00A7758C"/>
    <w:rsid w:val="00A802D5"/>
    <w:rsid w:val="00A8142A"/>
    <w:rsid w:val="00A8478D"/>
    <w:rsid w:val="00A92BB1"/>
    <w:rsid w:val="00A950DE"/>
    <w:rsid w:val="00A95C8C"/>
    <w:rsid w:val="00A9656D"/>
    <w:rsid w:val="00AA016A"/>
    <w:rsid w:val="00AA0CF5"/>
    <w:rsid w:val="00AA1083"/>
    <w:rsid w:val="00AA5545"/>
    <w:rsid w:val="00AA69DB"/>
    <w:rsid w:val="00AB1AF9"/>
    <w:rsid w:val="00AB1BA0"/>
    <w:rsid w:val="00AB2ED5"/>
    <w:rsid w:val="00AB3BFB"/>
    <w:rsid w:val="00AB6196"/>
    <w:rsid w:val="00AB72DC"/>
    <w:rsid w:val="00AB7644"/>
    <w:rsid w:val="00AB7EB2"/>
    <w:rsid w:val="00AC02DC"/>
    <w:rsid w:val="00AC32E3"/>
    <w:rsid w:val="00AC394F"/>
    <w:rsid w:val="00AC4865"/>
    <w:rsid w:val="00AC5513"/>
    <w:rsid w:val="00AC7BA6"/>
    <w:rsid w:val="00AD0242"/>
    <w:rsid w:val="00AD23C1"/>
    <w:rsid w:val="00AD32B9"/>
    <w:rsid w:val="00AD450B"/>
    <w:rsid w:val="00AD5024"/>
    <w:rsid w:val="00AD5F59"/>
    <w:rsid w:val="00AE278B"/>
    <w:rsid w:val="00AE2B91"/>
    <w:rsid w:val="00AE3198"/>
    <w:rsid w:val="00AE3BA0"/>
    <w:rsid w:val="00AE41F7"/>
    <w:rsid w:val="00AE5520"/>
    <w:rsid w:val="00AE6793"/>
    <w:rsid w:val="00AF0BA0"/>
    <w:rsid w:val="00AF1A4C"/>
    <w:rsid w:val="00AF1CF1"/>
    <w:rsid w:val="00AF24A3"/>
    <w:rsid w:val="00AF2FA7"/>
    <w:rsid w:val="00AF44DD"/>
    <w:rsid w:val="00AF548E"/>
    <w:rsid w:val="00AF569D"/>
    <w:rsid w:val="00AF62C9"/>
    <w:rsid w:val="00AF64AF"/>
    <w:rsid w:val="00AF6672"/>
    <w:rsid w:val="00AF775F"/>
    <w:rsid w:val="00AF7D3F"/>
    <w:rsid w:val="00B01DC9"/>
    <w:rsid w:val="00B01E3E"/>
    <w:rsid w:val="00B02D52"/>
    <w:rsid w:val="00B062AC"/>
    <w:rsid w:val="00B06BD6"/>
    <w:rsid w:val="00B070EA"/>
    <w:rsid w:val="00B103D7"/>
    <w:rsid w:val="00B10BCC"/>
    <w:rsid w:val="00B13044"/>
    <w:rsid w:val="00B13971"/>
    <w:rsid w:val="00B14494"/>
    <w:rsid w:val="00B1582A"/>
    <w:rsid w:val="00B2001D"/>
    <w:rsid w:val="00B201D0"/>
    <w:rsid w:val="00B20211"/>
    <w:rsid w:val="00B203FF"/>
    <w:rsid w:val="00B20E91"/>
    <w:rsid w:val="00B21243"/>
    <w:rsid w:val="00B235BE"/>
    <w:rsid w:val="00B23C8B"/>
    <w:rsid w:val="00B23DD4"/>
    <w:rsid w:val="00B23F84"/>
    <w:rsid w:val="00B31E74"/>
    <w:rsid w:val="00B33260"/>
    <w:rsid w:val="00B33DEC"/>
    <w:rsid w:val="00B34603"/>
    <w:rsid w:val="00B36AB1"/>
    <w:rsid w:val="00B36CF2"/>
    <w:rsid w:val="00B40BF0"/>
    <w:rsid w:val="00B40C7E"/>
    <w:rsid w:val="00B42B2A"/>
    <w:rsid w:val="00B43812"/>
    <w:rsid w:val="00B43C50"/>
    <w:rsid w:val="00B46787"/>
    <w:rsid w:val="00B50213"/>
    <w:rsid w:val="00B50641"/>
    <w:rsid w:val="00B52A15"/>
    <w:rsid w:val="00B5443C"/>
    <w:rsid w:val="00B5493C"/>
    <w:rsid w:val="00B5495A"/>
    <w:rsid w:val="00B54FB2"/>
    <w:rsid w:val="00B561D8"/>
    <w:rsid w:val="00B561E5"/>
    <w:rsid w:val="00B56A18"/>
    <w:rsid w:val="00B577C3"/>
    <w:rsid w:val="00B61F26"/>
    <w:rsid w:val="00B62512"/>
    <w:rsid w:val="00B62AC7"/>
    <w:rsid w:val="00B631CF"/>
    <w:rsid w:val="00B63351"/>
    <w:rsid w:val="00B63470"/>
    <w:rsid w:val="00B6453F"/>
    <w:rsid w:val="00B64EC9"/>
    <w:rsid w:val="00B678C3"/>
    <w:rsid w:val="00B67CD5"/>
    <w:rsid w:val="00B70D5B"/>
    <w:rsid w:val="00B7166C"/>
    <w:rsid w:val="00B71A6D"/>
    <w:rsid w:val="00B722A1"/>
    <w:rsid w:val="00B758CF"/>
    <w:rsid w:val="00B7724D"/>
    <w:rsid w:val="00B77D9E"/>
    <w:rsid w:val="00B77E1C"/>
    <w:rsid w:val="00B81163"/>
    <w:rsid w:val="00B83B00"/>
    <w:rsid w:val="00B84CF4"/>
    <w:rsid w:val="00B90FC9"/>
    <w:rsid w:val="00B92104"/>
    <w:rsid w:val="00B93ACA"/>
    <w:rsid w:val="00B956F8"/>
    <w:rsid w:val="00BA0BC7"/>
    <w:rsid w:val="00BA12C0"/>
    <w:rsid w:val="00BA34A9"/>
    <w:rsid w:val="00BA4862"/>
    <w:rsid w:val="00BA4FE0"/>
    <w:rsid w:val="00BA532B"/>
    <w:rsid w:val="00BA5971"/>
    <w:rsid w:val="00BA5B61"/>
    <w:rsid w:val="00BA7373"/>
    <w:rsid w:val="00BB4ED0"/>
    <w:rsid w:val="00BB6D42"/>
    <w:rsid w:val="00BC165A"/>
    <w:rsid w:val="00BC1CCF"/>
    <w:rsid w:val="00BC3467"/>
    <w:rsid w:val="00BC5758"/>
    <w:rsid w:val="00BC68E0"/>
    <w:rsid w:val="00BD0FF6"/>
    <w:rsid w:val="00BD1280"/>
    <w:rsid w:val="00BD1AAC"/>
    <w:rsid w:val="00BD34C6"/>
    <w:rsid w:val="00BD4D74"/>
    <w:rsid w:val="00BD7526"/>
    <w:rsid w:val="00BE11AE"/>
    <w:rsid w:val="00BE22BA"/>
    <w:rsid w:val="00BE2323"/>
    <w:rsid w:val="00BE238E"/>
    <w:rsid w:val="00BE3A9B"/>
    <w:rsid w:val="00BE4F4D"/>
    <w:rsid w:val="00BE51CD"/>
    <w:rsid w:val="00BE6565"/>
    <w:rsid w:val="00BE66D2"/>
    <w:rsid w:val="00BF02C4"/>
    <w:rsid w:val="00BF047F"/>
    <w:rsid w:val="00BF0973"/>
    <w:rsid w:val="00BF1C2F"/>
    <w:rsid w:val="00BF2485"/>
    <w:rsid w:val="00BF4F21"/>
    <w:rsid w:val="00BF521D"/>
    <w:rsid w:val="00BF6342"/>
    <w:rsid w:val="00BF67D5"/>
    <w:rsid w:val="00BF76C1"/>
    <w:rsid w:val="00BF7D77"/>
    <w:rsid w:val="00C002FB"/>
    <w:rsid w:val="00C01174"/>
    <w:rsid w:val="00C02DF7"/>
    <w:rsid w:val="00C0310B"/>
    <w:rsid w:val="00C03767"/>
    <w:rsid w:val="00C06CFF"/>
    <w:rsid w:val="00C1014C"/>
    <w:rsid w:val="00C107EE"/>
    <w:rsid w:val="00C1096D"/>
    <w:rsid w:val="00C1233D"/>
    <w:rsid w:val="00C12DF8"/>
    <w:rsid w:val="00C169A3"/>
    <w:rsid w:val="00C16E82"/>
    <w:rsid w:val="00C2112F"/>
    <w:rsid w:val="00C22A6C"/>
    <w:rsid w:val="00C237D3"/>
    <w:rsid w:val="00C23C67"/>
    <w:rsid w:val="00C25BEF"/>
    <w:rsid w:val="00C27E99"/>
    <w:rsid w:val="00C311B9"/>
    <w:rsid w:val="00C3163A"/>
    <w:rsid w:val="00C31949"/>
    <w:rsid w:val="00C31D36"/>
    <w:rsid w:val="00C34514"/>
    <w:rsid w:val="00C4049F"/>
    <w:rsid w:val="00C40BB2"/>
    <w:rsid w:val="00C40EDD"/>
    <w:rsid w:val="00C41130"/>
    <w:rsid w:val="00C4179E"/>
    <w:rsid w:val="00C4375C"/>
    <w:rsid w:val="00C4458A"/>
    <w:rsid w:val="00C446EC"/>
    <w:rsid w:val="00C45B7D"/>
    <w:rsid w:val="00C4744F"/>
    <w:rsid w:val="00C47DA7"/>
    <w:rsid w:val="00C50348"/>
    <w:rsid w:val="00C51106"/>
    <w:rsid w:val="00C557A3"/>
    <w:rsid w:val="00C55B13"/>
    <w:rsid w:val="00C56243"/>
    <w:rsid w:val="00C5705F"/>
    <w:rsid w:val="00C574FD"/>
    <w:rsid w:val="00C64930"/>
    <w:rsid w:val="00C65624"/>
    <w:rsid w:val="00C76930"/>
    <w:rsid w:val="00C76C84"/>
    <w:rsid w:val="00C77FBB"/>
    <w:rsid w:val="00C80CA2"/>
    <w:rsid w:val="00C815C3"/>
    <w:rsid w:val="00C8206F"/>
    <w:rsid w:val="00C83CB6"/>
    <w:rsid w:val="00C840B6"/>
    <w:rsid w:val="00C8548C"/>
    <w:rsid w:val="00C85B56"/>
    <w:rsid w:val="00C85CA9"/>
    <w:rsid w:val="00C9195D"/>
    <w:rsid w:val="00C929D9"/>
    <w:rsid w:val="00C94247"/>
    <w:rsid w:val="00C9481F"/>
    <w:rsid w:val="00C97404"/>
    <w:rsid w:val="00CA33D5"/>
    <w:rsid w:val="00CA6960"/>
    <w:rsid w:val="00CA7E68"/>
    <w:rsid w:val="00CA7FF3"/>
    <w:rsid w:val="00CB06A7"/>
    <w:rsid w:val="00CB0828"/>
    <w:rsid w:val="00CB0E6B"/>
    <w:rsid w:val="00CB10FC"/>
    <w:rsid w:val="00CB2637"/>
    <w:rsid w:val="00CB37E9"/>
    <w:rsid w:val="00CB4BC2"/>
    <w:rsid w:val="00CB5A4D"/>
    <w:rsid w:val="00CB5CFA"/>
    <w:rsid w:val="00CB6224"/>
    <w:rsid w:val="00CB66C1"/>
    <w:rsid w:val="00CC11BE"/>
    <w:rsid w:val="00CC3099"/>
    <w:rsid w:val="00CC5198"/>
    <w:rsid w:val="00CC60E1"/>
    <w:rsid w:val="00CC623E"/>
    <w:rsid w:val="00CD29BA"/>
    <w:rsid w:val="00CD4368"/>
    <w:rsid w:val="00CD5780"/>
    <w:rsid w:val="00CE1FB2"/>
    <w:rsid w:val="00CE37F0"/>
    <w:rsid w:val="00CE6021"/>
    <w:rsid w:val="00CE7B1C"/>
    <w:rsid w:val="00CF0851"/>
    <w:rsid w:val="00CF10D6"/>
    <w:rsid w:val="00CF1B98"/>
    <w:rsid w:val="00CF2E80"/>
    <w:rsid w:val="00CF2E81"/>
    <w:rsid w:val="00CF2E95"/>
    <w:rsid w:val="00CF36F3"/>
    <w:rsid w:val="00CF38A2"/>
    <w:rsid w:val="00CF3E29"/>
    <w:rsid w:val="00CF4380"/>
    <w:rsid w:val="00CF4E11"/>
    <w:rsid w:val="00CF5508"/>
    <w:rsid w:val="00CF5573"/>
    <w:rsid w:val="00CF57CC"/>
    <w:rsid w:val="00CF6465"/>
    <w:rsid w:val="00CF64E0"/>
    <w:rsid w:val="00D00A14"/>
    <w:rsid w:val="00D0134B"/>
    <w:rsid w:val="00D01507"/>
    <w:rsid w:val="00D03A7A"/>
    <w:rsid w:val="00D04968"/>
    <w:rsid w:val="00D04A8A"/>
    <w:rsid w:val="00D0568D"/>
    <w:rsid w:val="00D0709A"/>
    <w:rsid w:val="00D100C4"/>
    <w:rsid w:val="00D1183F"/>
    <w:rsid w:val="00D11AC7"/>
    <w:rsid w:val="00D129A1"/>
    <w:rsid w:val="00D141EF"/>
    <w:rsid w:val="00D156CE"/>
    <w:rsid w:val="00D16FB4"/>
    <w:rsid w:val="00D211F8"/>
    <w:rsid w:val="00D22616"/>
    <w:rsid w:val="00D22EFA"/>
    <w:rsid w:val="00D24511"/>
    <w:rsid w:val="00D25827"/>
    <w:rsid w:val="00D26CD6"/>
    <w:rsid w:val="00D270AC"/>
    <w:rsid w:val="00D31BFA"/>
    <w:rsid w:val="00D3200B"/>
    <w:rsid w:val="00D3230B"/>
    <w:rsid w:val="00D32C98"/>
    <w:rsid w:val="00D338C6"/>
    <w:rsid w:val="00D36715"/>
    <w:rsid w:val="00D37C39"/>
    <w:rsid w:val="00D40333"/>
    <w:rsid w:val="00D42605"/>
    <w:rsid w:val="00D44399"/>
    <w:rsid w:val="00D50E99"/>
    <w:rsid w:val="00D50FF6"/>
    <w:rsid w:val="00D51F3C"/>
    <w:rsid w:val="00D52844"/>
    <w:rsid w:val="00D52AED"/>
    <w:rsid w:val="00D52B1C"/>
    <w:rsid w:val="00D530D1"/>
    <w:rsid w:val="00D53480"/>
    <w:rsid w:val="00D54D56"/>
    <w:rsid w:val="00D56FE2"/>
    <w:rsid w:val="00D57F4B"/>
    <w:rsid w:val="00D6039F"/>
    <w:rsid w:val="00D60D12"/>
    <w:rsid w:val="00D652F4"/>
    <w:rsid w:val="00D66D5A"/>
    <w:rsid w:val="00D67EBC"/>
    <w:rsid w:val="00D711BA"/>
    <w:rsid w:val="00D713EA"/>
    <w:rsid w:val="00D7165F"/>
    <w:rsid w:val="00D72F68"/>
    <w:rsid w:val="00D7503C"/>
    <w:rsid w:val="00D8311B"/>
    <w:rsid w:val="00D8501D"/>
    <w:rsid w:val="00D90341"/>
    <w:rsid w:val="00D91BF4"/>
    <w:rsid w:val="00D968FD"/>
    <w:rsid w:val="00D977BE"/>
    <w:rsid w:val="00DA012D"/>
    <w:rsid w:val="00DA0164"/>
    <w:rsid w:val="00DA2CA4"/>
    <w:rsid w:val="00DA4ACD"/>
    <w:rsid w:val="00DA5148"/>
    <w:rsid w:val="00DA69E8"/>
    <w:rsid w:val="00DB05BB"/>
    <w:rsid w:val="00DB1F5C"/>
    <w:rsid w:val="00DB240A"/>
    <w:rsid w:val="00DB3285"/>
    <w:rsid w:val="00DB332B"/>
    <w:rsid w:val="00DB52B7"/>
    <w:rsid w:val="00DB5EAF"/>
    <w:rsid w:val="00DB7C8E"/>
    <w:rsid w:val="00DC061E"/>
    <w:rsid w:val="00DC0C5C"/>
    <w:rsid w:val="00DC1555"/>
    <w:rsid w:val="00DC19EA"/>
    <w:rsid w:val="00DC5011"/>
    <w:rsid w:val="00DC6AA8"/>
    <w:rsid w:val="00DD0AA9"/>
    <w:rsid w:val="00DD10AB"/>
    <w:rsid w:val="00DD3071"/>
    <w:rsid w:val="00DD39B0"/>
    <w:rsid w:val="00DD65C0"/>
    <w:rsid w:val="00DE1E00"/>
    <w:rsid w:val="00DE2079"/>
    <w:rsid w:val="00DE4CBF"/>
    <w:rsid w:val="00DE5762"/>
    <w:rsid w:val="00DF07F1"/>
    <w:rsid w:val="00DF09E3"/>
    <w:rsid w:val="00DF25F6"/>
    <w:rsid w:val="00DF2933"/>
    <w:rsid w:val="00DF3179"/>
    <w:rsid w:val="00DF40D4"/>
    <w:rsid w:val="00DF4714"/>
    <w:rsid w:val="00DF58E1"/>
    <w:rsid w:val="00DF66A7"/>
    <w:rsid w:val="00DF66E3"/>
    <w:rsid w:val="00DF7CF9"/>
    <w:rsid w:val="00E01726"/>
    <w:rsid w:val="00E021AB"/>
    <w:rsid w:val="00E0631F"/>
    <w:rsid w:val="00E06D4B"/>
    <w:rsid w:val="00E10589"/>
    <w:rsid w:val="00E1286D"/>
    <w:rsid w:val="00E13AD2"/>
    <w:rsid w:val="00E14877"/>
    <w:rsid w:val="00E1547B"/>
    <w:rsid w:val="00E1597A"/>
    <w:rsid w:val="00E1690A"/>
    <w:rsid w:val="00E16BF5"/>
    <w:rsid w:val="00E16C0B"/>
    <w:rsid w:val="00E16DE6"/>
    <w:rsid w:val="00E203B7"/>
    <w:rsid w:val="00E23C4F"/>
    <w:rsid w:val="00E2500D"/>
    <w:rsid w:val="00E26CE4"/>
    <w:rsid w:val="00E27C0D"/>
    <w:rsid w:val="00E3137E"/>
    <w:rsid w:val="00E31CFC"/>
    <w:rsid w:val="00E33794"/>
    <w:rsid w:val="00E35761"/>
    <w:rsid w:val="00E35E99"/>
    <w:rsid w:val="00E362DD"/>
    <w:rsid w:val="00E3659F"/>
    <w:rsid w:val="00E409D6"/>
    <w:rsid w:val="00E41930"/>
    <w:rsid w:val="00E41A18"/>
    <w:rsid w:val="00E4238B"/>
    <w:rsid w:val="00E42CF5"/>
    <w:rsid w:val="00E43657"/>
    <w:rsid w:val="00E44485"/>
    <w:rsid w:val="00E44E0E"/>
    <w:rsid w:val="00E451AB"/>
    <w:rsid w:val="00E469ED"/>
    <w:rsid w:val="00E5002D"/>
    <w:rsid w:val="00E50380"/>
    <w:rsid w:val="00E51753"/>
    <w:rsid w:val="00E5442D"/>
    <w:rsid w:val="00E54D7C"/>
    <w:rsid w:val="00E5661C"/>
    <w:rsid w:val="00E56DBA"/>
    <w:rsid w:val="00E57F52"/>
    <w:rsid w:val="00E60B03"/>
    <w:rsid w:val="00E61C58"/>
    <w:rsid w:val="00E6460F"/>
    <w:rsid w:val="00E648D4"/>
    <w:rsid w:val="00E64A73"/>
    <w:rsid w:val="00E64A7E"/>
    <w:rsid w:val="00E65307"/>
    <w:rsid w:val="00E667FE"/>
    <w:rsid w:val="00E6710C"/>
    <w:rsid w:val="00E701FB"/>
    <w:rsid w:val="00E7082E"/>
    <w:rsid w:val="00E715DD"/>
    <w:rsid w:val="00E7176E"/>
    <w:rsid w:val="00E72A8C"/>
    <w:rsid w:val="00E74B3D"/>
    <w:rsid w:val="00E74FBE"/>
    <w:rsid w:val="00E75085"/>
    <w:rsid w:val="00E75E52"/>
    <w:rsid w:val="00E760D6"/>
    <w:rsid w:val="00E77E55"/>
    <w:rsid w:val="00E81381"/>
    <w:rsid w:val="00E81807"/>
    <w:rsid w:val="00E83283"/>
    <w:rsid w:val="00E832BC"/>
    <w:rsid w:val="00E83423"/>
    <w:rsid w:val="00E84109"/>
    <w:rsid w:val="00E84733"/>
    <w:rsid w:val="00E84AF8"/>
    <w:rsid w:val="00E85964"/>
    <w:rsid w:val="00E8650D"/>
    <w:rsid w:val="00E90AD1"/>
    <w:rsid w:val="00E94C38"/>
    <w:rsid w:val="00E95E82"/>
    <w:rsid w:val="00E96BCE"/>
    <w:rsid w:val="00E97698"/>
    <w:rsid w:val="00E97B2D"/>
    <w:rsid w:val="00E97C63"/>
    <w:rsid w:val="00EA068B"/>
    <w:rsid w:val="00EA12F6"/>
    <w:rsid w:val="00EA27FA"/>
    <w:rsid w:val="00EA29B2"/>
    <w:rsid w:val="00EA2E1E"/>
    <w:rsid w:val="00EA3735"/>
    <w:rsid w:val="00EA52D7"/>
    <w:rsid w:val="00EA7537"/>
    <w:rsid w:val="00EA7994"/>
    <w:rsid w:val="00EB2628"/>
    <w:rsid w:val="00EB3235"/>
    <w:rsid w:val="00EB3768"/>
    <w:rsid w:val="00EB3CDF"/>
    <w:rsid w:val="00EB4A6A"/>
    <w:rsid w:val="00EB51F4"/>
    <w:rsid w:val="00EB6B50"/>
    <w:rsid w:val="00EB6F63"/>
    <w:rsid w:val="00EB733A"/>
    <w:rsid w:val="00EC1E8B"/>
    <w:rsid w:val="00EC2868"/>
    <w:rsid w:val="00EC2874"/>
    <w:rsid w:val="00EC3167"/>
    <w:rsid w:val="00EC6A16"/>
    <w:rsid w:val="00EC6E89"/>
    <w:rsid w:val="00EC726F"/>
    <w:rsid w:val="00EC7CBA"/>
    <w:rsid w:val="00ED0DD8"/>
    <w:rsid w:val="00ED3A46"/>
    <w:rsid w:val="00ED51D2"/>
    <w:rsid w:val="00ED66F4"/>
    <w:rsid w:val="00ED71C2"/>
    <w:rsid w:val="00EE354F"/>
    <w:rsid w:val="00EE3B59"/>
    <w:rsid w:val="00EE4ECB"/>
    <w:rsid w:val="00EE6821"/>
    <w:rsid w:val="00EF359D"/>
    <w:rsid w:val="00EF5D0B"/>
    <w:rsid w:val="00EF7768"/>
    <w:rsid w:val="00F00757"/>
    <w:rsid w:val="00F007C6"/>
    <w:rsid w:val="00F02AF3"/>
    <w:rsid w:val="00F02FD7"/>
    <w:rsid w:val="00F0315B"/>
    <w:rsid w:val="00F03EA5"/>
    <w:rsid w:val="00F04EC5"/>
    <w:rsid w:val="00F10100"/>
    <w:rsid w:val="00F12E22"/>
    <w:rsid w:val="00F12F46"/>
    <w:rsid w:val="00F1417B"/>
    <w:rsid w:val="00F17467"/>
    <w:rsid w:val="00F17BCA"/>
    <w:rsid w:val="00F20E73"/>
    <w:rsid w:val="00F21C06"/>
    <w:rsid w:val="00F21D1A"/>
    <w:rsid w:val="00F234F9"/>
    <w:rsid w:val="00F2368F"/>
    <w:rsid w:val="00F238F1"/>
    <w:rsid w:val="00F23E5D"/>
    <w:rsid w:val="00F24042"/>
    <w:rsid w:val="00F26BF1"/>
    <w:rsid w:val="00F30816"/>
    <w:rsid w:val="00F317E8"/>
    <w:rsid w:val="00F31968"/>
    <w:rsid w:val="00F33C88"/>
    <w:rsid w:val="00F351FE"/>
    <w:rsid w:val="00F370AA"/>
    <w:rsid w:val="00F40D2A"/>
    <w:rsid w:val="00F40DBB"/>
    <w:rsid w:val="00F41DE0"/>
    <w:rsid w:val="00F434E8"/>
    <w:rsid w:val="00F43950"/>
    <w:rsid w:val="00F43ACD"/>
    <w:rsid w:val="00F44DF5"/>
    <w:rsid w:val="00F5063C"/>
    <w:rsid w:val="00F50FEF"/>
    <w:rsid w:val="00F51652"/>
    <w:rsid w:val="00F51EE9"/>
    <w:rsid w:val="00F54C2A"/>
    <w:rsid w:val="00F5569B"/>
    <w:rsid w:val="00F570DE"/>
    <w:rsid w:val="00F63293"/>
    <w:rsid w:val="00F6358E"/>
    <w:rsid w:val="00F66B9D"/>
    <w:rsid w:val="00F66E5E"/>
    <w:rsid w:val="00F66E6A"/>
    <w:rsid w:val="00F71E31"/>
    <w:rsid w:val="00F7344A"/>
    <w:rsid w:val="00F76761"/>
    <w:rsid w:val="00F81913"/>
    <w:rsid w:val="00F819D8"/>
    <w:rsid w:val="00F832C2"/>
    <w:rsid w:val="00F8332C"/>
    <w:rsid w:val="00F83335"/>
    <w:rsid w:val="00F85066"/>
    <w:rsid w:val="00F852FC"/>
    <w:rsid w:val="00F85507"/>
    <w:rsid w:val="00F8558D"/>
    <w:rsid w:val="00F85C49"/>
    <w:rsid w:val="00F85ED5"/>
    <w:rsid w:val="00F87B5D"/>
    <w:rsid w:val="00F907DF"/>
    <w:rsid w:val="00F937D3"/>
    <w:rsid w:val="00F93F94"/>
    <w:rsid w:val="00F96892"/>
    <w:rsid w:val="00F96AB9"/>
    <w:rsid w:val="00F97520"/>
    <w:rsid w:val="00FA4489"/>
    <w:rsid w:val="00FA489C"/>
    <w:rsid w:val="00FA6467"/>
    <w:rsid w:val="00FA7674"/>
    <w:rsid w:val="00FB0295"/>
    <w:rsid w:val="00FB1021"/>
    <w:rsid w:val="00FB4C4F"/>
    <w:rsid w:val="00FB4E09"/>
    <w:rsid w:val="00FB6EC8"/>
    <w:rsid w:val="00FC5636"/>
    <w:rsid w:val="00FC5A29"/>
    <w:rsid w:val="00FC6DBD"/>
    <w:rsid w:val="00FD3344"/>
    <w:rsid w:val="00FE202D"/>
    <w:rsid w:val="00FE212F"/>
    <w:rsid w:val="00FE2820"/>
    <w:rsid w:val="00FE4D74"/>
    <w:rsid w:val="00FE6B4D"/>
    <w:rsid w:val="00FF1692"/>
    <w:rsid w:val="00FF1859"/>
    <w:rsid w:val="00FF1C83"/>
    <w:rsid w:val="00FF1E68"/>
    <w:rsid w:val="00FF2229"/>
    <w:rsid w:val="00FF4638"/>
    <w:rsid w:val="00FF6113"/>
    <w:rsid w:val="00FF6B55"/>
    <w:rsid w:val="00FF7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B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paragraph" w:styleId="ListParagraph">
    <w:name w:val="List Paragraph"/>
    <w:basedOn w:val="Normal"/>
    <w:uiPriority w:val="34"/>
    <w:qFormat/>
    <w:rsid w:val="001340AE"/>
    <w:pPr>
      <w:spacing w:before="120" w:after="0" w:line="240" w:lineRule="auto"/>
      <w:ind w:left="720"/>
      <w:contextualSpacing/>
    </w:pPr>
    <w:rPr>
      <w:rFonts w:eastAsia="Calibri" w:cs="Times New Roman"/>
    </w:rPr>
  </w:style>
  <w:style w:type="paragraph" w:styleId="Revision">
    <w:name w:val="Revision"/>
    <w:hidden/>
    <w:uiPriority w:val="99"/>
    <w:semiHidden/>
    <w:rsid w:val="004B1453"/>
    <w:rPr>
      <w:rFonts w:eastAsiaTheme="minorHAnsi" w:cstheme="minorBidi"/>
      <w:sz w:val="22"/>
      <w:szCs w:val="22"/>
      <w:lang w:eastAsia="en-US"/>
    </w:rPr>
  </w:style>
  <w:style w:type="table" w:styleId="TableGridLight">
    <w:name w:val="Grid Table Light"/>
    <w:basedOn w:val="TableNormal"/>
    <w:uiPriority w:val="40"/>
    <w:rsid w:val="00D22EF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D22EF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Heading4"/>
    <w:link w:val="Style1Char"/>
    <w:rsid w:val="00A36F2E"/>
    <w:pPr>
      <w:numPr>
        <w:ilvl w:val="0"/>
        <w:numId w:val="0"/>
      </w:numPr>
      <w:ind w:left="964" w:hanging="964"/>
    </w:pPr>
    <w:rPr>
      <w:lang w:eastAsia="ja-JP"/>
    </w:rPr>
  </w:style>
  <w:style w:type="paragraph" w:customStyle="1" w:styleId="Style2">
    <w:name w:val="Style2"/>
    <w:basedOn w:val="Style1"/>
    <w:link w:val="Style2Char"/>
    <w:qFormat/>
    <w:rsid w:val="00A36F2E"/>
  </w:style>
  <w:style w:type="character" w:customStyle="1" w:styleId="Style1Char">
    <w:name w:val="Style1 Char"/>
    <w:basedOn w:val="Heading4Char"/>
    <w:link w:val="Style1"/>
    <w:rsid w:val="00A36F2E"/>
    <w:rPr>
      <w:rFonts w:ascii="Calibri" w:eastAsia="Times New Roman" w:hAnsi="Calibri"/>
      <w:b/>
      <w:bCs/>
      <w:color w:val="DE3831"/>
      <w:sz w:val="28"/>
      <w:szCs w:val="24"/>
      <w:lang w:eastAsia="ja-JP"/>
    </w:rPr>
  </w:style>
  <w:style w:type="character" w:customStyle="1" w:styleId="Style2Char">
    <w:name w:val="Style2 Char"/>
    <w:basedOn w:val="Style1Char"/>
    <w:link w:val="Style2"/>
    <w:rsid w:val="00A36F2E"/>
    <w:rPr>
      <w:rFonts w:ascii="Calibri" w:eastAsia="Times New Roman" w:hAnsi="Calibri"/>
      <w:b/>
      <w:bCs/>
      <w:color w:val="DE3831"/>
      <w:sz w:val="28"/>
      <w:szCs w:val="24"/>
      <w:lang w:eastAsia="ja-JP"/>
    </w:rPr>
  </w:style>
  <w:style w:type="paragraph" w:customStyle="1" w:styleId="AppendixHeading4">
    <w:name w:val="Appendix Heading 4"/>
    <w:qFormat/>
    <w:rsid w:val="00600F63"/>
    <w:pPr>
      <w:keepNext/>
      <w:tabs>
        <w:tab w:val="num" w:pos="1077"/>
      </w:tabs>
      <w:spacing w:after="120"/>
      <w:ind w:left="1077" w:hanging="1077"/>
    </w:pPr>
    <w:rPr>
      <w:rFonts w:ascii="Calibri" w:eastAsia="Times New Roman" w:hAnsi="Calibri"/>
      <w:b/>
      <w:sz w:val="22"/>
      <w:szCs w:val="24"/>
      <w:lang w:val="en-US" w:eastAsia="en-US" w:bidi="en-US"/>
    </w:rPr>
  </w:style>
  <w:style w:type="numbering" w:customStyle="1" w:styleId="Headings">
    <w:name w:val="Headings"/>
    <w:uiPriority w:val="99"/>
    <w:rsid w:val="003F5321"/>
    <w:pPr>
      <w:numPr>
        <w:numId w:val="39"/>
      </w:numPr>
    </w:pPr>
  </w:style>
  <w:style w:type="paragraph" w:customStyle="1" w:styleId="AppendixHeading1">
    <w:name w:val="Appendix Heading 1"/>
    <w:qFormat/>
    <w:rsid w:val="003F5321"/>
    <w:pPr>
      <w:pageBreakBefore/>
      <w:numPr>
        <w:numId w:val="41"/>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3F5321"/>
    <w:pPr>
      <w:numPr>
        <w:numId w:val="40"/>
      </w:numPr>
    </w:pPr>
  </w:style>
  <w:style w:type="paragraph" w:customStyle="1" w:styleId="AppendixHeading2">
    <w:name w:val="Appendix Heading 2"/>
    <w:qFormat/>
    <w:rsid w:val="003F5321"/>
    <w:pPr>
      <w:numPr>
        <w:ilvl w:val="1"/>
        <w:numId w:val="41"/>
      </w:numPr>
    </w:pPr>
    <w:rPr>
      <w:rFonts w:asciiTheme="minorHAnsi" w:eastAsia="Times New Roman" w:hAnsiTheme="minorHAnsi"/>
      <w:b/>
      <w:bCs/>
      <w:sz w:val="3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4043580">
      <w:bodyDiv w:val="1"/>
      <w:marLeft w:val="0"/>
      <w:marRight w:val="0"/>
      <w:marTop w:val="0"/>
      <w:marBottom w:val="0"/>
      <w:divBdr>
        <w:top w:val="none" w:sz="0" w:space="0" w:color="auto"/>
        <w:left w:val="none" w:sz="0" w:space="0" w:color="auto"/>
        <w:bottom w:val="none" w:sz="0" w:space="0" w:color="auto"/>
        <w:right w:val="none" w:sz="0" w:space="0" w:color="auto"/>
      </w:divBdr>
    </w:div>
    <w:div w:id="4194546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4778">
      <w:bodyDiv w:val="1"/>
      <w:marLeft w:val="0"/>
      <w:marRight w:val="0"/>
      <w:marTop w:val="0"/>
      <w:marBottom w:val="0"/>
      <w:divBdr>
        <w:top w:val="none" w:sz="0" w:space="0" w:color="auto"/>
        <w:left w:val="none" w:sz="0" w:space="0" w:color="auto"/>
        <w:bottom w:val="none" w:sz="0" w:space="0" w:color="auto"/>
        <w:right w:val="none" w:sz="0" w:space="0" w:color="auto"/>
      </w:divBdr>
    </w:div>
    <w:div w:id="94061628">
      <w:bodyDiv w:val="1"/>
      <w:marLeft w:val="0"/>
      <w:marRight w:val="0"/>
      <w:marTop w:val="0"/>
      <w:marBottom w:val="0"/>
      <w:divBdr>
        <w:top w:val="none" w:sz="0" w:space="0" w:color="auto"/>
        <w:left w:val="none" w:sz="0" w:space="0" w:color="auto"/>
        <w:bottom w:val="none" w:sz="0" w:space="0" w:color="auto"/>
        <w:right w:val="none" w:sz="0" w:space="0" w:color="auto"/>
      </w:divBdr>
    </w:div>
    <w:div w:id="99224861">
      <w:bodyDiv w:val="1"/>
      <w:marLeft w:val="0"/>
      <w:marRight w:val="0"/>
      <w:marTop w:val="0"/>
      <w:marBottom w:val="0"/>
      <w:divBdr>
        <w:top w:val="none" w:sz="0" w:space="0" w:color="auto"/>
        <w:left w:val="none" w:sz="0" w:space="0" w:color="auto"/>
        <w:bottom w:val="none" w:sz="0" w:space="0" w:color="auto"/>
        <w:right w:val="none" w:sz="0" w:space="0" w:color="auto"/>
      </w:divBdr>
    </w:div>
    <w:div w:id="108358795">
      <w:bodyDiv w:val="1"/>
      <w:marLeft w:val="0"/>
      <w:marRight w:val="0"/>
      <w:marTop w:val="0"/>
      <w:marBottom w:val="0"/>
      <w:divBdr>
        <w:top w:val="none" w:sz="0" w:space="0" w:color="auto"/>
        <w:left w:val="none" w:sz="0" w:space="0" w:color="auto"/>
        <w:bottom w:val="none" w:sz="0" w:space="0" w:color="auto"/>
        <w:right w:val="none" w:sz="0" w:space="0" w:color="auto"/>
      </w:divBdr>
    </w:div>
    <w:div w:id="14447063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29891">
      <w:bodyDiv w:val="1"/>
      <w:marLeft w:val="0"/>
      <w:marRight w:val="0"/>
      <w:marTop w:val="0"/>
      <w:marBottom w:val="0"/>
      <w:divBdr>
        <w:top w:val="none" w:sz="0" w:space="0" w:color="auto"/>
        <w:left w:val="none" w:sz="0" w:space="0" w:color="auto"/>
        <w:bottom w:val="none" w:sz="0" w:space="0" w:color="auto"/>
        <w:right w:val="none" w:sz="0" w:space="0" w:color="auto"/>
      </w:divBdr>
    </w:div>
    <w:div w:id="241068522">
      <w:bodyDiv w:val="1"/>
      <w:marLeft w:val="0"/>
      <w:marRight w:val="0"/>
      <w:marTop w:val="0"/>
      <w:marBottom w:val="0"/>
      <w:divBdr>
        <w:top w:val="none" w:sz="0" w:space="0" w:color="auto"/>
        <w:left w:val="none" w:sz="0" w:space="0" w:color="auto"/>
        <w:bottom w:val="none" w:sz="0" w:space="0" w:color="auto"/>
        <w:right w:val="none" w:sz="0" w:space="0" w:color="auto"/>
      </w:divBdr>
    </w:div>
    <w:div w:id="32108707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22425">
      <w:bodyDiv w:val="1"/>
      <w:marLeft w:val="0"/>
      <w:marRight w:val="0"/>
      <w:marTop w:val="0"/>
      <w:marBottom w:val="0"/>
      <w:divBdr>
        <w:top w:val="none" w:sz="0" w:space="0" w:color="auto"/>
        <w:left w:val="none" w:sz="0" w:space="0" w:color="auto"/>
        <w:bottom w:val="none" w:sz="0" w:space="0" w:color="auto"/>
        <w:right w:val="none" w:sz="0" w:space="0" w:color="auto"/>
      </w:divBdr>
    </w:div>
    <w:div w:id="41281934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053840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1729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4078057">
      <w:bodyDiv w:val="1"/>
      <w:marLeft w:val="0"/>
      <w:marRight w:val="0"/>
      <w:marTop w:val="0"/>
      <w:marBottom w:val="0"/>
      <w:divBdr>
        <w:top w:val="none" w:sz="0" w:space="0" w:color="auto"/>
        <w:left w:val="none" w:sz="0" w:space="0" w:color="auto"/>
        <w:bottom w:val="none" w:sz="0" w:space="0" w:color="auto"/>
        <w:right w:val="none" w:sz="0" w:space="0" w:color="auto"/>
      </w:divBdr>
    </w:div>
    <w:div w:id="519508235">
      <w:bodyDiv w:val="1"/>
      <w:marLeft w:val="0"/>
      <w:marRight w:val="0"/>
      <w:marTop w:val="0"/>
      <w:marBottom w:val="0"/>
      <w:divBdr>
        <w:top w:val="none" w:sz="0" w:space="0" w:color="auto"/>
        <w:left w:val="none" w:sz="0" w:space="0" w:color="auto"/>
        <w:bottom w:val="none" w:sz="0" w:space="0" w:color="auto"/>
        <w:right w:val="none" w:sz="0" w:space="0" w:color="auto"/>
      </w:divBdr>
    </w:div>
    <w:div w:id="5355789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150915">
      <w:bodyDiv w:val="1"/>
      <w:marLeft w:val="0"/>
      <w:marRight w:val="0"/>
      <w:marTop w:val="0"/>
      <w:marBottom w:val="0"/>
      <w:divBdr>
        <w:top w:val="none" w:sz="0" w:space="0" w:color="auto"/>
        <w:left w:val="none" w:sz="0" w:space="0" w:color="auto"/>
        <w:bottom w:val="none" w:sz="0" w:space="0" w:color="auto"/>
        <w:right w:val="none" w:sz="0" w:space="0" w:color="auto"/>
      </w:divBdr>
    </w:div>
    <w:div w:id="641274143">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743298">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8716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3873">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75926">
      <w:bodyDiv w:val="1"/>
      <w:marLeft w:val="0"/>
      <w:marRight w:val="0"/>
      <w:marTop w:val="0"/>
      <w:marBottom w:val="0"/>
      <w:divBdr>
        <w:top w:val="none" w:sz="0" w:space="0" w:color="auto"/>
        <w:left w:val="none" w:sz="0" w:space="0" w:color="auto"/>
        <w:bottom w:val="none" w:sz="0" w:space="0" w:color="auto"/>
        <w:right w:val="none" w:sz="0" w:space="0" w:color="auto"/>
      </w:divBdr>
    </w:div>
    <w:div w:id="846408479">
      <w:bodyDiv w:val="1"/>
      <w:marLeft w:val="0"/>
      <w:marRight w:val="0"/>
      <w:marTop w:val="0"/>
      <w:marBottom w:val="0"/>
      <w:divBdr>
        <w:top w:val="none" w:sz="0" w:space="0" w:color="auto"/>
        <w:left w:val="none" w:sz="0" w:space="0" w:color="auto"/>
        <w:bottom w:val="none" w:sz="0" w:space="0" w:color="auto"/>
        <w:right w:val="none" w:sz="0" w:space="0" w:color="auto"/>
      </w:divBdr>
    </w:div>
    <w:div w:id="870143203">
      <w:bodyDiv w:val="1"/>
      <w:marLeft w:val="0"/>
      <w:marRight w:val="0"/>
      <w:marTop w:val="0"/>
      <w:marBottom w:val="0"/>
      <w:divBdr>
        <w:top w:val="none" w:sz="0" w:space="0" w:color="auto"/>
        <w:left w:val="none" w:sz="0" w:space="0" w:color="auto"/>
        <w:bottom w:val="none" w:sz="0" w:space="0" w:color="auto"/>
        <w:right w:val="none" w:sz="0" w:space="0" w:color="auto"/>
      </w:divBdr>
    </w:div>
    <w:div w:id="87380997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2127685">
      <w:bodyDiv w:val="1"/>
      <w:marLeft w:val="0"/>
      <w:marRight w:val="0"/>
      <w:marTop w:val="0"/>
      <w:marBottom w:val="0"/>
      <w:divBdr>
        <w:top w:val="none" w:sz="0" w:space="0" w:color="auto"/>
        <w:left w:val="none" w:sz="0" w:space="0" w:color="auto"/>
        <w:bottom w:val="none" w:sz="0" w:space="0" w:color="auto"/>
        <w:right w:val="none" w:sz="0" w:space="0" w:color="auto"/>
      </w:divBdr>
    </w:div>
    <w:div w:id="96989850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99438">
      <w:bodyDiv w:val="1"/>
      <w:marLeft w:val="0"/>
      <w:marRight w:val="0"/>
      <w:marTop w:val="0"/>
      <w:marBottom w:val="0"/>
      <w:divBdr>
        <w:top w:val="none" w:sz="0" w:space="0" w:color="auto"/>
        <w:left w:val="none" w:sz="0" w:space="0" w:color="auto"/>
        <w:bottom w:val="none" w:sz="0" w:space="0" w:color="auto"/>
        <w:right w:val="none" w:sz="0" w:space="0" w:color="auto"/>
      </w:divBdr>
    </w:div>
    <w:div w:id="1058631720">
      <w:bodyDiv w:val="1"/>
      <w:marLeft w:val="0"/>
      <w:marRight w:val="0"/>
      <w:marTop w:val="0"/>
      <w:marBottom w:val="0"/>
      <w:divBdr>
        <w:top w:val="none" w:sz="0" w:space="0" w:color="auto"/>
        <w:left w:val="none" w:sz="0" w:space="0" w:color="auto"/>
        <w:bottom w:val="none" w:sz="0" w:space="0" w:color="auto"/>
        <w:right w:val="none" w:sz="0" w:space="0" w:color="auto"/>
      </w:divBdr>
    </w:div>
    <w:div w:id="1067412939">
      <w:bodyDiv w:val="1"/>
      <w:marLeft w:val="0"/>
      <w:marRight w:val="0"/>
      <w:marTop w:val="0"/>
      <w:marBottom w:val="0"/>
      <w:divBdr>
        <w:top w:val="none" w:sz="0" w:space="0" w:color="auto"/>
        <w:left w:val="none" w:sz="0" w:space="0" w:color="auto"/>
        <w:bottom w:val="none" w:sz="0" w:space="0" w:color="auto"/>
        <w:right w:val="none" w:sz="0" w:space="0" w:color="auto"/>
      </w:divBdr>
    </w:div>
    <w:div w:id="107269748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7238252">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10859">
      <w:bodyDiv w:val="1"/>
      <w:marLeft w:val="0"/>
      <w:marRight w:val="0"/>
      <w:marTop w:val="0"/>
      <w:marBottom w:val="0"/>
      <w:divBdr>
        <w:top w:val="none" w:sz="0" w:space="0" w:color="auto"/>
        <w:left w:val="none" w:sz="0" w:space="0" w:color="auto"/>
        <w:bottom w:val="none" w:sz="0" w:space="0" w:color="auto"/>
        <w:right w:val="none" w:sz="0" w:space="0" w:color="auto"/>
      </w:divBdr>
    </w:div>
    <w:div w:id="125609074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67804">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047971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297402">
      <w:bodyDiv w:val="1"/>
      <w:marLeft w:val="0"/>
      <w:marRight w:val="0"/>
      <w:marTop w:val="0"/>
      <w:marBottom w:val="0"/>
      <w:divBdr>
        <w:top w:val="none" w:sz="0" w:space="0" w:color="auto"/>
        <w:left w:val="none" w:sz="0" w:space="0" w:color="auto"/>
        <w:bottom w:val="none" w:sz="0" w:space="0" w:color="auto"/>
        <w:right w:val="none" w:sz="0" w:space="0" w:color="auto"/>
      </w:divBdr>
    </w:div>
    <w:div w:id="1448160200">
      <w:bodyDiv w:val="1"/>
      <w:marLeft w:val="0"/>
      <w:marRight w:val="0"/>
      <w:marTop w:val="0"/>
      <w:marBottom w:val="0"/>
      <w:divBdr>
        <w:top w:val="none" w:sz="0" w:space="0" w:color="auto"/>
        <w:left w:val="none" w:sz="0" w:space="0" w:color="auto"/>
        <w:bottom w:val="none" w:sz="0" w:space="0" w:color="auto"/>
        <w:right w:val="none" w:sz="0" w:space="0" w:color="auto"/>
      </w:divBdr>
    </w:div>
    <w:div w:id="1472135983">
      <w:bodyDiv w:val="1"/>
      <w:marLeft w:val="0"/>
      <w:marRight w:val="0"/>
      <w:marTop w:val="0"/>
      <w:marBottom w:val="0"/>
      <w:divBdr>
        <w:top w:val="none" w:sz="0" w:space="0" w:color="auto"/>
        <w:left w:val="none" w:sz="0" w:space="0" w:color="auto"/>
        <w:bottom w:val="none" w:sz="0" w:space="0" w:color="auto"/>
        <w:right w:val="none" w:sz="0" w:space="0" w:color="auto"/>
      </w:divBdr>
    </w:div>
    <w:div w:id="1472594680">
      <w:bodyDiv w:val="1"/>
      <w:marLeft w:val="0"/>
      <w:marRight w:val="0"/>
      <w:marTop w:val="0"/>
      <w:marBottom w:val="0"/>
      <w:divBdr>
        <w:top w:val="none" w:sz="0" w:space="0" w:color="auto"/>
        <w:left w:val="none" w:sz="0" w:space="0" w:color="auto"/>
        <w:bottom w:val="none" w:sz="0" w:space="0" w:color="auto"/>
        <w:right w:val="none" w:sz="0" w:space="0" w:color="auto"/>
      </w:divBdr>
    </w:div>
    <w:div w:id="1473979239">
      <w:bodyDiv w:val="1"/>
      <w:marLeft w:val="0"/>
      <w:marRight w:val="0"/>
      <w:marTop w:val="0"/>
      <w:marBottom w:val="0"/>
      <w:divBdr>
        <w:top w:val="none" w:sz="0" w:space="0" w:color="auto"/>
        <w:left w:val="none" w:sz="0" w:space="0" w:color="auto"/>
        <w:bottom w:val="none" w:sz="0" w:space="0" w:color="auto"/>
        <w:right w:val="none" w:sz="0" w:space="0" w:color="auto"/>
      </w:divBdr>
    </w:div>
    <w:div w:id="1481844618">
      <w:bodyDiv w:val="1"/>
      <w:marLeft w:val="0"/>
      <w:marRight w:val="0"/>
      <w:marTop w:val="0"/>
      <w:marBottom w:val="0"/>
      <w:divBdr>
        <w:top w:val="none" w:sz="0" w:space="0" w:color="auto"/>
        <w:left w:val="none" w:sz="0" w:space="0" w:color="auto"/>
        <w:bottom w:val="none" w:sz="0" w:space="0" w:color="auto"/>
        <w:right w:val="none" w:sz="0" w:space="0" w:color="auto"/>
      </w:divBdr>
    </w:div>
    <w:div w:id="1497575058">
      <w:bodyDiv w:val="1"/>
      <w:marLeft w:val="0"/>
      <w:marRight w:val="0"/>
      <w:marTop w:val="0"/>
      <w:marBottom w:val="0"/>
      <w:divBdr>
        <w:top w:val="none" w:sz="0" w:space="0" w:color="auto"/>
        <w:left w:val="none" w:sz="0" w:space="0" w:color="auto"/>
        <w:bottom w:val="none" w:sz="0" w:space="0" w:color="auto"/>
        <w:right w:val="none" w:sz="0" w:space="0" w:color="auto"/>
      </w:divBdr>
    </w:div>
    <w:div w:id="1508665633">
      <w:bodyDiv w:val="1"/>
      <w:marLeft w:val="0"/>
      <w:marRight w:val="0"/>
      <w:marTop w:val="0"/>
      <w:marBottom w:val="0"/>
      <w:divBdr>
        <w:top w:val="none" w:sz="0" w:space="0" w:color="auto"/>
        <w:left w:val="none" w:sz="0" w:space="0" w:color="auto"/>
        <w:bottom w:val="none" w:sz="0" w:space="0" w:color="auto"/>
        <w:right w:val="none" w:sz="0" w:space="0" w:color="auto"/>
      </w:divBdr>
    </w:div>
    <w:div w:id="151368905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5138843">
      <w:bodyDiv w:val="1"/>
      <w:marLeft w:val="0"/>
      <w:marRight w:val="0"/>
      <w:marTop w:val="0"/>
      <w:marBottom w:val="0"/>
      <w:divBdr>
        <w:top w:val="none" w:sz="0" w:space="0" w:color="auto"/>
        <w:left w:val="none" w:sz="0" w:space="0" w:color="auto"/>
        <w:bottom w:val="none" w:sz="0" w:space="0" w:color="auto"/>
        <w:right w:val="none" w:sz="0" w:space="0" w:color="auto"/>
      </w:divBdr>
    </w:div>
    <w:div w:id="1661616793">
      <w:bodyDiv w:val="1"/>
      <w:marLeft w:val="0"/>
      <w:marRight w:val="0"/>
      <w:marTop w:val="0"/>
      <w:marBottom w:val="0"/>
      <w:divBdr>
        <w:top w:val="none" w:sz="0" w:space="0" w:color="auto"/>
        <w:left w:val="none" w:sz="0" w:space="0" w:color="auto"/>
        <w:bottom w:val="none" w:sz="0" w:space="0" w:color="auto"/>
        <w:right w:val="none" w:sz="0" w:space="0" w:color="auto"/>
      </w:divBdr>
    </w:div>
    <w:div w:id="169168445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84932">
      <w:bodyDiv w:val="1"/>
      <w:marLeft w:val="0"/>
      <w:marRight w:val="0"/>
      <w:marTop w:val="0"/>
      <w:marBottom w:val="0"/>
      <w:divBdr>
        <w:top w:val="none" w:sz="0" w:space="0" w:color="auto"/>
        <w:left w:val="none" w:sz="0" w:space="0" w:color="auto"/>
        <w:bottom w:val="none" w:sz="0" w:space="0" w:color="auto"/>
        <w:right w:val="none" w:sz="0" w:space="0" w:color="auto"/>
      </w:divBdr>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78857376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499643">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505403">
      <w:bodyDiv w:val="1"/>
      <w:marLeft w:val="0"/>
      <w:marRight w:val="0"/>
      <w:marTop w:val="0"/>
      <w:marBottom w:val="0"/>
      <w:divBdr>
        <w:top w:val="none" w:sz="0" w:space="0" w:color="auto"/>
        <w:left w:val="none" w:sz="0" w:space="0" w:color="auto"/>
        <w:bottom w:val="none" w:sz="0" w:space="0" w:color="auto"/>
        <w:right w:val="none" w:sz="0" w:space="0" w:color="auto"/>
      </w:divBdr>
    </w:div>
    <w:div w:id="1886216990">
      <w:bodyDiv w:val="1"/>
      <w:marLeft w:val="0"/>
      <w:marRight w:val="0"/>
      <w:marTop w:val="0"/>
      <w:marBottom w:val="0"/>
      <w:divBdr>
        <w:top w:val="none" w:sz="0" w:space="0" w:color="auto"/>
        <w:left w:val="none" w:sz="0" w:space="0" w:color="auto"/>
        <w:bottom w:val="none" w:sz="0" w:space="0" w:color="auto"/>
        <w:right w:val="none" w:sz="0" w:space="0" w:color="auto"/>
      </w:divBdr>
    </w:div>
    <w:div w:id="1891108339">
      <w:bodyDiv w:val="1"/>
      <w:marLeft w:val="0"/>
      <w:marRight w:val="0"/>
      <w:marTop w:val="0"/>
      <w:marBottom w:val="0"/>
      <w:divBdr>
        <w:top w:val="none" w:sz="0" w:space="0" w:color="auto"/>
        <w:left w:val="none" w:sz="0" w:space="0" w:color="auto"/>
        <w:bottom w:val="none" w:sz="0" w:space="0" w:color="auto"/>
        <w:right w:val="none" w:sz="0" w:space="0" w:color="auto"/>
      </w:divBdr>
    </w:div>
    <w:div w:id="1893541325">
      <w:bodyDiv w:val="1"/>
      <w:marLeft w:val="0"/>
      <w:marRight w:val="0"/>
      <w:marTop w:val="0"/>
      <w:marBottom w:val="0"/>
      <w:divBdr>
        <w:top w:val="none" w:sz="0" w:space="0" w:color="auto"/>
        <w:left w:val="none" w:sz="0" w:space="0" w:color="auto"/>
        <w:bottom w:val="none" w:sz="0" w:space="0" w:color="auto"/>
        <w:right w:val="none" w:sz="0" w:space="0" w:color="auto"/>
      </w:divBdr>
    </w:div>
    <w:div w:id="1908225594">
      <w:bodyDiv w:val="1"/>
      <w:marLeft w:val="0"/>
      <w:marRight w:val="0"/>
      <w:marTop w:val="0"/>
      <w:marBottom w:val="0"/>
      <w:divBdr>
        <w:top w:val="none" w:sz="0" w:space="0" w:color="auto"/>
        <w:left w:val="none" w:sz="0" w:space="0" w:color="auto"/>
        <w:bottom w:val="none" w:sz="0" w:space="0" w:color="auto"/>
        <w:right w:val="none" w:sz="0" w:space="0" w:color="auto"/>
      </w:divBdr>
    </w:div>
    <w:div w:id="1915627232">
      <w:bodyDiv w:val="1"/>
      <w:marLeft w:val="0"/>
      <w:marRight w:val="0"/>
      <w:marTop w:val="0"/>
      <w:marBottom w:val="0"/>
      <w:divBdr>
        <w:top w:val="none" w:sz="0" w:space="0" w:color="auto"/>
        <w:left w:val="none" w:sz="0" w:space="0" w:color="auto"/>
        <w:bottom w:val="none" w:sz="0" w:space="0" w:color="auto"/>
        <w:right w:val="none" w:sz="0" w:space="0" w:color="auto"/>
      </w:divBdr>
    </w:div>
    <w:div w:id="1945720969">
      <w:bodyDiv w:val="1"/>
      <w:marLeft w:val="0"/>
      <w:marRight w:val="0"/>
      <w:marTop w:val="0"/>
      <w:marBottom w:val="0"/>
      <w:divBdr>
        <w:top w:val="none" w:sz="0" w:space="0" w:color="auto"/>
        <w:left w:val="none" w:sz="0" w:space="0" w:color="auto"/>
        <w:bottom w:val="none" w:sz="0" w:space="0" w:color="auto"/>
        <w:right w:val="none" w:sz="0" w:space="0" w:color="auto"/>
      </w:divBdr>
    </w:div>
    <w:div w:id="197382453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8777990">
      <w:bodyDiv w:val="1"/>
      <w:marLeft w:val="0"/>
      <w:marRight w:val="0"/>
      <w:marTop w:val="0"/>
      <w:marBottom w:val="0"/>
      <w:divBdr>
        <w:top w:val="none" w:sz="0" w:space="0" w:color="auto"/>
        <w:left w:val="none" w:sz="0" w:space="0" w:color="auto"/>
        <w:bottom w:val="none" w:sz="0" w:space="0" w:color="auto"/>
        <w:right w:val="none" w:sz="0" w:space="0" w:color="auto"/>
      </w:divBdr>
    </w:div>
    <w:div w:id="2055495438">
      <w:bodyDiv w:val="1"/>
      <w:marLeft w:val="0"/>
      <w:marRight w:val="0"/>
      <w:marTop w:val="0"/>
      <w:marBottom w:val="0"/>
      <w:divBdr>
        <w:top w:val="none" w:sz="0" w:space="0" w:color="auto"/>
        <w:left w:val="none" w:sz="0" w:space="0" w:color="auto"/>
        <w:bottom w:val="none" w:sz="0" w:space="0" w:color="auto"/>
        <w:right w:val="none" w:sz="0" w:space="0" w:color="auto"/>
      </w:divBdr>
    </w:div>
    <w:div w:id="205746703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24324">
      <w:bodyDiv w:val="1"/>
      <w:marLeft w:val="0"/>
      <w:marRight w:val="0"/>
      <w:marTop w:val="0"/>
      <w:marBottom w:val="0"/>
      <w:divBdr>
        <w:top w:val="none" w:sz="0" w:space="0" w:color="auto"/>
        <w:left w:val="none" w:sz="0" w:space="0" w:color="auto"/>
        <w:bottom w:val="none" w:sz="0" w:space="0" w:color="auto"/>
        <w:right w:val="none" w:sz="0" w:space="0" w:color="auto"/>
      </w:divBdr>
    </w:div>
    <w:div w:id="2109811058">
      <w:bodyDiv w:val="1"/>
      <w:marLeft w:val="0"/>
      <w:marRight w:val="0"/>
      <w:marTop w:val="0"/>
      <w:marBottom w:val="0"/>
      <w:divBdr>
        <w:top w:val="none" w:sz="0" w:space="0" w:color="auto"/>
        <w:left w:val="none" w:sz="0" w:space="0" w:color="auto"/>
        <w:bottom w:val="none" w:sz="0" w:space="0" w:color="auto"/>
        <w:right w:val="none" w:sz="0" w:space="0" w:color="auto"/>
      </w:divBdr>
    </w:div>
    <w:div w:id="21395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publications" TargetMode="External"/><Relationship Id="rId18" Type="http://schemas.openxmlformats.org/officeDocument/2006/relationships/image" Target="media/image5.emf"/><Relationship Id="rId26" Type="http://schemas.openxmlformats.org/officeDocument/2006/relationships/hyperlink" Target="http://www.agriculture.gov.au/abares/Documents/WaterMarketOutlook_v1.0.0.pdf" TargetMode="External"/><Relationship Id="rId39" Type="http://schemas.openxmlformats.org/officeDocument/2006/relationships/hyperlink" Target="https://waterregister.vic.gov.au/water-availability-and-use/unused-water" TargetMode="External"/><Relationship Id="rId21" Type="http://schemas.openxmlformats.org/officeDocument/2006/relationships/image" Target="media/image8.emf"/><Relationship Id="rId34" Type="http://schemas.openxmlformats.org/officeDocument/2006/relationships/hyperlink" Target="https://www.industry.nsw.gov.au/__data/assets/pdf_file/0003/228432/WAS-Murray-Lower-Darling-190515.pdf"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bom.gov.au/water/dashboards/" TargetMode="External"/><Relationship Id="rId11" Type="http://schemas.openxmlformats.org/officeDocument/2006/relationships/image" Target="media/image2.png"/><Relationship Id="rId24" Type="http://schemas.openxmlformats.org/officeDocument/2006/relationships/hyperlink" Target="https://www.industry.nsw.gov.au/water/allocations-availability/allocations/statements" TargetMode="External"/><Relationship Id="rId32" Type="http://schemas.openxmlformats.org/officeDocument/2006/relationships/hyperlink" Target="https://www.industry.nsw.gov.au/water/allocations-availability/allocations/summary" TargetMode="External"/><Relationship Id="rId37" Type="http://schemas.openxmlformats.org/officeDocument/2006/relationships/hyperlink" Target="https://www.environment.sa.gov.au/topics/river-murray/water-allocation-and-carryover/water-allocations-and-announcements" TargetMode="External"/><Relationship Id="rId40" Type="http://schemas.openxmlformats.org/officeDocument/2006/relationships/hyperlink" Target="https://www.waternsw.com.au/customer-service/ordering-trading-and-pricing/trading/murrumbidge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griculture.gov.au/abares/Documents/WaterMarketOutlook_v1.0.0.pdf" TargetMode="External"/><Relationship Id="rId23" Type="http://schemas.openxmlformats.org/officeDocument/2006/relationships/image" Target="media/image10.emf"/><Relationship Id="rId28" Type="http://schemas.openxmlformats.org/officeDocument/2006/relationships/hyperlink" Target="http://www.bom.gov.au/climate/outlooks/" TargetMode="External"/><Relationship Id="rId36" Type="http://schemas.openxmlformats.org/officeDocument/2006/relationships/hyperlink" Target="https://www.ruralcowater.com.au/" TargetMode="External"/><Relationship Id="rId49" Type="http://schemas.openxmlformats.org/officeDocument/2006/relationships/theme" Target="theme/theme1.xml"/><Relationship Id="rId10" Type="http://schemas.openxmlformats.org/officeDocument/2006/relationships/hyperlink" Target="mailto:copyright@agriculture.gov.au" TargetMode="External"/><Relationship Id="rId19" Type="http://schemas.openxmlformats.org/officeDocument/2006/relationships/image" Target="media/image6.png"/><Relationship Id="rId31" Type="http://schemas.openxmlformats.org/officeDocument/2006/relationships/hyperlink" Target="http://www.agriculture.gov.au/abares/research-topics/water/future-scenarios-smdb" TargetMode="External"/><Relationship Id="rId44" Type="http://schemas.openxmlformats.org/officeDocument/2006/relationships/footer" Target="footer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yperlink" Target="http://agriculture.gov.au/" TargetMode="External"/><Relationship Id="rId22" Type="http://schemas.openxmlformats.org/officeDocument/2006/relationships/image" Target="media/image9.emf"/><Relationship Id="rId27" Type="http://schemas.openxmlformats.org/officeDocument/2006/relationships/hyperlink" Target="https://www.abs.gov.au/ausstats/abs@.nsf/mf/6401.0" TargetMode="External"/><Relationship Id="rId30" Type="http://schemas.openxmlformats.org/officeDocument/2006/relationships/hyperlink" Target="https://www.g-mwater.com.au/water-resources/catchments/storage-levels" TargetMode="External"/><Relationship Id="rId35" Type="http://schemas.openxmlformats.org/officeDocument/2006/relationships/hyperlink" Target="https://nvrm.net.au/outlooks/current-outlook"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doi.org/10.25814/5d3fa5ac56a54" TargetMode="External"/><Relationship Id="rId17" Type="http://schemas.openxmlformats.org/officeDocument/2006/relationships/image" Target="media/image4.emf"/><Relationship Id="rId25" Type="http://schemas.openxmlformats.org/officeDocument/2006/relationships/hyperlink" Target="http://www.agriculture.gov.au/abares/research-topics/agricultural-commodities/dec-2018" TargetMode="External"/><Relationship Id="rId33" Type="http://schemas.openxmlformats.org/officeDocument/2006/relationships/hyperlink" Target="https://www.industry.nsw.gov.au/__data/assets/pdf_file/0004/228433/WAS-Murrumbidgee-190515.pdf" TargetMode="External"/><Relationship Id="rId38" Type="http://schemas.openxmlformats.org/officeDocument/2006/relationships/hyperlink" Target="https://www.sawater.com.au/community-and-environment/the-river-murray/river-reports/daily-flow-report" TargetMode="External"/><Relationship Id="rId46" Type="http://schemas.openxmlformats.org/officeDocument/2006/relationships/header" Target="header3.xml"/><Relationship Id="rId20" Type="http://schemas.openxmlformats.org/officeDocument/2006/relationships/image" Target="media/image7.emf"/><Relationship Id="rId41" Type="http://schemas.openxmlformats.org/officeDocument/2006/relationships/hyperlink" Target="https://realtimedata.waternsw.com.au/water.s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50C0442DD74C0844934AEE9D81D269ED" ma:contentTypeVersion="1" ma:contentTypeDescription="Create a new document." ma:contentTypeScope="" ma:versionID="ac9b9e08e8627891613a810d775c67a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56D878-6842-43B5-B3C0-B2A40C4AE230}">
  <ds:schemaRefs>
    <ds:schemaRef ds:uri="http://schemas.openxmlformats.org/officeDocument/2006/bibliography"/>
  </ds:schemaRefs>
</ds:datastoreItem>
</file>

<file path=customXml/itemProps2.xml><?xml version="1.0" encoding="utf-8"?>
<ds:datastoreItem xmlns:ds="http://schemas.openxmlformats.org/officeDocument/2006/customXml" ds:itemID="{66841510-86B1-423C-B85D-F6CAC6CF393D}"/>
</file>

<file path=customXml/itemProps3.xml><?xml version="1.0" encoding="utf-8"?>
<ds:datastoreItem xmlns:ds="http://schemas.openxmlformats.org/officeDocument/2006/customXml" ds:itemID="{20B65024-319E-45CF-9F4F-D834658B8EB5}"/>
</file>

<file path=customXml/itemProps4.xml><?xml version="1.0" encoding="utf-8"?>
<ds:datastoreItem xmlns:ds="http://schemas.openxmlformats.org/officeDocument/2006/customXml" ds:itemID="{1380E342-6990-40B0-9A3D-1C84A2B3D7C4}"/>
</file>

<file path=docProps/app.xml><?xml version="1.0" encoding="utf-8"?>
<Properties xmlns="http://schemas.openxmlformats.org/officeDocument/2006/extended-properties" xmlns:vt="http://schemas.openxmlformats.org/officeDocument/2006/docPropsVTypes">
  <Template>Normal.dotm</Template>
  <TotalTime>0</TotalTime>
  <Pages>18</Pages>
  <Words>4879</Words>
  <Characters>27812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2019-07-30T02:25:00Z</dcterms:created>
  <dcterms:modified xsi:type="dcterms:W3CDTF">2019-07-30T02:45:00Z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0x01010050C0442DD74C0844934AEE9D81D269ED</vt:lpwstr>
  </property>
</Properties>
</file>