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23B" w:rsidRPr="00DF4714" w:rsidRDefault="001340AE">
      <w:pPr>
        <w:pStyle w:val="Heading1"/>
        <w:rPr>
          <w:sz w:val="22"/>
          <w:szCs w:val="22"/>
        </w:rPr>
      </w:pPr>
      <w:r>
        <w:t xml:space="preserve">ABARES water market outlook </w:t>
      </w:r>
      <w:r w:rsidR="002A07E6">
        <w:br/>
      </w:r>
    </w:p>
    <w:p w:rsidR="002A07E6" w:rsidRPr="002A07E6" w:rsidRDefault="002A07E6" w:rsidP="002A07E6">
      <w:pPr>
        <w:spacing w:after="60"/>
        <w:rPr>
          <w:b/>
          <w:sz w:val="28"/>
          <w:szCs w:val="28"/>
          <w:lang w:val="es-ES"/>
        </w:rPr>
      </w:pPr>
      <w:r>
        <w:rPr>
          <w:b/>
          <w:sz w:val="28"/>
          <w:szCs w:val="28"/>
          <w:lang w:val="es-ES"/>
        </w:rPr>
        <w:t>Neal Hughes</w:t>
      </w:r>
      <w:r w:rsidRPr="002A07E6">
        <w:rPr>
          <w:b/>
          <w:sz w:val="28"/>
          <w:szCs w:val="28"/>
          <w:lang w:val="es-ES"/>
        </w:rPr>
        <w:t xml:space="preserve">, </w:t>
      </w:r>
      <w:r>
        <w:rPr>
          <w:b/>
          <w:sz w:val="28"/>
          <w:szCs w:val="28"/>
          <w:lang w:val="es-ES"/>
        </w:rPr>
        <w:t xml:space="preserve">Mihir Gupta </w:t>
      </w:r>
      <w:r w:rsidRPr="002A07E6">
        <w:rPr>
          <w:b/>
          <w:sz w:val="28"/>
          <w:szCs w:val="28"/>
          <w:lang w:val="es-ES"/>
        </w:rPr>
        <w:t xml:space="preserve">and </w:t>
      </w:r>
      <w:r>
        <w:rPr>
          <w:b/>
          <w:sz w:val="28"/>
          <w:szCs w:val="28"/>
          <w:lang w:val="es-ES"/>
        </w:rPr>
        <w:t>Tim Westwood</w:t>
      </w:r>
    </w:p>
    <w:p w:rsidR="0053623B" w:rsidRDefault="00F17467">
      <w:pPr>
        <w:pStyle w:val="Organisation"/>
        <w:tabs>
          <w:tab w:val="left" w:pos="7995"/>
        </w:tabs>
      </w:pPr>
      <w:r>
        <w:t xml:space="preserve">Research by the Australian Bureau of Agricultural and Resource Economics </w:t>
      </w:r>
      <w:r w:rsidR="001340AE">
        <w:t xml:space="preserve">and Sciences </w:t>
      </w:r>
    </w:p>
    <w:p w:rsidR="0053623B" w:rsidRPr="00DF4714" w:rsidRDefault="00A3139B">
      <w:pPr>
        <w:pStyle w:val="Publicationseries"/>
      </w:pPr>
      <w:r>
        <w:t>Conference paper</w:t>
      </w:r>
      <w:r w:rsidR="00DF4714">
        <w:t xml:space="preserve"> 18.1</w:t>
      </w:r>
    </w:p>
    <w:p w:rsidR="0053623B" w:rsidRDefault="00A14007">
      <w:pPr>
        <w:pStyle w:val="Date"/>
      </w:pPr>
      <w:r>
        <w:rPr>
          <w:rStyle w:val="SubtleReference"/>
          <w:sz w:val="22"/>
          <w:szCs w:val="22"/>
        </w:rPr>
        <w:t>M</w:t>
      </w:r>
      <w:r>
        <w:t>arch 2019</w:t>
      </w:r>
    </w:p>
    <w:p w:rsidR="0053623B" w:rsidRDefault="00F17467">
      <w:pPr>
        <w:pStyle w:val="Picture"/>
      </w:pPr>
      <w:r>
        <w:drawing>
          <wp:inline distT="0" distB="0" distL="0" distR="0" wp14:anchorId="5DE30FF5" wp14:editId="6AE80198">
            <wp:extent cx="5543550" cy="5543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A2840_0117 biosphere.png"/>
                    <pic:cNvPicPr/>
                  </pic:nvPicPr>
                  <pic:blipFill>
                    <a:blip r:embed="rId8">
                      <a:extLst>
                        <a:ext uri="{28A0092B-C50C-407E-A947-70E740481C1C}">
                          <a14:useLocalDpi xmlns:a14="http://schemas.microsoft.com/office/drawing/2010/main" val="0"/>
                        </a:ext>
                      </a:extLst>
                    </a:blip>
                    <a:stretch>
                      <a:fillRect/>
                    </a:stretch>
                  </pic:blipFill>
                  <pic:spPr>
                    <a:xfrm>
                      <a:off x="0" y="0"/>
                      <a:ext cx="5543550" cy="5543550"/>
                    </a:xfrm>
                    <a:prstGeom prst="rect">
                      <a:avLst/>
                    </a:prstGeom>
                  </pic:spPr>
                </pic:pic>
              </a:graphicData>
            </a:graphic>
          </wp:inline>
        </w:drawing>
      </w:r>
    </w:p>
    <w:p w:rsidR="0053623B" w:rsidRDefault="00F17467">
      <w:pPr>
        <w:pStyle w:val="Normalsmall"/>
      </w:pPr>
      <w:r>
        <w:br w:type="page"/>
      </w:r>
      <w:r>
        <w:lastRenderedPageBreak/>
        <w:t>© Commonwealth of Australia 2018</w:t>
      </w:r>
    </w:p>
    <w:p w:rsidR="0053623B" w:rsidRDefault="00F17467">
      <w:pPr>
        <w:pStyle w:val="Normalsmall"/>
        <w:rPr>
          <w:rStyle w:val="Strong"/>
        </w:rPr>
      </w:pPr>
      <w:r>
        <w:rPr>
          <w:rStyle w:val="Strong"/>
        </w:rPr>
        <w:t>Ownership of intellectual property rights</w:t>
      </w:r>
    </w:p>
    <w:p w:rsidR="0053623B" w:rsidRDefault="00F17467">
      <w:pPr>
        <w:pStyle w:val="Normalsmall"/>
      </w:pPr>
      <w:r>
        <w:t>Unless otherwise noted, copyright (and any other intellectual property rights, if any) in this publication is owned by the Commonwealth of Australia (referred to as the Commonwealth).</w:t>
      </w:r>
    </w:p>
    <w:p w:rsidR="0053623B" w:rsidRDefault="00F17467">
      <w:pPr>
        <w:pStyle w:val="Normalsmall"/>
        <w:rPr>
          <w:rStyle w:val="Strong"/>
        </w:rPr>
      </w:pPr>
      <w:r>
        <w:rPr>
          <w:rStyle w:val="Strong"/>
        </w:rPr>
        <w:t>Creative Commons licence</w:t>
      </w:r>
    </w:p>
    <w:p w:rsidR="0053623B" w:rsidRDefault="00F17467">
      <w:pPr>
        <w:pStyle w:val="Normalsmall"/>
      </w:pPr>
      <w:r>
        <w:t xml:space="preserve">All material in this publication is licensed under a Creative </w:t>
      </w:r>
      <w:hyperlink r:id="rId9" w:history="1">
        <w:r>
          <w:rPr>
            <w:rStyle w:val="Hyperlink"/>
          </w:rPr>
          <w:t>Commons Attribution 4.0 International Licence</w:t>
        </w:r>
      </w:hyperlink>
      <w:r>
        <w:t xml:space="preserve"> except content supplied by third parties, logos and the Commonwealth Coat of Arms.</w:t>
      </w:r>
    </w:p>
    <w:p w:rsidR="0053623B" w:rsidRDefault="00F17467">
      <w:pPr>
        <w:pStyle w:val="Normalsmall"/>
      </w:pPr>
      <w:r>
        <w:t xml:space="preserve">Inquiries about the licence and any use of this document should be emailed to </w:t>
      </w:r>
      <w:hyperlink r:id="rId10" w:history="1">
        <w:r>
          <w:rPr>
            <w:rStyle w:val="Hyperlink"/>
          </w:rPr>
          <w:t>copyright@agriculture.gov.au</w:t>
        </w:r>
      </w:hyperlink>
      <w:r>
        <w:t>.</w:t>
      </w:r>
    </w:p>
    <w:p w:rsidR="0053623B" w:rsidRDefault="00F17467">
      <w:pPr>
        <w:pStyle w:val="Normalsmall"/>
      </w:pPr>
      <w:r>
        <w:rPr>
          <w:noProof/>
          <w:lang w:eastAsia="en-AU"/>
        </w:rPr>
        <w:drawing>
          <wp:inline distT="0" distB="0" distL="0" distR="0" wp14:anchorId="61920B05" wp14:editId="3ABDA0C0">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rsidR="0053623B" w:rsidRDefault="00F17467">
      <w:pPr>
        <w:pStyle w:val="Normalsmall"/>
        <w:rPr>
          <w:rStyle w:val="Strong"/>
        </w:rPr>
      </w:pPr>
      <w:r>
        <w:rPr>
          <w:rStyle w:val="Strong"/>
        </w:rPr>
        <w:t>Cataloguing data</w:t>
      </w:r>
    </w:p>
    <w:p w:rsidR="0053623B" w:rsidRPr="00DF4714" w:rsidRDefault="00F17467">
      <w:pPr>
        <w:pStyle w:val="Normalsmall"/>
        <w:rPr>
          <w:highlight w:val="yellow"/>
        </w:rPr>
      </w:pPr>
      <w:r>
        <w:t xml:space="preserve">This publication (and any material sourced from it) should be attributed as: </w:t>
      </w:r>
      <w:r w:rsidR="00AC02DC" w:rsidRPr="00DF4714">
        <w:t xml:space="preserve">Hughes, N, </w:t>
      </w:r>
      <w:r w:rsidR="009D7F46">
        <w:t xml:space="preserve">Gupta, M, </w:t>
      </w:r>
      <w:r w:rsidR="00AC02DC" w:rsidRPr="00DF4714">
        <w:t xml:space="preserve">Westwood, T </w:t>
      </w:r>
      <w:r w:rsidRPr="00DF4714">
        <w:t xml:space="preserve">2018, </w:t>
      </w:r>
      <w:r w:rsidR="00AC02DC">
        <w:rPr>
          <w:i/>
        </w:rPr>
        <w:t>ABARES water market outlook</w:t>
      </w:r>
      <w:r>
        <w:t xml:space="preserve">, ABARES </w:t>
      </w:r>
      <w:r w:rsidR="00A3139B">
        <w:t>conference paper</w:t>
      </w:r>
      <w:r w:rsidR="00B13971">
        <w:t xml:space="preserve"> </w:t>
      </w:r>
      <w:r w:rsidR="009D7F46">
        <w:t>18.1</w:t>
      </w:r>
      <w:r>
        <w:t xml:space="preserve">, Canberra, </w:t>
      </w:r>
      <w:r w:rsidR="008C4425">
        <w:t>March</w:t>
      </w:r>
      <w:r>
        <w:t>. CC BY 4.0.</w:t>
      </w:r>
      <w:r w:rsidR="009B2FF9">
        <w:t xml:space="preserve"> </w:t>
      </w:r>
      <w:hyperlink r:id="rId12" w:history="1">
        <w:r w:rsidR="009B2FF9" w:rsidRPr="0088520C">
          <w:rPr>
            <w:rStyle w:val="Hyperlink"/>
          </w:rPr>
          <w:t>https://doi.org/10.25814/5c78557baf5b3</w:t>
        </w:r>
      </w:hyperlink>
      <w:bookmarkStart w:id="0" w:name="_GoBack"/>
      <w:bookmarkEnd w:id="0"/>
    </w:p>
    <w:p w:rsidR="00A3139B" w:rsidRPr="00DF4714" w:rsidRDefault="00F17467" w:rsidP="00A3139B">
      <w:pPr>
        <w:pStyle w:val="Normalsmall"/>
      </w:pPr>
      <w:r w:rsidRPr="00DF4714">
        <w:t xml:space="preserve">ISBN </w:t>
      </w:r>
      <w:r w:rsidR="00A3139B" w:rsidRPr="00DF4714">
        <w:t>978-1-74323-426-6</w:t>
      </w:r>
      <w:r w:rsidR="00A3139B" w:rsidRPr="00DF4714" w:rsidDel="00A3139B">
        <w:t xml:space="preserve"> </w:t>
      </w:r>
      <w:r w:rsidR="00A3139B" w:rsidRPr="00DF4714">
        <w:br/>
        <w:t>ISSN:</w:t>
      </w:r>
      <w:r w:rsidR="00B13971">
        <w:t xml:space="preserve">   </w:t>
      </w:r>
      <w:r w:rsidR="00A3139B" w:rsidRPr="00DF4714">
        <w:t>1447-3666</w:t>
      </w:r>
    </w:p>
    <w:p w:rsidR="0053623B" w:rsidRDefault="00F17467">
      <w:pPr>
        <w:pStyle w:val="Normalsmall"/>
      </w:pPr>
      <w:r>
        <w:t xml:space="preserve">This publication is available </w:t>
      </w:r>
      <w:r w:rsidRPr="00B90FC9">
        <w:t xml:space="preserve">at </w:t>
      </w:r>
      <w:hyperlink r:id="rId13" w:history="1">
        <w:r w:rsidRPr="00B90FC9">
          <w:rPr>
            <w:rStyle w:val="Hyperlink"/>
          </w:rPr>
          <w:t>agriculture.gov.au/publications</w:t>
        </w:r>
      </w:hyperlink>
      <w:r w:rsidRPr="00B90FC9">
        <w:t>.</w:t>
      </w:r>
    </w:p>
    <w:p w:rsidR="0053623B" w:rsidRDefault="00F17467">
      <w:pPr>
        <w:pStyle w:val="Normalsmall"/>
        <w:spacing w:after="0"/>
      </w:pPr>
      <w:r>
        <w:t>Department of Agriculture and Water Resources</w:t>
      </w:r>
    </w:p>
    <w:p w:rsidR="0053623B" w:rsidRDefault="00F17467">
      <w:pPr>
        <w:pStyle w:val="Normalsmall"/>
        <w:spacing w:after="0"/>
      </w:pPr>
      <w:r>
        <w:t>GPO Box 858 Canberra ACT 2601</w:t>
      </w:r>
    </w:p>
    <w:p w:rsidR="0053623B" w:rsidRDefault="00F17467">
      <w:pPr>
        <w:pStyle w:val="Normalsmall"/>
        <w:spacing w:after="0"/>
      </w:pPr>
      <w:r>
        <w:t>Telephone 1800 900 090</w:t>
      </w:r>
    </w:p>
    <w:p w:rsidR="0053623B" w:rsidRDefault="00F17467">
      <w:pPr>
        <w:pStyle w:val="Normalsmall"/>
      </w:pPr>
      <w:r>
        <w:t xml:space="preserve">Web </w:t>
      </w:r>
      <w:hyperlink r:id="rId14" w:history="1">
        <w:r>
          <w:rPr>
            <w:rStyle w:val="Hyperlink"/>
          </w:rPr>
          <w:t>agriculture.gov.au</w:t>
        </w:r>
      </w:hyperlink>
    </w:p>
    <w:p w:rsidR="0053623B" w:rsidRDefault="00F17467">
      <w:pPr>
        <w:pStyle w:val="Normalsmall"/>
      </w:pPr>
      <w:r>
        <w:t>The Australian Government acting through the Department of Agriculture and Water Resources, represented by the Australian Bureau of Agricultural and Resource Economics and Sciences, has exercised due care and skill in preparing and compiling the information and data in this publication. Notwithstanding, the Department of Agriculture and Water Resources,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rsidR="00FA4489" w:rsidRDefault="00FA4489">
      <w:pPr>
        <w:pStyle w:val="TOCHeading"/>
        <w:rPr>
          <w:rFonts w:ascii="Cambria" w:eastAsiaTheme="minorHAnsi" w:hAnsi="Cambria"/>
          <w:bCs w:val="0"/>
          <w:color w:val="auto"/>
          <w:sz w:val="22"/>
          <w:szCs w:val="22"/>
          <w:lang w:eastAsia="en-US"/>
        </w:rPr>
      </w:pPr>
    </w:p>
    <w:p w:rsidR="00AC5513" w:rsidRDefault="00AC5513" w:rsidP="00DF4714"/>
    <w:p w:rsidR="00AC5513" w:rsidRPr="001008B9" w:rsidRDefault="00AC5513" w:rsidP="00DF4714"/>
    <w:p w:rsidR="00FA4489" w:rsidRDefault="00FA4489">
      <w:pPr>
        <w:pStyle w:val="TOCHeading"/>
        <w:rPr>
          <w:rFonts w:ascii="Cambria" w:eastAsiaTheme="minorHAnsi" w:hAnsi="Cambria"/>
          <w:bCs w:val="0"/>
          <w:color w:val="auto"/>
          <w:sz w:val="22"/>
          <w:szCs w:val="22"/>
          <w:lang w:eastAsia="en-US"/>
        </w:rPr>
      </w:pPr>
    </w:p>
    <w:p w:rsidR="00FA4489" w:rsidRDefault="00FA4489">
      <w:pPr>
        <w:pStyle w:val="TOCHeading"/>
        <w:rPr>
          <w:rFonts w:ascii="Cambria" w:eastAsiaTheme="minorHAnsi" w:hAnsi="Cambria"/>
          <w:bCs w:val="0"/>
          <w:color w:val="auto"/>
          <w:sz w:val="22"/>
          <w:szCs w:val="22"/>
          <w:lang w:eastAsia="en-US"/>
        </w:rPr>
      </w:pPr>
    </w:p>
    <w:p w:rsidR="00FA4489" w:rsidRDefault="00FA4489">
      <w:pPr>
        <w:pStyle w:val="TOCHeading"/>
        <w:rPr>
          <w:rFonts w:ascii="Cambria" w:eastAsiaTheme="minorHAnsi" w:hAnsi="Cambria"/>
          <w:bCs w:val="0"/>
          <w:color w:val="auto"/>
          <w:sz w:val="22"/>
          <w:szCs w:val="22"/>
          <w:lang w:eastAsia="en-US"/>
        </w:rPr>
      </w:pPr>
    </w:p>
    <w:p w:rsidR="00FA4489" w:rsidRDefault="00FA4489">
      <w:pPr>
        <w:pStyle w:val="TOCHeading"/>
        <w:rPr>
          <w:rFonts w:ascii="Cambria" w:eastAsiaTheme="minorHAnsi" w:hAnsi="Cambria"/>
          <w:bCs w:val="0"/>
          <w:color w:val="auto"/>
          <w:sz w:val="22"/>
          <w:szCs w:val="22"/>
          <w:lang w:eastAsia="en-US"/>
        </w:rPr>
      </w:pPr>
    </w:p>
    <w:p w:rsidR="00FA4489" w:rsidRDefault="00FA4489">
      <w:pPr>
        <w:pStyle w:val="TOCHeading"/>
        <w:rPr>
          <w:rFonts w:ascii="Cambria" w:eastAsiaTheme="minorHAnsi" w:hAnsi="Cambria"/>
          <w:bCs w:val="0"/>
          <w:color w:val="auto"/>
          <w:sz w:val="22"/>
          <w:szCs w:val="22"/>
          <w:lang w:eastAsia="en-US"/>
        </w:rPr>
      </w:pP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rsidR="0053623B" w:rsidRDefault="00F17467">
          <w:pPr>
            <w:pStyle w:val="TOCHeading"/>
          </w:pPr>
          <w:r>
            <w:t>Contents</w:t>
          </w:r>
        </w:p>
        <w:p w:rsidR="001446A7" w:rsidRDefault="00F17467">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2246930" w:history="1">
            <w:r w:rsidR="001446A7" w:rsidRPr="00A108A4">
              <w:rPr>
                <w:rStyle w:val="Hyperlink"/>
              </w:rPr>
              <w:t>Summary</w:t>
            </w:r>
            <w:r w:rsidR="001446A7">
              <w:rPr>
                <w:webHidden/>
              </w:rPr>
              <w:tab/>
            </w:r>
            <w:r w:rsidR="001446A7">
              <w:rPr>
                <w:webHidden/>
              </w:rPr>
              <w:fldChar w:fldCharType="begin"/>
            </w:r>
            <w:r w:rsidR="001446A7">
              <w:rPr>
                <w:webHidden/>
              </w:rPr>
              <w:instrText xml:space="preserve"> PAGEREF _Toc2246930 \h </w:instrText>
            </w:r>
            <w:r w:rsidR="001446A7">
              <w:rPr>
                <w:webHidden/>
              </w:rPr>
            </w:r>
            <w:r w:rsidR="001446A7">
              <w:rPr>
                <w:webHidden/>
              </w:rPr>
              <w:fldChar w:fldCharType="separate"/>
            </w:r>
            <w:r w:rsidR="001446A7">
              <w:rPr>
                <w:webHidden/>
              </w:rPr>
              <w:t>4</w:t>
            </w:r>
            <w:r w:rsidR="001446A7">
              <w:rPr>
                <w:webHidden/>
              </w:rPr>
              <w:fldChar w:fldCharType="end"/>
            </w:r>
          </w:hyperlink>
        </w:p>
        <w:p w:rsidR="001446A7" w:rsidRDefault="0091782F">
          <w:pPr>
            <w:pStyle w:val="TOC1"/>
            <w:rPr>
              <w:rFonts w:asciiTheme="minorHAnsi" w:eastAsiaTheme="minorEastAsia" w:hAnsiTheme="minorHAnsi"/>
              <w:b w:val="0"/>
              <w:lang w:eastAsia="en-AU"/>
            </w:rPr>
          </w:pPr>
          <w:hyperlink w:anchor="_Toc2246931" w:history="1">
            <w:r w:rsidR="001446A7" w:rsidRPr="00A108A4">
              <w:rPr>
                <w:rStyle w:val="Hyperlink"/>
              </w:rPr>
              <w:t>Current water market conditions</w:t>
            </w:r>
            <w:r w:rsidR="001446A7">
              <w:rPr>
                <w:webHidden/>
              </w:rPr>
              <w:tab/>
            </w:r>
            <w:r w:rsidR="001446A7">
              <w:rPr>
                <w:webHidden/>
              </w:rPr>
              <w:fldChar w:fldCharType="begin"/>
            </w:r>
            <w:r w:rsidR="001446A7">
              <w:rPr>
                <w:webHidden/>
              </w:rPr>
              <w:instrText xml:space="preserve"> PAGEREF _Toc2246931 \h </w:instrText>
            </w:r>
            <w:r w:rsidR="001446A7">
              <w:rPr>
                <w:webHidden/>
              </w:rPr>
            </w:r>
            <w:r w:rsidR="001446A7">
              <w:rPr>
                <w:webHidden/>
              </w:rPr>
              <w:fldChar w:fldCharType="separate"/>
            </w:r>
            <w:r w:rsidR="001446A7">
              <w:rPr>
                <w:webHidden/>
              </w:rPr>
              <w:t>5</w:t>
            </w:r>
            <w:r w:rsidR="001446A7">
              <w:rPr>
                <w:webHidden/>
              </w:rPr>
              <w:fldChar w:fldCharType="end"/>
            </w:r>
          </w:hyperlink>
        </w:p>
        <w:p w:rsidR="001446A7" w:rsidRDefault="0091782F">
          <w:pPr>
            <w:pStyle w:val="TOC1"/>
            <w:rPr>
              <w:rFonts w:asciiTheme="minorHAnsi" w:eastAsiaTheme="minorEastAsia" w:hAnsiTheme="minorHAnsi"/>
              <w:b w:val="0"/>
              <w:lang w:eastAsia="en-AU"/>
            </w:rPr>
          </w:pPr>
          <w:hyperlink w:anchor="_Toc2246932" w:history="1">
            <w:r w:rsidR="001446A7" w:rsidRPr="00A108A4">
              <w:rPr>
                <w:rStyle w:val="Hyperlink"/>
              </w:rPr>
              <w:t>2019–20 water market scenarios</w:t>
            </w:r>
            <w:r w:rsidR="001446A7">
              <w:rPr>
                <w:webHidden/>
              </w:rPr>
              <w:tab/>
            </w:r>
            <w:r w:rsidR="001446A7">
              <w:rPr>
                <w:webHidden/>
              </w:rPr>
              <w:fldChar w:fldCharType="begin"/>
            </w:r>
            <w:r w:rsidR="001446A7">
              <w:rPr>
                <w:webHidden/>
              </w:rPr>
              <w:instrText xml:space="preserve"> PAGEREF _Toc2246932 \h </w:instrText>
            </w:r>
            <w:r w:rsidR="001446A7">
              <w:rPr>
                <w:webHidden/>
              </w:rPr>
            </w:r>
            <w:r w:rsidR="001446A7">
              <w:rPr>
                <w:webHidden/>
              </w:rPr>
              <w:fldChar w:fldCharType="separate"/>
            </w:r>
            <w:r w:rsidR="001446A7">
              <w:rPr>
                <w:webHidden/>
              </w:rPr>
              <w:t>7</w:t>
            </w:r>
            <w:r w:rsidR="001446A7">
              <w:rPr>
                <w:webHidden/>
              </w:rPr>
              <w:fldChar w:fldCharType="end"/>
            </w:r>
          </w:hyperlink>
        </w:p>
        <w:p w:rsidR="001446A7" w:rsidRDefault="0091782F">
          <w:pPr>
            <w:pStyle w:val="TOC1"/>
            <w:rPr>
              <w:rFonts w:asciiTheme="minorHAnsi" w:eastAsiaTheme="minorEastAsia" w:hAnsiTheme="minorHAnsi"/>
              <w:b w:val="0"/>
              <w:lang w:eastAsia="en-AU"/>
            </w:rPr>
          </w:pPr>
          <w:hyperlink w:anchor="_Toc2246933" w:history="1">
            <w:r w:rsidR="001446A7" w:rsidRPr="00A108A4">
              <w:rPr>
                <w:rStyle w:val="Hyperlink"/>
              </w:rPr>
              <w:t>Long term water market outlook</w:t>
            </w:r>
            <w:r w:rsidR="001446A7">
              <w:rPr>
                <w:webHidden/>
              </w:rPr>
              <w:tab/>
            </w:r>
            <w:r w:rsidR="001446A7">
              <w:rPr>
                <w:webHidden/>
              </w:rPr>
              <w:fldChar w:fldCharType="begin"/>
            </w:r>
            <w:r w:rsidR="001446A7">
              <w:rPr>
                <w:webHidden/>
              </w:rPr>
              <w:instrText xml:space="preserve"> PAGEREF _Toc2246933 \h </w:instrText>
            </w:r>
            <w:r w:rsidR="001446A7">
              <w:rPr>
                <w:webHidden/>
              </w:rPr>
            </w:r>
            <w:r w:rsidR="001446A7">
              <w:rPr>
                <w:webHidden/>
              </w:rPr>
              <w:fldChar w:fldCharType="separate"/>
            </w:r>
            <w:r w:rsidR="001446A7">
              <w:rPr>
                <w:webHidden/>
              </w:rPr>
              <w:t>11</w:t>
            </w:r>
            <w:r w:rsidR="001446A7">
              <w:rPr>
                <w:webHidden/>
              </w:rPr>
              <w:fldChar w:fldCharType="end"/>
            </w:r>
          </w:hyperlink>
        </w:p>
        <w:p w:rsidR="001446A7" w:rsidRDefault="0091782F">
          <w:pPr>
            <w:pStyle w:val="TOC1"/>
            <w:rPr>
              <w:rFonts w:asciiTheme="minorHAnsi" w:eastAsiaTheme="minorEastAsia" w:hAnsiTheme="minorHAnsi"/>
              <w:b w:val="0"/>
              <w:lang w:eastAsia="en-AU"/>
            </w:rPr>
          </w:pPr>
          <w:hyperlink w:anchor="_Toc2246934" w:history="1">
            <w:r w:rsidR="001446A7" w:rsidRPr="00A108A4">
              <w:rPr>
                <w:rStyle w:val="Hyperlink"/>
              </w:rPr>
              <w:t>References</w:t>
            </w:r>
            <w:r w:rsidR="001446A7">
              <w:rPr>
                <w:webHidden/>
              </w:rPr>
              <w:tab/>
            </w:r>
            <w:r w:rsidR="001446A7">
              <w:rPr>
                <w:webHidden/>
              </w:rPr>
              <w:fldChar w:fldCharType="begin"/>
            </w:r>
            <w:r w:rsidR="001446A7">
              <w:rPr>
                <w:webHidden/>
              </w:rPr>
              <w:instrText xml:space="preserve"> PAGEREF _Toc2246934 \h </w:instrText>
            </w:r>
            <w:r w:rsidR="001446A7">
              <w:rPr>
                <w:webHidden/>
              </w:rPr>
            </w:r>
            <w:r w:rsidR="001446A7">
              <w:rPr>
                <w:webHidden/>
              </w:rPr>
              <w:fldChar w:fldCharType="separate"/>
            </w:r>
            <w:r w:rsidR="001446A7">
              <w:rPr>
                <w:webHidden/>
              </w:rPr>
              <w:t>13</w:t>
            </w:r>
            <w:r w:rsidR="001446A7">
              <w:rPr>
                <w:webHidden/>
              </w:rPr>
              <w:fldChar w:fldCharType="end"/>
            </w:r>
          </w:hyperlink>
        </w:p>
        <w:p w:rsidR="0053623B" w:rsidRDefault="00F17467">
          <w:r>
            <w:rPr>
              <w:b/>
              <w:noProof/>
            </w:rPr>
            <w:fldChar w:fldCharType="end"/>
          </w:r>
        </w:p>
      </w:sdtContent>
    </w:sdt>
    <w:p w:rsidR="0053623B" w:rsidRDefault="00F17467">
      <w:pPr>
        <w:pStyle w:val="TOCHeading2"/>
        <w:rPr>
          <w:rStyle w:val="Strong"/>
        </w:rPr>
      </w:pPr>
      <w:r>
        <w:rPr>
          <w:rStyle w:val="Strong"/>
        </w:rPr>
        <w:t>Tables</w:t>
      </w:r>
    </w:p>
    <w:p w:rsidR="001446A7" w:rsidRDefault="00F17467">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2246935" w:history="1">
        <w:r w:rsidR="001446A7" w:rsidRPr="00AB6302">
          <w:rPr>
            <w:rStyle w:val="Hyperlink"/>
            <w:noProof/>
          </w:rPr>
          <w:t>Table 1: ABARES water allocation price scenarios for 2019–20</w:t>
        </w:r>
        <w:r w:rsidR="001446A7">
          <w:rPr>
            <w:noProof/>
            <w:webHidden/>
          </w:rPr>
          <w:tab/>
        </w:r>
        <w:r w:rsidR="001446A7">
          <w:rPr>
            <w:noProof/>
            <w:webHidden/>
          </w:rPr>
          <w:fldChar w:fldCharType="begin"/>
        </w:r>
        <w:r w:rsidR="001446A7">
          <w:rPr>
            <w:noProof/>
            <w:webHidden/>
          </w:rPr>
          <w:instrText xml:space="preserve"> PAGEREF _Toc2246935 \h </w:instrText>
        </w:r>
        <w:r w:rsidR="001446A7">
          <w:rPr>
            <w:noProof/>
            <w:webHidden/>
          </w:rPr>
        </w:r>
        <w:r w:rsidR="001446A7">
          <w:rPr>
            <w:noProof/>
            <w:webHidden/>
          </w:rPr>
          <w:fldChar w:fldCharType="separate"/>
        </w:r>
        <w:r w:rsidR="001446A7">
          <w:rPr>
            <w:noProof/>
            <w:webHidden/>
          </w:rPr>
          <w:t>8</w:t>
        </w:r>
        <w:r w:rsidR="001446A7">
          <w:rPr>
            <w:noProof/>
            <w:webHidden/>
          </w:rPr>
          <w:fldChar w:fldCharType="end"/>
        </w:r>
      </w:hyperlink>
    </w:p>
    <w:p w:rsidR="001446A7" w:rsidRDefault="0091782F">
      <w:pPr>
        <w:pStyle w:val="TableofFigures"/>
        <w:tabs>
          <w:tab w:val="right" w:leader="dot" w:pos="9060"/>
        </w:tabs>
        <w:rPr>
          <w:rFonts w:asciiTheme="minorHAnsi" w:eastAsiaTheme="minorEastAsia" w:hAnsiTheme="minorHAnsi"/>
          <w:noProof/>
          <w:lang w:eastAsia="en-AU"/>
        </w:rPr>
      </w:pPr>
      <w:hyperlink w:anchor="_Toc2246936" w:history="1">
        <w:r w:rsidR="001446A7" w:rsidRPr="00AB6302">
          <w:rPr>
            <w:rStyle w:val="Hyperlink"/>
            <w:noProof/>
          </w:rPr>
          <w:t>Table 2: Water carryover outlook for 2019–20</w:t>
        </w:r>
        <w:r w:rsidR="001446A7">
          <w:rPr>
            <w:noProof/>
            <w:webHidden/>
          </w:rPr>
          <w:tab/>
        </w:r>
        <w:r w:rsidR="001446A7">
          <w:rPr>
            <w:noProof/>
            <w:webHidden/>
          </w:rPr>
          <w:fldChar w:fldCharType="begin"/>
        </w:r>
        <w:r w:rsidR="001446A7">
          <w:rPr>
            <w:noProof/>
            <w:webHidden/>
          </w:rPr>
          <w:instrText xml:space="preserve"> PAGEREF _Toc2246936 \h </w:instrText>
        </w:r>
        <w:r w:rsidR="001446A7">
          <w:rPr>
            <w:noProof/>
            <w:webHidden/>
          </w:rPr>
        </w:r>
        <w:r w:rsidR="001446A7">
          <w:rPr>
            <w:noProof/>
            <w:webHidden/>
          </w:rPr>
          <w:fldChar w:fldCharType="separate"/>
        </w:r>
        <w:r w:rsidR="001446A7">
          <w:rPr>
            <w:noProof/>
            <w:webHidden/>
          </w:rPr>
          <w:t>9</w:t>
        </w:r>
        <w:r w:rsidR="001446A7">
          <w:rPr>
            <w:noProof/>
            <w:webHidden/>
          </w:rPr>
          <w:fldChar w:fldCharType="end"/>
        </w:r>
      </w:hyperlink>
    </w:p>
    <w:p w:rsidR="00EA3735" w:rsidRDefault="00F17467" w:rsidP="00EA3735">
      <w:pPr>
        <w:pStyle w:val="TableofFigures"/>
        <w:tabs>
          <w:tab w:val="right" w:leader="dot" w:pos="9060"/>
        </w:tabs>
      </w:pPr>
      <w:r>
        <w:rPr>
          <w:noProof/>
        </w:rPr>
        <w:fldChar w:fldCharType="end"/>
      </w:r>
    </w:p>
    <w:p w:rsidR="0053623B" w:rsidRDefault="0053623B">
      <w:pPr>
        <w:spacing w:before="120" w:after="120"/>
      </w:pPr>
    </w:p>
    <w:p w:rsidR="0053623B" w:rsidRDefault="00832C58">
      <w:pPr>
        <w:pStyle w:val="TOCHeading2"/>
        <w:rPr>
          <w:rStyle w:val="Strong"/>
        </w:rPr>
      </w:pPr>
      <w:r w:rsidRPr="00EA3735">
        <w:rPr>
          <w:rStyle w:val="Strong"/>
        </w:rPr>
        <w:t>Figure</w:t>
      </w:r>
      <w:r w:rsidR="00F17467" w:rsidRPr="00EA3735">
        <w:rPr>
          <w:rStyle w:val="Strong"/>
        </w:rPr>
        <w:t>s</w:t>
      </w:r>
    </w:p>
    <w:p w:rsidR="001446A7" w:rsidRDefault="00F17467">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2246922" w:history="1">
        <w:r w:rsidR="001446A7" w:rsidRPr="00CA7088">
          <w:rPr>
            <w:rStyle w:val="Hyperlink"/>
            <w:noProof/>
          </w:rPr>
          <w:t>Figure 1 Allocation prices and storage volumes in the southern Murray-Darling Basin</w:t>
        </w:r>
        <w:r w:rsidR="001446A7">
          <w:rPr>
            <w:noProof/>
            <w:webHidden/>
          </w:rPr>
          <w:tab/>
        </w:r>
        <w:r w:rsidR="001446A7">
          <w:rPr>
            <w:noProof/>
            <w:webHidden/>
          </w:rPr>
          <w:fldChar w:fldCharType="begin"/>
        </w:r>
        <w:r w:rsidR="001446A7">
          <w:rPr>
            <w:noProof/>
            <w:webHidden/>
          </w:rPr>
          <w:instrText xml:space="preserve"> PAGEREF _Toc2246922 \h </w:instrText>
        </w:r>
        <w:r w:rsidR="001446A7">
          <w:rPr>
            <w:noProof/>
            <w:webHidden/>
          </w:rPr>
        </w:r>
        <w:r w:rsidR="001446A7">
          <w:rPr>
            <w:noProof/>
            <w:webHidden/>
          </w:rPr>
          <w:fldChar w:fldCharType="separate"/>
        </w:r>
        <w:r w:rsidR="001446A7">
          <w:rPr>
            <w:noProof/>
            <w:webHidden/>
          </w:rPr>
          <w:t>5</w:t>
        </w:r>
        <w:r w:rsidR="001446A7">
          <w:rPr>
            <w:noProof/>
            <w:webHidden/>
          </w:rPr>
          <w:fldChar w:fldCharType="end"/>
        </w:r>
      </w:hyperlink>
      <w:r w:rsidR="006A383E">
        <w:rPr>
          <w:noProof/>
        </w:rPr>
        <w:t>`</w:t>
      </w:r>
    </w:p>
    <w:p w:rsidR="001446A7" w:rsidRDefault="0091782F">
      <w:pPr>
        <w:pStyle w:val="TableofFigures"/>
        <w:tabs>
          <w:tab w:val="right" w:leader="dot" w:pos="9060"/>
        </w:tabs>
        <w:rPr>
          <w:rFonts w:asciiTheme="minorHAnsi" w:eastAsiaTheme="minorEastAsia" w:hAnsiTheme="minorHAnsi"/>
          <w:noProof/>
          <w:lang w:eastAsia="en-AU"/>
        </w:rPr>
      </w:pPr>
      <w:hyperlink w:anchor="_Toc2246923" w:history="1">
        <w:r w:rsidR="001446A7" w:rsidRPr="00CA7088">
          <w:rPr>
            <w:rStyle w:val="Hyperlink"/>
            <w:noProof/>
          </w:rPr>
          <w:t>Figure 2 Water allocation scenarios for 2018–19</w:t>
        </w:r>
        <w:r w:rsidR="001446A7">
          <w:rPr>
            <w:noProof/>
            <w:webHidden/>
          </w:rPr>
          <w:tab/>
        </w:r>
        <w:r w:rsidR="001446A7">
          <w:rPr>
            <w:noProof/>
            <w:webHidden/>
          </w:rPr>
          <w:fldChar w:fldCharType="begin"/>
        </w:r>
        <w:r w:rsidR="001446A7">
          <w:rPr>
            <w:noProof/>
            <w:webHidden/>
          </w:rPr>
          <w:instrText xml:space="preserve"> PAGEREF _Toc2246923 \h </w:instrText>
        </w:r>
        <w:r w:rsidR="001446A7">
          <w:rPr>
            <w:noProof/>
            <w:webHidden/>
          </w:rPr>
        </w:r>
        <w:r w:rsidR="001446A7">
          <w:rPr>
            <w:noProof/>
            <w:webHidden/>
          </w:rPr>
          <w:fldChar w:fldCharType="separate"/>
        </w:r>
        <w:r w:rsidR="001446A7">
          <w:rPr>
            <w:noProof/>
            <w:webHidden/>
          </w:rPr>
          <w:t>6</w:t>
        </w:r>
        <w:r w:rsidR="001446A7">
          <w:rPr>
            <w:noProof/>
            <w:webHidden/>
          </w:rPr>
          <w:fldChar w:fldCharType="end"/>
        </w:r>
      </w:hyperlink>
    </w:p>
    <w:p w:rsidR="001446A7" w:rsidRDefault="0091782F">
      <w:pPr>
        <w:pStyle w:val="TableofFigures"/>
        <w:tabs>
          <w:tab w:val="right" w:leader="dot" w:pos="9060"/>
        </w:tabs>
        <w:rPr>
          <w:rFonts w:asciiTheme="minorHAnsi" w:eastAsiaTheme="minorEastAsia" w:hAnsiTheme="minorHAnsi"/>
          <w:noProof/>
          <w:lang w:eastAsia="en-AU"/>
        </w:rPr>
      </w:pPr>
      <w:hyperlink w:anchor="_Toc2246924" w:history="1">
        <w:r w:rsidR="001446A7" w:rsidRPr="00CA7088">
          <w:rPr>
            <w:rStyle w:val="Hyperlink"/>
            <w:noProof/>
          </w:rPr>
          <w:t>Figure 3 Water allocation scenarios for 2019–20</w:t>
        </w:r>
        <w:r w:rsidR="001446A7">
          <w:rPr>
            <w:noProof/>
            <w:webHidden/>
          </w:rPr>
          <w:tab/>
        </w:r>
        <w:r w:rsidR="001446A7">
          <w:rPr>
            <w:noProof/>
            <w:webHidden/>
          </w:rPr>
          <w:fldChar w:fldCharType="begin"/>
        </w:r>
        <w:r w:rsidR="001446A7">
          <w:rPr>
            <w:noProof/>
            <w:webHidden/>
          </w:rPr>
          <w:instrText xml:space="preserve"> PAGEREF _Toc2246924 \h </w:instrText>
        </w:r>
        <w:r w:rsidR="001446A7">
          <w:rPr>
            <w:noProof/>
            <w:webHidden/>
          </w:rPr>
        </w:r>
        <w:r w:rsidR="001446A7">
          <w:rPr>
            <w:noProof/>
            <w:webHidden/>
          </w:rPr>
          <w:fldChar w:fldCharType="separate"/>
        </w:r>
        <w:r w:rsidR="001446A7">
          <w:rPr>
            <w:noProof/>
            <w:webHidden/>
          </w:rPr>
          <w:t>7</w:t>
        </w:r>
        <w:r w:rsidR="001446A7">
          <w:rPr>
            <w:noProof/>
            <w:webHidden/>
          </w:rPr>
          <w:fldChar w:fldCharType="end"/>
        </w:r>
      </w:hyperlink>
    </w:p>
    <w:p w:rsidR="001446A7" w:rsidRDefault="0091782F">
      <w:pPr>
        <w:pStyle w:val="TableofFigures"/>
        <w:tabs>
          <w:tab w:val="right" w:leader="dot" w:pos="9060"/>
        </w:tabs>
        <w:rPr>
          <w:rFonts w:asciiTheme="minorHAnsi" w:eastAsiaTheme="minorEastAsia" w:hAnsiTheme="minorHAnsi"/>
          <w:noProof/>
          <w:lang w:eastAsia="en-AU"/>
        </w:rPr>
      </w:pPr>
      <w:hyperlink w:anchor="_Toc2246925" w:history="1">
        <w:r w:rsidR="001446A7" w:rsidRPr="00CA7088">
          <w:rPr>
            <w:rStyle w:val="Hyperlink"/>
            <w:noProof/>
          </w:rPr>
          <w:t>Figure 4 Total available water allocation supply in the sMDB</w:t>
        </w:r>
        <w:r w:rsidR="001446A7">
          <w:rPr>
            <w:noProof/>
            <w:webHidden/>
          </w:rPr>
          <w:tab/>
        </w:r>
        <w:r w:rsidR="001446A7">
          <w:rPr>
            <w:noProof/>
            <w:webHidden/>
          </w:rPr>
          <w:fldChar w:fldCharType="begin"/>
        </w:r>
        <w:r w:rsidR="001446A7">
          <w:rPr>
            <w:noProof/>
            <w:webHidden/>
          </w:rPr>
          <w:instrText xml:space="preserve"> PAGEREF _Toc2246925 \h </w:instrText>
        </w:r>
        <w:r w:rsidR="001446A7">
          <w:rPr>
            <w:noProof/>
            <w:webHidden/>
          </w:rPr>
        </w:r>
        <w:r w:rsidR="001446A7">
          <w:rPr>
            <w:noProof/>
            <w:webHidden/>
          </w:rPr>
          <w:fldChar w:fldCharType="separate"/>
        </w:r>
        <w:r w:rsidR="001446A7">
          <w:rPr>
            <w:noProof/>
            <w:webHidden/>
          </w:rPr>
          <w:t>8</w:t>
        </w:r>
        <w:r w:rsidR="001446A7">
          <w:rPr>
            <w:noProof/>
            <w:webHidden/>
          </w:rPr>
          <w:fldChar w:fldCharType="end"/>
        </w:r>
      </w:hyperlink>
    </w:p>
    <w:p w:rsidR="001446A7" w:rsidRDefault="0091782F">
      <w:pPr>
        <w:pStyle w:val="TableofFigures"/>
        <w:tabs>
          <w:tab w:val="right" w:leader="dot" w:pos="9060"/>
        </w:tabs>
        <w:rPr>
          <w:rFonts w:asciiTheme="minorHAnsi" w:eastAsiaTheme="minorEastAsia" w:hAnsiTheme="minorHAnsi"/>
          <w:noProof/>
          <w:lang w:eastAsia="en-AU"/>
        </w:rPr>
      </w:pPr>
      <w:hyperlink w:anchor="_Toc2246926" w:history="1">
        <w:r w:rsidR="001446A7" w:rsidRPr="00CA7088">
          <w:rPr>
            <w:rStyle w:val="Hyperlink"/>
            <w:noProof/>
          </w:rPr>
          <w:t>Figure 5 Allocation price scenarios, in the NSW Murray</w:t>
        </w:r>
        <w:r w:rsidR="001446A7">
          <w:rPr>
            <w:noProof/>
            <w:webHidden/>
          </w:rPr>
          <w:tab/>
        </w:r>
        <w:r w:rsidR="001446A7">
          <w:rPr>
            <w:noProof/>
            <w:webHidden/>
          </w:rPr>
          <w:fldChar w:fldCharType="begin"/>
        </w:r>
        <w:r w:rsidR="001446A7">
          <w:rPr>
            <w:noProof/>
            <w:webHidden/>
          </w:rPr>
          <w:instrText xml:space="preserve"> PAGEREF _Toc2246926 \h </w:instrText>
        </w:r>
        <w:r w:rsidR="001446A7">
          <w:rPr>
            <w:noProof/>
            <w:webHidden/>
          </w:rPr>
        </w:r>
        <w:r w:rsidR="001446A7">
          <w:rPr>
            <w:noProof/>
            <w:webHidden/>
          </w:rPr>
          <w:fldChar w:fldCharType="separate"/>
        </w:r>
        <w:r w:rsidR="001446A7">
          <w:rPr>
            <w:noProof/>
            <w:webHidden/>
          </w:rPr>
          <w:t>9</w:t>
        </w:r>
        <w:r w:rsidR="001446A7">
          <w:rPr>
            <w:noProof/>
            <w:webHidden/>
          </w:rPr>
          <w:fldChar w:fldCharType="end"/>
        </w:r>
      </w:hyperlink>
    </w:p>
    <w:p w:rsidR="001446A7" w:rsidRDefault="0091782F">
      <w:pPr>
        <w:pStyle w:val="TableofFigures"/>
        <w:tabs>
          <w:tab w:val="right" w:leader="dot" w:pos="9060"/>
        </w:tabs>
        <w:rPr>
          <w:rFonts w:asciiTheme="minorHAnsi" w:eastAsiaTheme="minorEastAsia" w:hAnsiTheme="minorHAnsi"/>
          <w:noProof/>
          <w:lang w:eastAsia="en-AU"/>
        </w:rPr>
      </w:pPr>
      <w:hyperlink w:anchor="_Toc2246927" w:history="1">
        <w:r w:rsidR="001446A7" w:rsidRPr="00CA7088">
          <w:rPr>
            <w:rStyle w:val="Hyperlink"/>
            <w:noProof/>
          </w:rPr>
          <w:t>Figure 6 Long-run changes in water use (2002–03 compared with 2016–17) at a price of $100 per ML and average seasonal conditions, by region</w:t>
        </w:r>
        <w:r w:rsidR="001446A7">
          <w:rPr>
            <w:noProof/>
            <w:webHidden/>
          </w:rPr>
          <w:tab/>
        </w:r>
        <w:r w:rsidR="001446A7">
          <w:rPr>
            <w:noProof/>
            <w:webHidden/>
          </w:rPr>
          <w:fldChar w:fldCharType="begin"/>
        </w:r>
        <w:r w:rsidR="001446A7">
          <w:rPr>
            <w:noProof/>
            <w:webHidden/>
          </w:rPr>
          <w:instrText xml:space="preserve"> PAGEREF _Toc2246927 \h </w:instrText>
        </w:r>
        <w:r w:rsidR="001446A7">
          <w:rPr>
            <w:noProof/>
            <w:webHidden/>
          </w:rPr>
        </w:r>
        <w:r w:rsidR="001446A7">
          <w:rPr>
            <w:noProof/>
            <w:webHidden/>
          </w:rPr>
          <w:fldChar w:fldCharType="separate"/>
        </w:r>
        <w:r w:rsidR="001446A7">
          <w:rPr>
            <w:noProof/>
            <w:webHidden/>
          </w:rPr>
          <w:t>11</w:t>
        </w:r>
        <w:r w:rsidR="001446A7">
          <w:rPr>
            <w:noProof/>
            <w:webHidden/>
          </w:rPr>
          <w:fldChar w:fldCharType="end"/>
        </w:r>
      </w:hyperlink>
    </w:p>
    <w:p w:rsidR="001446A7" w:rsidRDefault="0091782F">
      <w:pPr>
        <w:pStyle w:val="TableofFigures"/>
        <w:tabs>
          <w:tab w:val="right" w:leader="dot" w:pos="9060"/>
        </w:tabs>
        <w:rPr>
          <w:rFonts w:asciiTheme="minorHAnsi" w:eastAsiaTheme="minorEastAsia" w:hAnsiTheme="minorHAnsi"/>
          <w:noProof/>
          <w:lang w:eastAsia="en-AU"/>
        </w:rPr>
      </w:pPr>
      <w:hyperlink w:anchor="_Toc2246928" w:history="1">
        <w:r w:rsidR="001446A7" w:rsidRPr="00CA7088">
          <w:rPr>
            <w:rStyle w:val="Hyperlink"/>
            <w:noProof/>
          </w:rPr>
          <w:t>Figure 7 Long-run changes in water use (2002–03 compared with 2016–17) at a price of $100 per ML and average seasonal conditions, by region: modelled demand increase</w:t>
        </w:r>
        <w:r w:rsidR="001446A7">
          <w:rPr>
            <w:noProof/>
            <w:webHidden/>
          </w:rPr>
          <w:tab/>
        </w:r>
        <w:r w:rsidR="001446A7">
          <w:rPr>
            <w:noProof/>
            <w:webHidden/>
          </w:rPr>
          <w:fldChar w:fldCharType="begin"/>
        </w:r>
        <w:r w:rsidR="001446A7">
          <w:rPr>
            <w:noProof/>
            <w:webHidden/>
          </w:rPr>
          <w:instrText xml:space="preserve"> PAGEREF _Toc2246928 \h </w:instrText>
        </w:r>
        <w:r w:rsidR="001446A7">
          <w:rPr>
            <w:noProof/>
            <w:webHidden/>
          </w:rPr>
        </w:r>
        <w:r w:rsidR="001446A7">
          <w:rPr>
            <w:noProof/>
            <w:webHidden/>
          </w:rPr>
          <w:fldChar w:fldCharType="separate"/>
        </w:r>
        <w:r w:rsidR="001446A7">
          <w:rPr>
            <w:noProof/>
            <w:webHidden/>
          </w:rPr>
          <w:t>12</w:t>
        </w:r>
        <w:r w:rsidR="001446A7">
          <w:rPr>
            <w:noProof/>
            <w:webHidden/>
          </w:rPr>
          <w:fldChar w:fldCharType="end"/>
        </w:r>
      </w:hyperlink>
    </w:p>
    <w:p w:rsidR="001446A7" w:rsidRDefault="0091782F">
      <w:pPr>
        <w:pStyle w:val="TableofFigures"/>
        <w:tabs>
          <w:tab w:val="right" w:leader="dot" w:pos="9060"/>
        </w:tabs>
        <w:rPr>
          <w:rFonts w:asciiTheme="minorHAnsi" w:eastAsiaTheme="minorEastAsia" w:hAnsiTheme="minorHAnsi"/>
          <w:noProof/>
          <w:lang w:eastAsia="en-AU"/>
        </w:rPr>
      </w:pPr>
      <w:hyperlink w:anchor="_Toc2246929" w:history="1">
        <w:r w:rsidR="001446A7" w:rsidRPr="00CA7088">
          <w:rPr>
            <w:rStyle w:val="Hyperlink"/>
            <w:noProof/>
          </w:rPr>
          <w:t>Figure 8 Historic versus modelled future water allocation price distributions</w:t>
        </w:r>
        <w:r w:rsidR="001446A7">
          <w:rPr>
            <w:noProof/>
            <w:webHidden/>
          </w:rPr>
          <w:tab/>
        </w:r>
        <w:r w:rsidR="001446A7">
          <w:rPr>
            <w:noProof/>
            <w:webHidden/>
          </w:rPr>
          <w:fldChar w:fldCharType="begin"/>
        </w:r>
        <w:r w:rsidR="001446A7">
          <w:rPr>
            <w:noProof/>
            <w:webHidden/>
          </w:rPr>
          <w:instrText xml:space="preserve"> PAGEREF _Toc2246929 \h </w:instrText>
        </w:r>
        <w:r w:rsidR="001446A7">
          <w:rPr>
            <w:noProof/>
            <w:webHidden/>
          </w:rPr>
        </w:r>
        <w:r w:rsidR="001446A7">
          <w:rPr>
            <w:noProof/>
            <w:webHidden/>
          </w:rPr>
          <w:fldChar w:fldCharType="separate"/>
        </w:r>
        <w:r w:rsidR="001446A7">
          <w:rPr>
            <w:noProof/>
            <w:webHidden/>
          </w:rPr>
          <w:t>12</w:t>
        </w:r>
        <w:r w:rsidR="001446A7">
          <w:rPr>
            <w:noProof/>
            <w:webHidden/>
          </w:rPr>
          <w:fldChar w:fldCharType="end"/>
        </w:r>
      </w:hyperlink>
    </w:p>
    <w:p w:rsidR="0053623B" w:rsidRDefault="00F17467">
      <w:r>
        <w:fldChar w:fldCharType="end"/>
      </w:r>
    </w:p>
    <w:p w:rsidR="0053623B" w:rsidRDefault="00F17467">
      <w:pPr>
        <w:pStyle w:val="Heading2"/>
        <w:numPr>
          <w:ilvl w:val="0"/>
          <w:numId w:val="0"/>
        </w:numPr>
        <w:ind w:left="709" w:hanging="709"/>
      </w:pPr>
      <w:bookmarkStart w:id="1" w:name="_Toc430782149"/>
      <w:bookmarkStart w:id="2" w:name="_Toc2246930"/>
      <w:r>
        <w:lastRenderedPageBreak/>
        <w:t>Summary</w:t>
      </w:r>
      <w:bookmarkEnd w:id="1"/>
      <w:bookmarkEnd w:id="2"/>
    </w:p>
    <w:p w:rsidR="00DE1E00" w:rsidRDefault="00DE1E00" w:rsidP="00DE1E00">
      <w:pPr>
        <w:rPr>
          <w:lang w:eastAsia="ja-JP"/>
        </w:rPr>
      </w:pPr>
      <w:r>
        <w:rPr>
          <w:lang w:eastAsia="ja-JP"/>
        </w:rPr>
        <w:t>This ABARES water market outlook focuses on prices for water allocations within the southern Murray-Darling Basin</w:t>
      </w:r>
      <w:r w:rsidR="004A45C2">
        <w:rPr>
          <w:lang w:eastAsia="ja-JP"/>
        </w:rPr>
        <w:t xml:space="preserve"> (sMDB)</w:t>
      </w:r>
      <w:r>
        <w:rPr>
          <w:lang w:eastAsia="ja-JP"/>
        </w:rPr>
        <w:t xml:space="preserve">. A brief summary of market conditions prevailing in </w:t>
      </w:r>
      <w:r w:rsidR="00AC5513">
        <w:rPr>
          <w:lang w:eastAsia="ja-JP"/>
        </w:rPr>
        <w:t>2018–19</w:t>
      </w:r>
      <w:r>
        <w:rPr>
          <w:lang w:eastAsia="ja-JP"/>
        </w:rPr>
        <w:t xml:space="preserve"> is provided along with an outlook for </w:t>
      </w:r>
      <w:r w:rsidR="00AC5513">
        <w:rPr>
          <w:lang w:eastAsia="ja-JP"/>
        </w:rPr>
        <w:t>2019–20</w:t>
      </w:r>
      <w:r>
        <w:rPr>
          <w:lang w:eastAsia="ja-JP"/>
        </w:rPr>
        <w:t xml:space="preserve">. </w:t>
      </w:r>
    </w:p>
    <w:p w:rsidR="00DE1E00" w:rsidRDefault="00DE1E00" w:rsidP="00DE1E00">
      <w:pPr>
        <w:rPr>
          <w:lang w:eastAsia="ja-JP"/>
        </w:rPr>
      </w:pPr>
      <w:r>
        <w:rPr>
          <w:lang w:eastAsia="ja-JP"/>
        </w:rPr>
        <w:t xml:space="preserve">Three representative scenarios are developed for </w:t>
      </w:r>
      <w:r w:rsidR="00AC5513">
        <w:rPr>
          <w:lang w:eastAsia="ja-JP"/>
        </w:rPr>
        <w:t>2019–20</w:t>
      </w:r>
      <w:r>
        <w:rPr>
          <w:lang w:eastAsia="ja-JP"/>
        </w:rPr>
        <w:t xml:space="preserve">: </w:t>
      </w:r>
      <w:r w:rsidR="00AC5513" w:rsidRPr="00AC5513">
        <w:rPr>
          <w:i/>
          <w:lang w:eastAsia="ja-JP"/>
        </w:rPr>
        <w:t>dry</w:t>
      </w:r>
      <w:r>
        <w:rPr>
          <w:lang w:eastAsia="ja-JP"/>
        </w:rPr>
        <w:t xml:space="preserve">, </w:t>
      </w:r>
      <w:r>
        <w:rPr>
          <w:i/>
          <w:lang w:eastAsia="ja-JP"/>
        </w:rPr>
        <w:t>average</w:t>
      </w:r>
      <w:r>
        <w:rPr>
          <w:lang w:eastAsia="ja-JP"/>
        </w:rPr>
        <w:t xml:space="preserve"> and </w:t>
      </w:r>
      <w:r w:rsidR="00AC5513" w:rsidRPr="00AC5513">
        <w:rPr>
          <w:i/>
          <w:lang w:eastAsia="ja-JP"/>
        </w:rPr>
        <w:t>wet</w:t>
      </w:r>
      <w:r w:rsidR="008C5BE3">
        <w:rPr>
          <w:i/>
          <w:lang w:eastAsia="ja-JP"/>
        </w:rPr>
        <w:t>,</w:t>
      </w:r>
      <w:r>
        <w:rPr>
          <w:i/>
          <w:lang w:eastAsia="ja-JP"/>
        </w:rPr>
        <w:t xml:space="preserve"> </w:t>
      </w:r>
      <w:r>
        <w:rPr>
          <w:lang w:eastAsia="ja-JP"/>
        </w:rPr>
        <w:t>each involving assumptions for future allocation percentages, rainfall and commodity prices. While the scenarios draw on state government allocation outlooks</w:t>
      </w:r>
      <w:r w:rsidR="001008B9">
        <w:rPr>
          <w:lang w:eastAsia="ja-JP"/>
        </w:rPr>
        <w:t>,</w:t>
      </w:r>
      <w:r>
        <w:rPr>
          <w:lang w:eastAsia="ja-JP"/>
        </w:rPr>
        <w:t xml:space="preserve"> a number of additional assumptions are </w:t>
      </w:r>
      <w:r w:rsidR="000F23D3">
        <w:rPr>
          <w:lang w:eastAsia="ja-JP"/>
        </w:rPr>
        <w:t>also made by ABARES</w:t>
      </w:r>
      <w:r>
        <w:rPr>
          <w:lang w:eastAsia="ja-JP"/>
        </w:rPr>
        <w:t>.</w:t>
      </w:r>
      <w:r w:rsidR="00B13971">
        <w:rPr>
          <w:lang w:eastAsia="ja-JP"/>
        </w:rPr>
        <w:t xml:space="preserve"> </w:t>
      </w:r>
      <w:r w:rsidR="008C5BE3">
        <w:rPr>
          <w:lang w:eastAsia="ja-JP"/>
        </w:rPr>
        <w:t>The</w:t>
      </w:r>
      <w:r w:rsidR="0049245D">
        <w:rPr>
          <w:lang w:eastAsia="ja-JP"/>
        </w:rPr>
        <w:t xml:space="preserve"> </w:t>
      </w:r>
      <w:r w:rsidR="008C5BE3">
        <w:rPr>
          <w:lang w:eastAsia="ja-JP"/>
        </w:rPr>
        <w:t xml:space="preserve">ABARES Water Trade model </w:t>
      </w:r>
      <w:r w:rsidR="0049245D">
        <w:rPr>
          <w:lang w:eastAsia="ja-JP"/>
        </w:rPr>
        <w:t xml:space="preserve">is used </w:t>
      </w:r>
      <w:r w:rsidR="008C5BE3">
        <w:rPr>
          <w:lang w:eastAsia="ja-JP"/>
        </w:rPr>
        <w:t xml:space="preserve">to simulate potential </w:t>
      </w:r>
      <w:r w:rsidR="00AC5513">
        <w:rPr>
          <w:lang w:eastAsia="ja-JP"/>
        </w:rPr>
        <w:t>2019</w:t>
      </w:r>
      <w:r w:rsidR="0049245D">
        <w:rPr>
          <w:lang w:eastAsia="ja-JP"/>
        </w:rPr>
        <w:noBreakHyphen/>
      </w:r>
      <w:r w:rsidR="00AC5513">
        <w:rPr>
          <w:lang w:eastAsia="ja-JP"/>
        </w:rPr>
        <w:t>20</w:t>
      </w:r>
      <w:r w:rsidR="008C5BE3">
        <w:rPr>
          <w:lang w:eastAsia="ja-JP"/>
        </w:rPr>
        <w:t xml:space="preserve"> water allocation prices</w:t>
      </w:r>
      <w:r w:rsidR="0049245D">
        <w:rPr>
          <w:lang w:eastAsia="ja-JP"/>
        </w:rPr>
        <w:t xml:space="preserve"> for these three scenarios</w:t>
      </w:r>
      <w:r w:rsidR="008C5BE3">
        <w:rPr>
          <w:lang w:eastAsia="ja-JP"/>
        </w:rPr>
        <w:t>.</w:t>
      </w:r>
      <w:r w:rsidR="00990F82">
        <w:rPr>
          <w:lang w:eastAsia="ja-JP"/>
        </w:rPr>
        <w:t xml:space="preserve"> </w:t>
      </w:r>
      <w:r w:rsidR="000F23D3">
        <w:rPr>
          <w:lang w:eastAsia="ja-JP"/>
        </w:rPr>
        <w:t xml:space="preserve">At this stage </w:t>
      </w:r>
      <w:r w:rsidR="00990F82">
        <w:rPr>
          <w:lang w:eastAsia="ja-JP"/>
        </w:rPr>
        <w:t xml:space="preserve">of the year </w:t>
      </w:r>
      <w:r w:rsidR="000F23D3">
        <w:rPr>
          <w:lang w:eastAsia="ja-JP"/>
        </w:rPr>
        <w:t xml:space="preserve">much uncertainty remains over allocations for </w:t>
      </w:r>
      <w:r w:rsidR="00AC5513">
        <w:rPr>
          <w:lang w:eastAsia="ja-JP"/>
        </w:rPr>
        <w:t>2019–20</w:t>
      </w:r>
      <w:r w:rsidR="000F23D3">
        <w:rPr>
          <w:lang w:eastAsia="ja-JP"/>
        </w:rPr>
        <w:t>:</w:t>
      </w:r>
      <w:r w:rsidR="00B13971">
        <w:rPr>
          <w:lang w:eastAsia="ja-JP"/>
        </w:rPr>
        <w:t xml:space="preserve"> </w:t>
      </w:r>
      <w:r w:rsidR="000F23D3">
        <w:rPr>
          <w:lang w:eastAsia="ja-JP"/>
        </w:rPr>
        <w:t xml:space="preserve">conditions better or worse than those </w:t>
      </w:r>
      <w:r w:rsidR="00990F82">
        <w:rPr>
          <w:lang w:eastAsia="ja-JP"/>
        </w:rPr>
        <w:t>assumed</w:t>
      </w:r>
      <w:r w:rsidR="00040FCB">
        <w:t>—</w:t>
      </w:r>
      <w:r w:rsidR="000F23D3">
        <w:rPr>
          <w:lang w:eastAsia="ja-JP"/>
        </w:rPr>
        <w:t xml:space="preserve">and water prices higher or lower than those </w:t>
      </w:r>
      <w:r w:rsidR="001446A7">
        <w:rPr>
          <w:lang w:eastAsia="ja-JP"/>
        </w:rPr>
        <w:t>estimated</w:t>
      </w:r>
      <w:r w:rsidR="00040FCB">
        <w:t>—</w:t>
      </w:r>
      <w:r w:rsidR="000F23D3">
        <w:rPr>
          <w:lang w:eastAsia="ja-JP"/>
        </w:rPr>
        <w:t>remain a possibility</w:t>
      </w:r>
      <w:r w:rsidR="001008B9">
        <w:rPr>
          <w:lang w:eastAsia="ja-JP"/>
        </w:rPr>
        <w:t>.</w:t>
      </w:r>
    </w:p>
    <w:p w:rsidR="00DE1E00" w:rsidRDefault="00990F82" w:rsidP="00990F82">
      <w:pPr>
        <w:pStyle w:val="Heading4"/>
        <w:numPr>
          <w:ilvl w:val="0"/>
          <w:numId w:val="0"/>
        </w:numPr>
        <w:ind w:left="964" w:hanging="964"/>
        <w:rPr>
          <w:lang w:eastAsia="ja-JP"/>
        </w:rPr>
      </w:pPr>
      <w:bookmarkStart w:id="3" w:name="_Toc430782150"/>
      <w:r>
        <w:rPr>
          <w:lang w:eastAsia="ja-JP"/>
        </w:rPr>
        <w:t xml:space="preserve">Prices have been high in </w:t>
      </w:r>
      <w:r w:rsidR="00AC5513">
        <w:rPr>
          <w:lang w:eastAsia="ja-JP"/>
        </w:rPr>
        <w:t>2018–19</w:t>
      </w:r>
      <w:r w:rsidR="00E469ED">
        <w:rPr>
          <w:lang w:eastAsia="ja-JP"/>
        </w:rPr>
        <w:t>,</w:t>
      </w:r>
      <w:r>
        <w:rPr>
          <w:lang w:eastAsia="ja-JP"/>
        </w:rPr>
        <w:t xml:space="preserve"> but understandable given the conditions</w:t>
      </w:r>
    </w:p>
    <w:p w:rsidR="00990F82" w:rsidRDefault="00990F82" w:rsidP="001340AE">
      <w:pPr>
        <w:rPr>
          <w:lang w:eastAsia="ja-JP"/>
        </w:rPr>
      </w:pPr>
      <w:r w:rsidRPr="001531E5">
        <w:rPr>
          <w:lang w:eastAsia="ja-JP"/>
        </w:rPr>
        <w:t xml:space="preserve">Drought conditions in </w:t>
      </w:r>
      <w:r>
        <w:rPr>
          <w:lang w:eastAsia="ja-JP"/>
        </w:rPr>
        <w:t>NSW have contributed to low supply and high prices for wa</w:t>
      </w:r>
      <w:r w:rsidR="007F1154">
        <w:rPr>
          <w:lang w:eastAsia="ja-JP"/>
        </w:rPr>
        <w:t xml:space="preserve">ter allocations </w:t>
      </w:r>
      <w:r>
        <w:rPr>
          <w:lang w:eastAsia="ja-JP"/>
        </w:rPr>
        <w:t xml:space="preserve">during </w:t>
      </w:r>
      <w:r w:rsidR="00AC5513">
        <w:rPr>
          <w:lang w:eastAsia="ja-JP"/>
        </w:rPr>
        <w:t>2018–19</w:t>
      </w:r>
      <w:r>
        <w:rPr>
          <w:lang w:eastAsia="ja-JP"/>
        </w:rPr>
        <w:t xml:space="preserve">. For the southern basin as a whole, </w:t>
      </w:r>
      <w:r w:rsidR="00AC5513">
        <w:rPr>
          <w:lang w:eastAsia="ja-JP"/>
        </w:rPr>
        <w:t>2018–19</w:t>
      </w:r>
      <w:r>
        <w:rPr>
          <w:lang w:eastAsia="ja-JP"/>
        </w:rPr>
        <w:t xml:space="preserve"> has seen the lowest water allocation levels since 2009</w:t>
      </w:r>
      <w:r w:rsidR="00AC5513">
        <w:rPr>
          <w:lang w:eastAsia="ja-JP"/>
        </w:rPr>
        <w:t>–</w:t>
      </w:r>
      <w:r>
        <w:rPr>
          <w:lang w:eastAsia="ja-JP"/>
        </w:rPr>
        <w:t>10, along with severe low rainfall and high temperatures.</w:t>
      </w:r>
      <w:r w:rsidR="00B13971">
        <w:rPr>
          <w:lang w:eastAsia="ja-JP"/>
        </w:rPr>
        <w:t xml:space="preserve"> </w:t>
      </w:r>
    </w:p>
    <w:p w:rsidR="00E469ED" w:rsidRPr="00E469ED" w:rsidRDefault="00E469ED" w:rsidP="00E469ED">
      <w:pPr>
        <w:spacing w:after="0" w:line="240" w:lineRule="auto"/>
        <w:rPr>
          <w:rFonts w:ascii="Calibri" w:eastAsia="Times New Roman" w:hAnsi="Calibri" w:cs="Times New Roman"/>
          <w:b/>
          <w:bCs/>
          <w:color w:val="DE3831"/>
          <w:sz w:val="28"/>
          <w:szCs w:val="24"/>
          <w:lang w:eastAsia="ja-JP"/>
        </w:rPr>
      </w:pPr>
      <w:r w:rsidRPr="00E469ED">
        <w:rPr>
          <w:rFonts w:ascii="Calibri" w:eastAsia="Times New Roman" w:hAnsi="Calibri" w:cs="Times New Roman"/>
          <w:b/>
          <w:bCs/>
          <w:color w:val="DE3831"/>
          <w:sz w:val="28"/>
          <w:szCs w:val="24"/>
          <w:lang w:eastAsia="ja-JP"/>
        </w:rPr>
        <w:t xml:space="preserve">Dry conditions in </w:t>
      </w:r>
      <w:r w:rsidR="00AC5513">
        <w:rPr>
          <w:rFonts w:ascii="Calibri" w:eastAsia="Times New Roman" w:hAnsi="Calibri" w:cs="Times New Roman"/>
          <w:b/>
          <w:bCs/>
          <w:color w:val="DE3831"/>
          <w:sz w:val="28"/>
          <w:szCs w:val="24"/>
          <w:lang w:eastAsia="ja-JP"/>
        </w:rPr>
        <w:t>2019–20</w:t>
      </w:r>
      <w:r w:rsidRPr="00E469ED">
        <w:rPr>
          <w:rFonts w:ascii="Calibri" w:eastAsia="Times New Roman" w:hAnsi="Calibri" w:cs="Times New Roman"/>
          <w:b/>
          <w:bCs/>
          <w:color w:val="DE3831"/>
          <w:sz w:val="28"/>
          <w:szCs w:val="24"/>
          <w:lang w:eastAsia="ja-JP"/>
        </w:rPr>
        <w:t xml:space="preserve"> would incre</w:t>
      </w:r>
      <w:r w:rsidR="00040FCB">
        <w:rPr>
          <w:rFonts w:ascii="Calibri" w:eastAsia="Times New Roman" w:hAnsi="Calibri" w:cs="Times New Roman"/>
          <w:b/>
          <w:bCs/>
          <w:color w:val="DE3831"/>
          <w:sz w:val="28"/>
          <w:szCs w:val="24"/>
          <w:lang w:eastAsia="ja-JP"/>
        </w:rPr>
        <w:t xml:space="preserve">ase prices, but a repeat of prices during the </w:t>
      </w:r>
      <w:r w:rsidRPr="00E469ED">
        <w:rPr>
          <w:rFonts w:ascii="Calibri" w:eastAsia="Times New Roman" w:hAnsi="Calibri" w:cs="Times New Roman"/>
          <w:b/>
          <w:bCs/>
          <w:color w:val="DE3831"/>
          <w:sz w:val="28"/>
          <w:szCs w:val="24"/>
          <w:lang w:eastAsia="ja-JP"/>
        </w:rPr>
        <w:t>Millennium drought is unlikely</w:t>
      </w:r>
    </w:p>
    <w:p w:rsidR="00990F82" w:rsidRDefault="00493BE9" w:rsidP="001008B9">
      <w:pPr>
        <w:rPr>
          <w:lang w:eastAsia="ja-JP"/>
        </w:rPr>
      </w:pPr>
      <w:r>
        <w:rPr>
          <w:lang w:eastAsia="ja-JP"/>
        </w:rPr>
        <w:t>Despite the dry conditions</w:t>
      </w:r>
      <w:r w:rsidR="00040FCB">
        <w:rPr>
          <w:lang w:eastAsia="ja-JP"/>
        </w:rPr>
        <w:t>,</w:t>
      </w:r>
      <w:r w:rsidR="007F1154">
        <w:rPr>
          <w:lang w:eastAsia="ja-JP"/>
        </w:rPr>
        <w:t xml:space="preserve"> storage volumes are in a better state now than </w:t>
      </w:r>
      <w:r>
        <w:rPr>
          <w:lang w:eastAsia="ja-JP"/>
        </w:rPr>
        <w:t>at this time in 2016</w:t>
      </w:r>
      <w:r w:rsidR="007F1154">
        <w:rPr>
          <w:lang w:eastAsia="ja-JP"/>
        </w:rPr>
        <w:t xml:space="preserve">, </w:t>
      </w:r>
      <w:r w:rsidR="007F6A47">
        <w:rPr>
          <w:lang w:eastAsia="ja-JP"/>
        </w:rPr>
        <w:t>with</w:t>
      </w:r>
      <w:r w:rsidR="007F1154">
        <w:rPr>
          <w:lang w:eastAsia="ja-JP"/>
        </w:rPr>
        <w:t xml:space="preserve"> good storage reserves in Victoria</w:t>
      </w:r>
      <w:r w:rsidR="00040FCB">
        <w:rPr>
          <w:lang w:eastAsia="ja-JP"/>
        </w:rPr>
        <w:t xml:space="preserve"> in particular</w:t>
      </w:r>
      <w:r w:rsidR="007F1154">
        <w:rPr>
          <w:lang w:eastAsia="ja-JP"/>
        </w:rPr>
        <w:t xml:space="preserve">. Under </w:t>
      </w:r>
      <w:r w:rsidR="007F6A47">
        <w:rPr>
          <w:lang w:eastAsia="ja-JP"/>
        </w:rPr>
        <w:t>the</w:t>
      </w:r>
      <w:r w:rsidR="007F1154">
        <w:rPr>
          <w:lang w:eastAsia="ja-JP"/>
        </w:rPr>
        <w:t xml:space="preserve"> </w:t>
      </w:r>
      <w:r w:rsidR="00AC5513" w:rsidRPr="00AC5513">
        <w:rPr>
          <w:i/>
          <w:lang w:eastAsia="ja-JP"/>
        </w:rPr>
        <w:t>dry</w:t>
      </w:r>
      <w:r w:rsidR="007F1154">
        <w:rPr>
          <w:lang w:eastAsia="ja-JP"/>
        </w:rPr>
        <w:t xml:space="preserve"> scenario </w:t>
      </w:r>
      <w:r w:rsidR="00C40EDD">
        <w:rPr>
          <w:lang w:eastAsia="ja-JP"/>
        </w:rPr>
        <w:t xml:space="preserve">water availability </w:t>
      </w:r>
      <w:r w:rsidR="007F1154">
        <w:rPr>
          <w:lang w:eastAsia="ja-JP"/>
        </w:rPr>
        <w:t xml:space="preserve">would fall in </w:t>
      </w:r>
      <w:r w:rsidR="00AC5513">
        <w:rPr>
          <w:lang w:eastAsia="ja-JP"/>
        </w:rPr>
        <w:t>2019–20</w:t>
      </w:r>
      <w:r w:rsidR="007F1154">
        <w:rPr>
          <w:lang w:eastAsia="ja-JP"/>
        </w:rPr>
        <w:t xml:space="preserve"> but still remain above the levels observed during the worst of the Millennium drought (2007</w:t>
      </w:r>
      <w:r w:rsidR="00DF4714">
        <w:rPr>
          <w:lang w:eastAsia="ja-JP"/>
        </w:rPr>
        <w:t xml:space="preserve"> to </w:t>
      </w:r>
      <w:r w:rsidR="007F1154">
        <w:rPr>
          <w:lang w:eastAsia="ja-JP"/>
        </w:rPr>
        <w:t xml:space="preserve">2009). Under this scenario an </w:t>
      </w:r>
      <w:r w:rsidR="00E469ED">
        <w:rPr>
          <w:lang w:eastAsia="ja-JP"/>
        </w:rPr>
        <w:t>average annual water price of $473/ML</w:t>
      </w:r>
      <w:r w:rsidR="007F1154">
        <w:rPr>
          <w:lang w:eastAsia="ja-JP"/>
        </w:rPr>
        <w:t xml:space="preserve"> is </w:t>
      </w:r>
      <w:r w:rsidR="00B90FC9">
        <w:rPr>
          <w:lang w:eastAsia="ja-JP"/>
        </w:rPr>
        <w:t>estimated</w:t>
      </w:r>
      <w:r w:rsidR="007F1154">
        <w:rPr>
          <w:lang w:eastAsia="ja-JP"/>
        </w:rPr>
        <w:t xml:space="preserve"> (for the Murray trading zones).</w:t>
      </w:r>
      <w:r>
        <w:rPr>
          <w:lang w:eastAsia="ja-JP"/>
        </w:rPr>
        <w:t xml:space="preserve"> </w:t>
      </w:r>
    </w:p>
    <w:p w:rsidR="00493BE9" w:rsidRDefault="00493BE9" w:rsidP="00E469ED">
      <w:pPr>
        <w:spacing w:after="0" w:line="240" w:lineRule="auto"/>
        <w:rPr>
          <w:rFonts w:ascii="Calibri" w:eastAsia="Times New Roman" w:hAnsi="Calibri" w:cs="Times New Roman"/>
          <w:b/>
          <w:bCs/>
          <w:color w:val="DE3831"/>
          <w:sz w:val="28"/>
          <w:szCs w:val="24"/>
          <w:lang w:eastAsia="ja-JP"/>
        </w:rPr>
      </w:pPr>
      <w:r w:rsidRPr="007F6A47">
        <w:rPr>
          <w:rFonts w:ascii="Calibri" w:eastAsia="Times New Roman" w:hAnsi="Calibri" w:cs="Times New Roman"/>
          <w:b/>
          <w:bCs/>
          <w:color w:val="DE3831"/>
          <w:sz w:val="28"/>
          <w:szCs w:val="24"/>
          <w:lang w:eastAsia="ja-JP"/>
        </w:rPr>
        <w:t xml:space="preserve">Murrumbidgee import </w:t>
      </w:r>
      <w:r w:rsidR="00E469ED">
        <w:rPr>
          <w:rFonts w:ascii="Calibri" w:eastAsia="Times New Roman" w:hAnsi="Calibri" w:cs="Times New Roman"/>
          <w:b/>
          <w:bCs/>
          <w:color w:val="DE3831"/>
          <w:sz w:val="28"/>
          <w:szCs w:val="24"/>
          <w:lang w:eastAsia="ja-JP"/>
        </w:rPr>
        <w:t xml:space="preserve">limit </w:t>
      </w:r>
      <w:r w:rsidRPr="007F6A47">
        <w:rPr>
          <w:rFonts w:ascii="Calibri" w:eastAsia="Times New Roman" w:hAnsi="Calibri" w:cs="Times New Roman"/>
          <w:b/>
          <w:bCs/>
          <w:color w:val="DE3831"/>
          <w:sz w:val="28"/>
          <w:szCs w:val="24"/>
          <w:lang w:eastAsia="ja-JP"/>
        </w:rPr>
        <w:t xml:space="preserve">to remain in force, unless conditions improve </w:t>
      </w:r>
    </w:p>
    <w:p w:rsidR="007F6A47" w:rsidRPr="007F6A47" w:rsidRDefault="007F6A47" w:rsidP="007F6A47">
      <w:pPr>
        <w:rPr>
          <w:lang w:eastAsia="ja-JP"/>
        </w:rPr>
      </w:pPr>
      <w:r>
        <w:rPr>
          <w:lang w:eastAsia="ja-JP"/>
        </w:rPr>
        <w:t xml:space="preserve">Under a </w:t>
      </w:r>
      <w:r w:rsidR="00AC5513" w:rsidRPr="00AC5513">
        <w:rPr>
          <w:i/>
          <w:lang w:eastAsia="ja-JP"/>
        </w:rPr>
        <w:t>dry</w:t>
      </w:r>
      <w:r>
        <w:rPr>
          <w:i/>
          <w:lang w:eastAsia="ja-JP"/>
        </w:rPr>
        <w:t xml:space="preserve"> </w:t>
      </w:r>
      <w:r>
        <w:rPr>
          <w:lang w:eastAsia="ja-JP"/>
        </w:rPr>
        <w:t xml:space="preserve">or </w:t>
      </w:r>
      <w:r w:rsidRPr="007F6A47">
        <w:rPr>
          <w:i/>
          <w:lang w:eastAsia="ja-JP"/>
        </w:rPr>
        <w:t>average</w:t>
      </w:r>
      <w:r>
        <w:rPr>
          <w:i/>
          <w:lang w:eastAsia="ja-JP"/>
        </w:rPr>
        <w:t xml:space="preserve"> </w:t>
      </w:r>
      <w:r>
        <w:rPr>
          <w:lang w:eastAsia="ja-JP"/>
        </w:rPr>
        <w:t xml:space="preserve">scenario the Murrumbidgee import limit is </w:t>
      </w:r>
      <w:r w:rsidR="001446A7">
        <w:rPr>
          <w:lang w:eastAsia="ja-JP"/>
        </w:rPr>
        <w:t>estimated</w:t>
      </w:r>
      <w:r>
        <w:rPr>
          <w:lang w:eastAsia="ja-JP"/>
        </w:rPr>
        <w:t xml:space="preserve"> to remain in force leading to higher prices in this region:</w:t>
      </w:r>
      <w:r w:rsidR="00E469ED">
        <w:rPr>
          <w:lang w:eastAsia="ja-JP"/>
        </w:rPr>
        <w:t xml:space="preserve"> $489</w:t>
      </w:r>
      <w:r>
        <w:rPr>
          <w:lang w:eastAsia="ja-JP"/>
        </w:rPr>
        <w:t xml:space="preserve">/ML under the </w:t>
      </w:r>
      <w:r w:rsidR="00AC5513" w:rsidRPr="00AC5513">
        <w:rPr>
          <w:i/>
          <w:lang w:eastAsia="ja-JP"/>
        </w:rPr>
        <w:t>dry</w:t>
      </w:r>
      <w:r>
        <w:rPr>
          <w:lang w:eastAsia="ja-JP"/>
        </w:rPr>
        <w:t xml:space="preserve"> scenario. </w:t>
      </w:r>
      <w:r w:rsidR="00941C79">
        <w:rPr>
          <w:lang w:eastAsia="ja-JP"/>
        </w:rPr>
        <w:t xml:space="preserve">The Murrumbidgee is </w:t>
      </w:r>
      <w:r w:rsidR="00B90FC9">
        <w:rPr>
          <w:lang w:eastAsia="ja-JP"/>
        </w:rPr>
        <w:t>estimated</w:t>
      </w:r>
      <w:r w:rsidR="00941C79">
        <w:rPr>
          <w:lang w:eastAsia="ja-JP"/>
        </w:rPr>
        <w:t xml:space="preserve"> to return to its more usual position of net water exporter under the </w:t>
      </w:r>
      <w:r w:rsidR="00AC5513" w:rsidRPr="00AC5513">
        <w:rPr>
          <w:i/>
          <w:lang w:eastAsia="ja-JP"/>
        </w:rPr>
        <w:t>wet</w:t>
      </w:r>
      <w:r w:rsidR="00941C79">
        <w:rPr>
          <w:lang w:eastAsia="ja-JP"/>
        </w:rPr>
        <w:t xml:space="preserve"> scenario. </w:t>
      </w:r>
    </w:p>
    <w:p w:rsidR="00941C79" w:rsidRDefault="007C5742" w:rsidP="00E469ED">
      <w:pPr>
        <w:spacing w:after="0"/>
        <w:rPr>
          <w:rFonts w:ascii="Calibri" w:eastAsia="Times New Roman" w:hAnsi="Calibri" w:cs="Times New Roman"/>
          <w:b/>
          <w:bCs/>
          <w:color w:val="DE3831"/>
          <w:sz w:val="28"/>
          <w:szCs w:val="24"/>
          <w:lang w:eastAsia="ja-JP"/>
        </w:rPr>
      </w:pPr>
      <w:r w:rsidRPr="00941C79">
        <w:rPr>
          <w:rFonts w:ascii="Calibri" w:eastAsia="Times New Roman" w:hAnsi="Calibri" w:cs="Times New Roman"/>
          <w:b/>
          <w:bCs/>
          <w:color w:val="DE3831"/>
          <w:sz w:val="28"/>
          <w:szCs w:val="24"/>
          <w:lang w:eastAsia="ja-JP"/>
        </w:rPr>
        <w:t>I</w:t>
      </w:r>
      <w:r w:rsidR="00493BE9" w:rsidRPr="00941C79">
        <w:rPr>
          <w:rFonts w:ascii="Calibri" w:eastAsia="Times New Roman" w:hAnsi="Calibri" w:cs="Times New Roman"/>
          <w:b/>
          <w:bCs/>
          <w:color w:val="DE3831"/>
          <w:sz w:val="28"/>
          <w:szCs w:val="24"/>
          <w:lang w:eastAsia="ja-JP"/>
        </w:rPr>
        <w:t xml:space="preserve">f conditions </w:t>
      </w:r>
      <w:r w:rsidRPr="00941C79">
        <w:rPr>
          <w:rFonts w:ascii="Calibri" w:eastAsia="Times New Roman" w:hAnsi="Calibri" w:cs="Times New Roman"/>
          <w:b/>
          <w:bCs/>
          <w:color w:val="DE3831"/>
          <w:sz w:val="28"/>
          <w:szCs w:val="24"/>
          <w:lang w:eastAsia="ja-JP"/>
        </w:rPr>
        <w:t xml:space="preserve">do </w:t>
      </w:r>
      <w:r w:rsidR="00493BE9" w:rsidRPr="00941C79">
        <w:rPr>
          <w:rFonts w:ascii="Calibri" w:eastAsia="Times New Roman" w:hAnsi="Calibri" w:cs="Times New Roman"/>
          <w:b/>
          <w:bCs/>
          <w:color w:val="DE3831"/>
          <w:sz w:val="28"/>
          <w:szCs w:val="24"/>
          <w:lang w:eastAsia="ja-JP"/>
        </w:rPr>
        <w:t>improve</w:t>
      </w:r>
      <w:r w:rsidRPr="00941C79">
        <w:rPr>
          <w:rFonts w:ascii="Calibri" w:eastAsia="Times New Roman" w:hAnsi="Calibri" w:cs="Times New Roman"/>
          <w:b/>
          <w:bCs/>
          <w:color w:val="DE3831"/>
          <w:sz w:val="28"/>
          <w:szCs w:val="24"/>
          <w:lang w:eastAsia="ja-JP"/>
        </w:rPr>
        <w:t>, prices would decrease quickly and substantially</w:t>
      </w:r>
    </w:p>
    <w:p w:rsidR="00493BE9" w:rsidRPr="00941C79" w:rsidRDefault="00941C79" w:rsidP="001340AE">
      <w:pPr>
        <w:rPr>
          <w:rFonts w:ascii="Calibri" w:eastAsia="Times New Roman" w:hAnsi="Calibri" w:cs="Times New Roman"/>
          <w:b/>
          <w:bCs/>
          <w:color w:val="DE3831"/>
          <w:sz w:val="28"/>
          <w:szCs w:val="24"/>
          <w:lang w:eastAsia="ja-JP"/>
        </w:rPr>
      </w:pPr>
      <w:r>
        <w:rPr>
          <w:lang w:eastAsia="ja-JP"/>
        </w:rPr>
        <w:t xml:space="preserve">A return to wetter conditions in </w:t>
      </w:r>
      <w:r w:rsidR="00473C2D">
        <w:rPr>
          <w:lang w:eastAsia="ja-JP"/>
        </w:rPr>
        <w:t xml:space="preserve">the </w:t>
      </w:r>
      <w:r>
        <w:rPr>
          <w:lang w:eastAsia="ja-JP"/>
        </w:rPr>
        <w:t xml:space="preserve">winter </w:t>
      </w:r>
      <w:r w:rsidR="00473C2D">
        <w:rPr>
          <w:lang w:eastAsia="ja-JP"/>
        </w:rPr>
        <w:t xml:space="preserve">of </w:t>
      </w:r>
      <w:r>
        <w:rPr>
          <w:lang w:eastAsia="ja-JP"/>
        </w:rPr>
        <w:t>2019 could see water allocation prices fall significantly, similar to what occurred in 2016</w:t>
      </w:r>
      <w:r w:rsidR="00AC5513">
        <w:rPr>
          <w:lang w:eastAsia="ja-JP"/>
        </w:rPr>
        <w:t>–</w:t>
      </w:r>
      <w:r>
        <w:rPr>
          <w:lang w:eastAsia="ja-JP"/>
        </w:rPr>
        <w:t xml:space="preserve">17. Under the </w:t>
      </w:r>
      <w:r w:rsidRPr="00941C79">
        <w:rPr>
          <w:i/>
          <w:lang w:eastAsia="ja-JP"/>
        </w:rPr>
        <w:t>wet</w:t>
      </w:r>
      <w:r>
        <w:rPr>
          <w:lang w:eastAsia="ja-JP"/>
        </w:rPr>
        <w:t xml:space="preserve"> scenario</w:t>
      </w:r>
      <w:r w:rsidR="00B90FC9">
        <w:rPr>
          <w:lang w:eastAsia="ja-JP"/>
        </w:rPr>
        <w:t>,</w:t>
      </w:r>
      <w:r>
        <w:rPr>
          <w:lang w:eastAsia="ja-JP"/>
        </w:rPr>
        <w:t xml:space="preserve"> average water allocation prices of $</w:t>
      </w:r>
      <w:r w:rsidR="00E469ED">
        <w:rPr>
          <w:lang w:eastAsia="ja-JP"/>
        </w:rPr>
        <w:t>190</w:t>
      </w:r>
      <w:r>
        <w:rPr>
          <w:lang w:eastAsia="ja-JP"/>
        </w:rPr>
        <w:t xml:space="preserve">/ML are </w:t>
      </w:r>
      <w:r w:rsidR="00B90FC9">
        <w:rPr>
          <w:lang w:eastAsia="ja-JP"/>
        </w:rPr>
        <w:t>estimated</w:t>
      </w:r>
      <w:r>
        <w:rPr>
          <w:lang w:eastAsia="ja-JP"/>
        </w:rPr>
        <w:t xml:space="preserve"> (for the Murray trading zones)</w:t>
      </w:r>
      <w:r w:rsidR="00B13971">
        <w:rPr>
          <w:lang w:eastAsia="ja-JP"/>
        </w:rPr>
        <w:t>.</w:t>
      </w:r>
    </w:p>
    <w:p w:rsidR="00493BE9" w:rsidRDefault="005B082A" w:rsidP="00E469ED">
      <w:pPr>
        <w:spacing w:after="0" w:line="240" w:lineRule="auto"/>
        <w:rPr>
          <w:rFonts w:ascii="Calibri" w:eastAsia="Times New Roman" w:hAnsi="Calibri" w:cs="Times New Roman"/>
          <w:b/>
          <w:bCs/>
          <w:color w:val="DE3831"/>
          <w:sz w:val="28"/>
          <w:szCs w:val="24"/>
          <w:lang w:eastAsia="ja-JP"/>
        </w:rPr>
      </w:pPr>
      <w:r>
        <w:rPr>
          <w:rFonts w:ascii="Calibri" w:eastAsia="Times New Roman" w:hAnsi="Calibri" w:cs="Times New Roman"/>
          <w:b/>
          <w:bCs/>
          <w:color w:val="DE3831"/>
          <w:sz w:val="28"/>
          <w:szCs w:val="24"/>
          <w:lang w:eastAsia="ja-JP"/>
        </w:rPr>
        <w:t xml:space="preserve">Water </w:t>
      </w:r>
      <w:r w:rsidR="00493BE9" w:rsidRPr="00941C79">
        <w:rPr>
          <w:rFonts w:ascii="Calibri" w:eastAsia="Times New Roman" w:hAnsi="Calibri" w:cs="Times New Roman"/>
          <w:b/>
          <w:bCs/>
          <w:color w:val="DE3831"/>
          <w:sz w:val="28"/>
          <w:szCs w:val="24"/>
          <w:lang w:eastAsia="ja-JP"/>
        </w:rPr>
        <w:t xml:space="preserve">demand in the lower Murray </w:t>
      </w:r>
      <w:r w:rsidR="00E469ED">
        <w:rPr>
          <w:rFonts w:ascii="Calibri" w:eastAsia="Times New Roman" w:hAnsi="Calibri" w:cs="Times New Roman"/>
          <w:b/>
          <w:bCs/>
          <w:color w:val="DE3831"/>
          <w:sz w:val="28"/>
          <w:szCs w:val="24"/>
          <w:lang w:eastAsia="ja-JP"/>
        </w:rPr>
        <w:t>has</w:t>
      </w:r>
      <w:r w:rsidR="00493BE9" w:rsidRPr="00941C79">
        <w:rPr>
          <w:rFonts w:ascii="Calibri" w:eastAsia="Times New Roman" w:hAnsi="Calibri" w:cs="Times New Roman"/>
          <w:b/>
          <w:bCs/>
          <w:color w:val="DE3831"/>
          <w:sz w:val="28"/>
          <w:szCs w:val="24"/>
          <w:lang w:eastAsia="ja-JP"/>
        </w:rPr>
        <w:t xml:space="preserve"> grown, but this is not unexpected </w:t>
      </w:r>
    </w:p>
    <w:p w:rsidR="00941C79" w:rsidRPr="00941C79" w:rsidRDefault="00941C79" w:rsidP="00941C79">
      <w:pPr>
        <w:rPr>
          <w:lang w:eastAsia="ja-JP"/>
        </w:rPr>
      </w:pPr>
      <w:r>
        <w:rPr>
          <w:lang w:eastAsia="ja-JP"/>
        </w:rPr>
        <w:t xml:space="preserve">Previous ABARES research (Gupta and Hughes 2018) </w:t>
      </w:r>
      <w:r w:rsidR="005B082A">
        <w:rPr>
          <w:lang w:eastAsia="ja-JP"/>
        </w:rPr>
        <w:t>documents</w:t>
      </w:r>
      <w:r>
        <w:rPr>
          <w:lang w:eastAsia="ja-JP"/>
        </w:rPr>
        <w:t xml:space="preserve"> long-run changes in wat</w:t>
      </w:r>
      <w:r w:rsidR="00473C2D">
        <w:rPr>
          <w:lang w:eastAsia="ja-JP"/>
        </w:rPr>
        <w:t xml:space="preserve">er demand in the </w:t>
      </w:r>
      <w:r w:rsidR="0049245D">
        <w:rPr>
          <w:lang w:eastAsia="ja-JP"/>
        </w:rPr>
        <w:t xml:space="preserve">sMDB </w:t>
      </w:r>
      <w:r w:rsidR="00473C2D">
        <w:rPr>
          <w:lang w:eastAsia="ja-JP"/>
        </w:rPr>
        <w:t xml:space="preserve">and their </w:t>
      </w:r>
      <w:r w:rsidR="005B082A">
        <w:rPr>
          <w:lang w:eastAsia="ja-JP"/>
        </w:rPr>
        <w:t xml:space="preserve">long-run </w:t>
      </w:r>
      <w:r w:rsidR="00473C2D">
        <w:rPr>
          <w:lang w:eastAsia="ja-JP"/>
        </w:rPr>
        <w:t>implications for water prices</w:t>
      </w:r>
      <w:r w:rsidR="00B70D5B">
        <w:rPr>
          <w:lang w:eastAsia="ja-JP"/>
        </w:rPr>
        <w:t>, including</w:t>
      </w:r>
      <w:r>
        <w:rPr>
          <w:lang w:eastAsia="ja-JP"/>
        </w:rPr>
        <w:t xml:space="preserve"> </w:t>
      </w:r>
      <w:r w:rsidR="00B70D5B">
        <w:rPr>
          <w:lang w:eastAsia="ja-JP"/>
        </w:rPr>
        <w:t>the effects of n</w:t>
      </w:r>
      <w:r w:rsidR="00473C2D">
        <w:rPr>
          <w:lang w:eastAsia="ja-JP"/>
        </w:rPr>
        <w:t>ew a</w:t>
      </w:r>
      <w:r>
        <w:rPr>
          <w:lang w:eastAsia="ja-JP"/>
        </w:rPr>
        <w:t>lmond plant</w:t>
      </w:r>
      <w:r w:rsidR="00473C2D">
        <w:rPr>
          <w:lang w:eastAsia="ja-JP"/>
        </w:rPr>
        <w:t>ings</w:t>
      </w:r>
      <w:r>
        <w:rPr>
          <w:lang w:eastAsia="ja-JP"/>
        </w:rPr>
        <w:t xml:space="preserve"> </w:t>
      </w:r>
      <w:r w:rsidR="00B70D5B">
        <w:rPr>
          <w:lang w:eastAsia="ja-JP"/>
        </w:rPr>
        <w:t>in the Victorian Murray.</w:t>
      </w:r>
      <w:r>
        <w:rPr>
          <w:lang w:eastAsia="ja-JP"/>
        </w:rPr>
        <w:t xml:space="preserve"> ABARES latest analysis suggests that water demand has </w:t>
      </w:r>
      <w:r w:rsidR="00B70D5B">
        <w:rPr>
          <w:lang w:eastAsia="ja-JP"/>
        </w:rPr>
        <w:t xml:space="preserve">increased further in this </w:t>
      </w:r>
      <w:r>
        <w:rPr>
          <w:lang w:eastAsia="ja-JP"/>
        </w:rPr>
        <w:t xml:space="preserve">region </w:t>
      </w:r>
      <w:r w:rsidR="00B70D5B">
        <w:rPr>
          <w:lang w:eastAsia="ja-JP"/>
        </w:rPr>
        <w:t>in recent years</w:t>
      </w:r>
      <w:r w:rsidR="00AB7644">
        <w:rPr>
          <w:lang w:eastAsia="ja-JP"/>
        </w:rPr>
        <w:t>. While this growth in demand has</w:t>
      </w:r>
      <w:r>
        <w:rPr>
          <w:lang w:eastAsia="ja-JP"/>
        </w:rPr>
        <w:t xml:space="preserve"> </w:t>
      </w:r>
      <w:r w:rsidR="00AB7644">
        <w:rPr>
          <w:lang w:eastAsia="ja-JP"/>
        </w:rPr>
        <w:t>contributed</w:t>
      </w:r>
      <w:r>
        <w:rPr>
          <w:lang w:eastAsia="ja-JP"/>
        </w:rPr>
        <w:t xml:space="preserve"> to higher water prices</w:t>
      </w:r>
      <w:r w:rsidR="00AB7644">
        <w:rPr>
          <w:lang w:eastAsia="ja-JP"/>
        </w:rPr>
        <w:t>, it is not unexpected, and remains within the bounds of</w:t>
      </w:r>
      <w:r>
        <w:rPr>
          <w:lang w:eastAsia="ja-JP"/>
        </w:rPr>
        <w:t xml:space="preserve"> scenarios presented in </w:t>
      </w:r>
      <w:r w:rsidR="0049245D">
        <w:rPr>
          <w:lang w:eastAsia="ja-JP"/>
        </w:rPr>
        <w:t xml:space="preserve">a previous </w:t>
      </w:r>
      <w:r>
        <w:rPr>
          <w:lang w:eastAsia="ja-JP"/>
        </w:rPr>
        <w:t>ABARES study (Gupta and Hughes 2018).</w:t>
      </w:r>
    </w:p>
    <w:p w:rsidR="0053623B" w:rsidRDefault="001340AE">
      <w:pPr>
        <w:pStyle w:val="Heading2"/>
        <w:numPr>
          <w:ilvl w:val="0"/>
          <w:numId w:val="0"/>
        </w:numPr>
        <w:ind w:left="720" w:hanging="720"/>
      </w:pPr>
      <w:bookmarkStart w:id="4" w:name="_Toc2246931"/>
      <w:bookmarkEnd w:id="3"/>
      <w:r>
        <w:lastRenderedPageBreak/>
        <w:t>Current water market conditions</w:t>
      </w:r>
      <w:bookmarkEnd w:id="4"/>
    </w:p>
    <w:p w:rsidR="001340AE" w:rsidRDefault="004F6A77" w:rsidP="004F6A77">
      <w:pPr>
        <w:rPr>
          <w:lang w:eastAsia="ja-JP"/>
        </w:rPr>
      </w:pPr>
      <w:r w:rsidRPr="001531E5">
        <w:rPr>
          <w:lang w:eastAsia="ja-JP"/>
        </w:rPr>
        <w:t xml:space="preserve">Drought conditions in </w:t>
      </w:r>
      <w:r>
        <w:rPr>
          <w:lang w:eastAsia="ja-JP"/>
        </w:rPr>
        <w:t xml:space="preserve">NSW have contributed to low supply and high prices for water allocations in the </w:t>
      </w:r>
      <w:r w:rsidR="0049245D">
        <w:rPr>
          <w:lang w:eastAsia="ja-JP"/>
        </w:rPr>
        <w:t>sMDB</w:t>
      </w:r>
      <w:r>
        <w:rPr>
          <w:lang w:eastAsia="ja-JP"/>
        </w:rPr>
        <w:t xml:space="preserve"> during </w:t>
      </w:r>
      <w:r w:rsidR="00AC5513">
        <w:rPr>
          <w:lang w:eastAsia="ja-JP"/>
        </w:rPr>
        <w:t>2018–19</w:t>
      </w:r>
      <w:r>
        <w:rPr>
          <w:lang w:eastAsia="ja-JP"/>
        </w:rPr>
        <w:t xml:space="preserve">. Exceptionally hot and dry conditions in January saw </w:t>
      </w:r>
      <w:r w:rsidR="0049245D">
        <w:rPr>
          <w:lang w:eastAsia="ja-JP"/>
        </w:rPr>
        <w:t xml:space="preserve">allocation </w:t>
      </w:r>
      <w:r>
        <w:rPr>
          <w:lang w:eastAsia="ja-JP"/>
        </w:rPr>
        <w:t xml:space="preserve">prices as high as $500 per ML in the Murray and $700 in the Murrumbidgee. Currently water allocations are trading around $450 per ML in both regions </w:t>
      </w:r>
      <w:r w:rsidR="001340AE">
        <w:rPr>
          <w:lang w:eastAsia="ja-JP"/>
        </w:rPr>
        <w:t>(</w:t>
      </w:r>
      <w:r w:rsidR="00390AE9">
        <w:rPr>
          <w:highlight w:val="yellow"/>
          <w:lang w:eastAsia="ja-JP"/>
        </w:rPr>
        <w:fldChar w:fldCharType="begin"/>
      </w:r>
      <w:r w:rsidR="00390AE9">
        <w:rPr>
          <w:lang w:eastAsia="ja-JP"/>
        </w:rPr>
        <w:instrText xml:space="preserve"> REF _Ref1984192 \h </w:instrText>
      </w:r>
      <w:r w:rsidR="00390AE9">
        <w:rPr>
          <w:highlight w:val="yellow"/>
          <w:lang w:eastAsia="ja-JP"/>
        </w:rPr>
      </w:r>
      <w:r w:rsidR="00390AE9">
        <w:rPr>
          <w:highlight w:val="yellow"/>
          <w:lang w:eastAsia="ja-JP"/>
        </w:rPr>
        <w:fldChar w:fldCharType="separate"/>
      </w:r>
      <w:r w:rsidR="002D7E7D">
        <w:t xml:space="preserve">Figure </w:t>
      </w:r>
      <w:r w:rsidR="002D7E7D">
        <w:rPr>
          <w:noProof/>
        </w:rPr>
        <w:t>1</w:t>
      </w:r>
      <w:r w:rsidR="00390AE9">
        <w:rPr>
          <w:highlight w:val="yellow"/>
          <w:lang w:eastAsia="ja-JP"/>
        </w:rPr>
        <w:fldChar w:fldCharType="end"/>
      </w:r>
      <w:r w:rsidR="001340AE">
        <w:rPr>
          <w:lang w:eastAsia="ja-JP"/>
        </w:rPr>
        <w:t>).</w:t>
      </w:r>
    </w:p>
    <w:p w:rsidR="00390AE9" w:rsidRDefault="00390AE9" w:rsidP="00390AE9">
      <w:pPr>
        <w:pStyle w:val="Caption"/>
        <w:rPr>
          <w:lang w:eastAsia="ja-JP"/>
        </w:rPr>
      </w:pPr>
      <w:bookmarkStart w:id="5" w:name="_Ref1984192"/>
      <w:bookmarkStart w:id="6" w:name="_Toc2246922"/>
      <w:r>
        <w:t xml:space="preserve">Figure </w:t>
      </w:r>
      <w:r w:rsidR="00F23E5D">
        <w:rPr>
          <w:noProof/>
        </w:rPr>
        <w:fldChar w:fldCharType="begin"/>
      </w:r>
      <w:r w:rsidR="00F23E5D">
        <w:rPr>
          <w:noProof/>
        </w:rPr>
        <w:instrText xml:space="preserve"> SEQ Figure \* ARABIC </w:instrText>
      </w:r>
      <w:r w:rsidR="00F23E5D">
        <w:rPr>
          <w:noProof/>
        </w:rPr>
        <w:fldChar w:fldCharType="separate"/>
      </w:r>
      <w:r w:rsidR="002D7E7D">
        <w:rPr>
          <w:noProof/>
        </w:rPr>
        <w:t>1</w:t>
      </w:r>
      <w:r w:rsidR="00F23E5D">
        <w:rPr>
          <w:noProof/>
        </w:rPr>
        <w:fldChar w:fldCharType="end"/>
      </w:r>
      <w:bookmarkEnd w:id="5"/>
      <w:r w:rsidR="00A630E5">
        <w:t xml:space="preserve"> Allocation prices and storage volumes in the southern Murray-Darling Basin</w:t>
      </w:r>
      <w:bookmarkEnd w:id="6"/>
    </w:p>
    <w:p w:rsidR="00865241" w:rsidRPr="0051488C" w:rsidRDefault="00181CB8" w:rsidP="0051488C">
      <w:pPr>
        <w:pStyle w:val="Normalsmall"/>
        <w:rPr>
          <w:lang w:eastAsia="ja-JP"/>
        </w:rPr>
      </w:pPr>
      <w:r w:rsidRPr="00181CB8">
        <w:rPr>
          <w:noProof/>
          <w:lang w:eastAsia="en-AU"/>
        </w:rPr>
        <w:drawing>
          <wp:inline distT="0" distB="0" distL="0" distR="0" wp14:anchorId="4A138D13" wp14:editId="14DBDB88">
            <wp:extent cx="5649713" cy="3605841"/>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241"/>
                    <a:stretch/>
                  </pic:blipFill>
                  <pic:spPr bwMode="auto">
                    <a:xfrm>
                      <a:off x="0" y="0"/>
                      <a:ext cx="5655844" cy="3609754"/>
                    </a:xfrm>
                    <a:prstGeom prst="rect">
                      <a:avLst/>
                    </a:prstGeom>
                    <a:noFill/>
                    <a:ln>
                      <a:noFill/>
                    </a:ln>
                    <a:extLst>
                      <a:ext uri="{53640926-AAD7-44D8-BBD7-CCE9431645EC}">
                        <a14:shadowObscured xmlns:a14="http://schemas.microsoft.com/office/drawing/2010/main"/>
                      </a:ext>
                    </a:extLst>
                  </pic:spPr>
                </pic:pic>
              </a:graphicData>
            </a:graphic>
          </wp:inline>
        </w:drawing>
      </w:r>
      <w:r w:rsidR="00113245" w:rsidRPr="001008B9">
        <w:rPr>
          <w:b/>
          <w:lang w:eastAsia="ja-JP"/>
        </w:rPr>
        <w:t>Source:</w:t>
      </w:r>
      <w:r w:rsidR="00113245">
        <w:rPr>
          <w:b/>
          <w:lang w:eastAsia="ja-JP"/>
        </w:rPr>
        <w:t xml:space="preserve"> </w:t>
      </w:r>
      <w:r w:rsidR="00113245">
        <w:rPr>
          <w:lang w:eastAsia="ja-JP"/>
        </w:rPr>
        <w:t xml:space="preserve">BOM, </w:t>
      </w:r>
      <w:r w:rsidR="00113245" w:rsidRPr="00AA69DB">
        <w:t>GMW</w:t>
      </w:r>
      <w:r w:rsidR="00113245">
        <w:t xml:space="preserve">, </w:t>
      </w:r>
      <w:r w:rsidR="00113245" w:rsidRPr="00AA69DB">
        <w:t>SAWater</w:t>
      </w:r>
      <w:r w:rsidR="00113245">
        <w:t xml:space="preserve">, </w:t>
      </w:r>
      <w:r w:rsidR="00113245" w:rsidRPr="00AA69DB">
        <w:t>WaterNSW</w:t>
      </w:r>
      <w:r w:rsidR="00792F21">
        <w:br/>
      </w:r>
      <w:r w:rsidR="0051488C" w:rsidRPr="0051488C">
        <w:rPr>
          <w:b/>
          <w:lang w:eastAsia="ja-JP"/>
        </w:rPr>
        <w:t>Note:</w:t>
      </w:r>
      <w:r w:rsidR="0051488C">
        <w:rPr>
          <w:b/>
          <w:lang w:eastAsia="ja-JP"/>
        </w:rPr>
        <w:t xml:space="preserve"> </w:t>
      </w:r>
      <w:r w:rsidR="004F6A77" w:rsidRPr="004B1453">
        <w:rPr>
          <w:lang w:eastAsia="ja-JP"/>
        </w:rPr>
        <w:t>Water</w:t>
      </w:r>
      <w:r w:rsidR="004F6A77">
        <w:rPr>
          <w:b/>
          <w:lang w:eastAsia="ja-JP"/>
        </w:rPr>
        <w:t xml:space="preserve"> </w:t>
      </w:r>
      <w:r w:rsidR="004F6A77">
        <w:rPr>
          <w:lang w:eastAsia="ja-JP"/>
        </w:rPr>
        <w:t>p</w:t>
      </w:r>
      <w:r w:rsidR="0051488C">
        <w:rPr>
          <w:lang w:eastAsia="ja-JP"/>
        </w:rPr>
        <w:t xml:space="preserve">rices </w:t>
      </w:r>
      <w:r w:rsidR="00040FCB">
        <w:rPr>
          <w:lang w:eastAsia="ja-JP"/>
        </w:rPr>
        <w:t xml:space="preserve">in </w:t>
      </w:r>
      <w:r w:rsidR="0051488C">
        <w:rPr>
          <w:lang w:eastAsia="ja-JP"/>
        </w:rPr>
        <w:t>2019</w:t>
      </w:r>
      <w:r w:rsidR="00040FCB">
        <w:rPr>
          <w:lang w:eastAsia="ja-JP"/>
        </w:rPr>
        <w:t xml:space="preserve"> dollar terms</w:t>
      </w:r>
      <w:r w:rsidR="0051488C">
        <w:rPr>
          <w:lang w:eastAsia="ja-JP"/>
        </w:rPr>
        <w:t>.</w:t>
      </w:r>
      <w:r w:rsidR="00252C77">
        <w:rPr>
          <w:lang w:eastAsia="ja-JP"/>
        </w:rPr>
        <w:t xml:space="preserve"> </w:t>
      </w:r>
      <w:r w:rsidR="0051488C" w:rsidRPr="0051488C">
        <w:rPr>
          <w:lang w:eastAsia="ja-JP"/>
        </w:rPr>
        <w:t>Storages include; Dartmouth, Hume, Yarrawonga Weir, Lake Victoria, Menindee Lakes, Blowering, Burrinjuck, Lake Elidon, Lake Eppalock, Cairn Curran, Laanecoorie. Warranga Basin is excluded due to lack of data</w:t>
      </w:r>
      <w:r w:rsidR="0051488C">
        <w:rPr>
          <w:lang w:eastAsia="ja-JP"/>
        </w:rPr>
        <w:t>.</w:t>
      </w:r>
    </w:p>
    <w:p w:rsidR="00113245" w:rsidRDefault="00113245" w:rsidP="001340AE">
      <w:pPr>
        <w:rPr>
          <w:lang w:eastAsia="ja-JP"/>
        </w:rPr>
      </w:pPr>
    </w:p>
    <w:p w:rsidR="004F6A77" w:rsidRDefault="00040FCB" w:rsidP="001340AE">
      <w:pPr>
        <w:rPr>
          <w:lang w:eastAsia="ja-JP"/>
        </w:rPr>
      </w:pPr>
      <w:r>
        <w:rPr>
          <w:lang w:eastAsia="ja-JP"/>
        </w:rPr>
        <w:t xml:space="preserve">Prices in </w:t>
      </w:r>
      <w:r w:rsidR="00AC5513">
        <w:rPr>
          <w:lang w:eastAsia="ja-JP"/>
        </w:rPr>
        <w:t>2018–19</w:t>
      </w:r>
      <w:r w:rsidR="004F6A77">
        <w:rPr>
          <w:lang w:eastAsia="ja-JP"/>
        </w:rPr>
        <w:t xml:space="preserve"> have been driven by low water allocations in NSW (0 per cent, and 7 per cent for NSW Murray and Murrumbidgee General entitlements respectively).</w:t>
      </w:r>
      <w:r w:rsidR="00B13971">
        <w:rPr>
          <w:lang w:eastAsia="ja-JP"/>
        </w:rPr>
        <w:t xml:space="preserve"> </w:t>
      </w:r>
      <w:r w:rsidR="004F6A77">
        <w:rPr>
          <w:lang w:eastAsia="ja-JP"/>
        </w:rPr>
        <w:t xml:space="preserve">Water availability has remained stronger in Victoria with 100 per cent allocations for Murray and </w:t>
      </w:r>
      <w:r w:rsidR="006E02BF">
        <w:rPr>
          <w:lang w:eastAsia="ja-JP"/>
        </w:rPr>
        <w:t xml:space="preserve">94 per cent allocations for </w:t>
      </w:r>
      <w:r w:rsidR="004F6A77">
        <w:rPr>
          <w:lang w:eastAsia="ja-JP"/>
        </w:rPr>
        <w:t>Goulburn High Reliability entitlements</w:t>
      </w:r>
      <w:r w:rsidR="002C032F">
        <w:rPr>
          <w:lang w:eastAsia="ja-JP"/>
        </w:rPr>
        <w:t xml:space="preserve"> (</w:t>
      </w:r>
      <w:r w:rsidR="002C032F">
        <w:rPr>
          <w:lang w:eastAsia="ja-JP"/>
        </w:rPr>
        <w:fldChar w:fldCharType="begin"/>
      </w:r>
      <w:r w:rsidR="002C032F">
        <w:rPr>
          <w:lang w:eastAsia="ja-JP"/>
        </w:rPr>
        <w:instrText xml:space="preserve"> REF _Ref2070731 \h </w:instrText>
      </w:r>
      <w:r w:rsidR="002C032F">
        <w:rPr>
          <w:lang w:eastAsia="ja-JP"/>
        </w:rPr>
      </w:r>
      <w:r w:rsidR="002C032F">
        <w:rPr>
          <w:lang w:eastAsia="ja-JP"/>
        </w:rPr>
        <w:fldChar w:fldCharType="separate"/>
      </w:r>
      <w:r w:rsidR="002D7E7D">
        <w:t xml:space="preserve">Figure </w:t>
      </w:r>
      <w:r w:rsidR="002D7E7D">
        <w:rPr>
          <w:noProof/>
        </w:rPr>
        <w:t>2</w:t>
      </w:r>
      <w:r w:rsidR="002C032F">
        <w:rPr>
          <w:lang w:eastAsia="ja-JP"/>
        </w:rPr>
        <w:fldChar w:fldCharType="end"/>
      </w:r>
      <w:r w:rsidR="002C032F">
        <w:rPr>
          <w:lang w:eastAsia="ja-JP"/>
        </w:rPr>
        <w:t>)</w:t>
      </w:r>
      <w:r w:rsidR="004F6A77">
        <w:rPr>
          <w:lang w:eastAsia="ja-JP"/>
        </w:rPr>
        <w:t>.</w:t>
      </w:r>
    </w:p>
    <w:p w:rsidR="002C032F" w:rsidRDefault="002C032F" w:rsidP="00DF4714">
      <w:pPr>
        <w:pStyle w:val="Caption"/>
        <w:rPr>
          <w:lang w:eastAsia="ja-JP"/>
        </w:rPr>
      </w:pPr>
      <w:bookmarkStart w:id="7" w:name="_Ref2070731"/>
      <w:bookmarkStart w:id="8" w:name="_Toc2246923"/>
      <w:r>
        <w:lastRenderedPageBreak/>
        <w:t xml:space="preserve">Figure </w:t>
      </w:r>
      <w:r w:rsidR="00040FCB">
        <w:rPr>
          <w:noProof/>
        </w:rPr>
        <w:fldChar w:fldCharType="begin"/>
      </w:r>
      <w:r w:rsidR="00040FCB">
        <w:rPr>
          <w:noProof/>
        </w:rPr>
        <w:instrText xml:space="preserve"> SEQ Figure \* ARABIC </w:instrText>
      </w:r>
      <w:r w:rsidR="00040FCB">
        <w:rPr>
          <w:noProof/>
        </w:rPr>
        <w:fldChar w:fldCharType="separate"/>
      </w:r>
      <w:r w:rsidR="002D7E7D">
        <w:rPr>
          <w:noProof/>
        </w:rPr>
        <w:t>2</w:t>
      </w:r>
      <w:r w:rsidR="00040FCB">
        <w:rPr>
          <w:noProof/>
        </w:rPr>
        <w:fldChar w:fldCharType="end"/>
      </w:r>
      <w:bookmarkEnd w:id="7"/>
      <w:r>
        <w:t xml:space="preserve"> </w:t>
      </w:r>
      <w:r w:rsidRPr="00C46652">
        <w:t>Water allocation scenarios for 2018–19</w:t>
      </w:r>
      <w:bookmarkEnd w:id="8"/>
    </w:p>
    <w:p w:rsidR="00CC60E1" w:rsidRPr="00CC60E1" w:rsidRDefault="00181CB8" w:rsidP="00CC60E1">
      <w:pPr>
        <w:rPr>
          <w:lang w:eastAsia="ja-JP"/>
        </w:rPr>
      </w:pPr>
      <w:r w:rsidRPr="00181CB8">
        <w:rPr>
          <w:noProof/>
          <w:lang w:eastAsia="en-AU"/>
        </w:rPr>
        <w:drawing>
          <wp:inline distT="0" distB="0" distL="0" distR="0" wp14:anchorId="5DD71F9C" wp14:editId="0F4DC9FE">
            <wp:extent cx="5580000" cy="2465083"/>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0000" cy="2465083"/>
                    </a:xfrm>
                    <a:prstGeom prst="rect">
                      <a:avLst/>
                    </a:prstGeom>
                    <a:noFill/>
                    <a:ln>
                      <a:noFill/>
                    </a:ln>
                  </pic:spPr>
                </pic:pic>
              </a:graphicData>
            </a:graphic>
          </wp:inline>
        </w:drawing>
      </w:r>
    </w:p>
    <w:p w:rsidR="00113245" w:rsidRDefault="00D713EA" w:rsidP="00DF4714">
      <w:pPr>
        <w:pStyle w:val="Normalsmall"/>
        <w:rPr>
          <w:lang w:eastAsia="ja-JP"/>
        </w:rPr>
      </w:pPr>
      <w:r w:rsidRPr="004E2F34">
        <w:rPr>
          <w:b/>
          <w:lang w:eastAsia="ja-JP"/>
        </w:rPr>
        <w:t>Source:</w:t>
      </w:r>
      <w:r>
        <w:rPr>
          <w:lang w:eastAsia="ja-JP"/>
        </w:rPr>
        <w:t xml:space="preserve"> NVRM, NSW DPI, ABARES</w:t>
      </w:r>
    </w:p>
    <w:p w:rsidR="001340AE" w:rsidRDefault="0037053A" w:rsidP="001340AE">
      <w:pPr>
        <w:rPr>
          <w:lang w:eastAsia="ja-JP"/>
        </w:rPr>
      </w:pPr>
      <w:r>
        <w:rPr>
          <w:lang w:eastAsia="ja-JP"/>
        </w:rPr>
        <w:t>This disparity in water supply</w:t>
      </w:r>
      <w:r w:rsidR="004B1453">
        <w:rPr>
          <w:lang w:eastAsia="ja-JP"/>
        </w:rPr>
        <w:t xml:space="preserve"> has created demand for water imports into </w:t>
      </w:r>
      <w:r>
        <w:rPr>
          <w:lang w:eastAsia="ja-JP"/>
        </w:rPr>
        <w:t xml:space="preserve">the </w:t>
      </w:r>
      <w:r w:rsidR="004B1453">
        <w:rPr>
          <w:lang w:eastAsia="ja-JP"/>
        </w:rPr>
        <w:t xml:space="preserve">NSW </w:t>
      </w:r>
      <w:r>
        <w:rPr>
          <w:lang w:eastAsia="ja-JP"/>
        </w:rPr>
        <w:t>Murray and Murrumbidgee</w:t>
      </w:r>
      <w:r w:rsidR="00DF4714">
        <w:rPr>
          <w:lang w:eastAsia="ja-JP"/>
        </w:rPr>
        <w:t xml:space="preserve">. </w:t>
      </w:r>
      <w:r w:rsidR="00DE1E00">
        <w:rPr>
          <w:lang w:eastAsia="ja-JP"/>
        </w:rPr>
        <w:t>T</w:t>
      </w:r>
      <w:r w:rsidR="001340AE">
        <w:rPr>
          <w:lang w:eastAsia="ja-JP"/>
        </w:rPr>
        <w:t xml:space="preserve">he </w:t>
      </w:r>
      <w:r>
        <w:rPr>
          <w:lang w:eastAsia="ja-JP"/>
        </w:rPr>
        <w:t xml:space="preserve">NSW </w:t>
      </w:r>
      <w:r w:rsidR="001340AE">
        <w:rPr>
          <w:lang w:eastAsia="ja-JP"/>
        </w:rPr>
        <w:t xml:space="preserve">Murrumbidgee Inter-valley Transfer (IVT) account has </w:t>
      </w:r>
      <w:r w:rsidR="004B1453">
        <w:rPr>
          <w:lang w:eastAsia="ja-JP"/>
        </w:rPr>
        <w:t>remained near its lower limit for much of the year</w:t>
      </w:r>
      <w:r w:rsidR="001340AE">
        <w:rPr>
          <w:lang w:eastAsia="ja-JP"/>
        </w:rPr>
        <w:t xml:space="preserve">, </w:t>
      </w:r>
      <w:r w:rsidR="004B1453">
        <w:rPr>
          <w:lang w:eastAsia="ja-JP"/>
        </w:rPr>
        <w:t>constraining</w:t>
      </w:r>
      <w:r w:rsidR="001340AE">
        <w:rPr>
          <w:lang w:eastAsia="ja-JP"/>
        </w:rPr>
        <w:t xml:space="preserve"> imports and leading to </w:t>
      </w:r>
      <w:r w:rsidR="004B1453">
        <w:rPr>
          <w:lang w:eastAsia="ja-JP"/>
        </w:rPr>
        <w:t>periods of</w:t>
      </w:r>
      <w:r w:rsidR="001340AE">
        <w:rPr>
          <w:lang w:eastAsia="ja-JP"/>
        </w:rPr>
        <w:t xml:space="preserve"> </w:t>
      </w:r>
      <w:r w:rsidR="004B1453">
        <w:rPr>
          <w:lang w:eastAsia="ja-JP"/>
        </w:rPr>
        <w:t xml:space="preserve">higher prices in the Murrumbidgee </w:t>
      </w:r>
      <w:r w:rsidR="001340AE">
        <w:rPr>
          <w:lang w:eastAsia="ja-JP"/>
        </w:rPr>
        <w:t xml:space="preserve">relative to the Murray. </w:t>
      </w:r>
    </w:p>
    <w:p w:rsidR="00972196" w:rsidRDefault="004B1453" w:rsidP="004B1453">
      <w:pPr>
        <w:rPr>
          <w:lang w:eastAsia="ja-JP"/>
        </w:rPr>
      </w:pPr>
      <w:r>
        <w:rPr>
          <w:lang w:eastAsia="ja-JP"/>
        </w:rPr>
        <w:t xml:space="preserve">For the southern basin as a whole, </w:t>
      </w:r>
      <w:r w:rsidR="00AC5513">
        <w:rPr>
          <w:lang w:eastAsia="ja-JP"/>
        </w:rPr>
        <w:t>2018–19</w:t>
      </w:r>
      <w:r>
        <w:rPr>
          <w:lang w:eastAsia="ja-JP"/>
        </w:rPr>
        <w:t xml:space="preserve"> has seen the lowest water availability levels since 2009</w:t>
      </w:r>
      <w:r w:rsidR="00AC5513">
        <w:rPr>
          <w:lang w:eastAsia="ja-JP"/>
        </w:rPr>
        <w:t>–</w:t>
      </w:r>
      <w:r>
        <w:rPr>
          <w:lang w:eastAsia="ja-JP"/>
        </w:rPr>
        <w:t>10</w:t>
      </w:r>
      <w:r w:rsidR="00E26CE4">
        <w:rPr>
          <w:lang w:eastAsia="ja-JP"/>
        </w:rPr>
        <w:t xml:space="preserve"> </w:t>
      </w:r>
      <w:r>
        <w:rPr>
          <w:lang w:eastAsia="ja-JP"/>
        </w:rPr>
        <w:t xml:space="preserve">(taking into account allocations, carryover and water recovery volumes, see </w:t>
      </w:r>
      <w:r>
        <w:rPr>
          <w:highlight w:val="yellow"/>
          <w:lang w:eastAsia="ja-JP"/>
        </w:rPr>
        <w:fldChar w:fldCharType="begin"/>
      </w:r>
      <w:r>
        <w:rPr>
          <w:lang w:eastAsia="ja-JP"/>
        </w:rPr>
        <w:instrText xml:space="preserve"> REF _Ref1984291 \h </w:instrText>
      </w:r>
      <w:r>
        <w:rPr>
          <w:highlight w:val="yellow"/>
          <w:lang w:eastAsia="ja-JP"/>
        </w:rPr>
      </w:r>
      <w:r>
        <w:rPr>
          <w:highlight w:val="yellow"/>
          <w:lang w:eastAsia="ja-JP"/>
        </w:rPr>
        <w:fldChar w:fldCharType="separate"/>
      </w:r>
      <w:r w:rsidR="002D7E7D">
        <w:t xml:space="preserve">Figure </w:t>
      </w:r>
      <w:r w:rsidR="002D7E7D">
        <w:rPr>
          <w:noProof/>
        </w:rPr>
        <w:t>4</w:t>
      </w:r>
      <w:r>
        <w:rPr>
          <w:highlight w:val="yellow"/>
          <w:lang w:eastAsia="ja-JP"/>
        </w:rPr>
        <w:fldChar w:fldCharType="end"/>
      </w:r>
      <w:r>
        <w:rPr>
          <w:lang w:eastAsia="ja-JP"/>
        </w:rPr>
        <w:t xml:space="preserve">). </w:t>
      </w:r>
      <w:r w:rsidR="00E26CE4">
        <w:rPr>
          <w:lang w:eastAsia="ja-JP"/>
        </w:rPr>
        <w:t xml:space="preserve">While </w:t>
      </w:r>
      <w:r w:rsidR="0037053A">
        <w:rPr>
          <w:lang w:eastAsia="ja-JP"/>
        </w:rPr>
        <w:t xml:space="preserve">total </w:t>
      </w:r>
      <w:r w:rsidR="00E26CE4">
        <w:rPr>
          <w:lang w:eastAsia="ja-JP"/>
        </w:rPr>
        <w:t xml:space="preserve">storage volumes remain higher than </w:t>
      </w:r>
      <w:r w:rsidR="00D03A7A">
        <w:rPr>
          <w:lang w:eastAsia="ja-JP"/>
        </w:rPr>
        <w:t>2015</w:t>
      </w:r>
      <w:r w:rsidR="00AC5513">
        <w:rPr>
          <w:lang w:eastAsia="ja-JP"/>
        </w:rPr>
        <w:t>–</w:t>
      </w:r>
      <w:r w:rsidR="00D03A7A">
        <w:rPr>
          <w:lang w:eastAsia="ja-JP"/>
        </w:rPr>
        <w:t>16</w:t>
      </w:r>
      <w:r w:rsidR="00750A2C">
        <w:rPr>
          <w:lang w:eastAsia="ja-JP"/>
        </w:rPr>
        <w:t xml:space="preserve"> (see </w:t>
      </w:r>
      <w:r w:rsidR="00750A2C">
        <w:rPr>
          <w:lang w:eastAsia="ja-JP"/>
        </w:rPr>
        <w:fldChar w:fldCharType="begin"/>
      </w:r>
      <w:r w:rsidR="00750A2C">
        <w:rPr>
          <w:lang w:eastAsia="ja-JP"/>
        </w:rPr>
        <w:instrText xml:space="preserve"> REF _Ref1984192 \h </w:instrText>
      </w:r>
      <w:r w:rsidR="00750A2C">
        <w:rPr>
          <w:lang w:eastAsia="ja-JP"/>
        </w:rPr>
      </w:r>
      <w:r w:rsidR="00750A2C">
        <w:rPr>
          <w:lang w:eastAsia="ja-JP"/>
        </w:rPr>
        <w:fldChar w:fldCharType="separate"/>
      </w:r>
      <w:r w:rsidR="002D7E7D">
        <w:t xml:space="preserve">Figure </w:t>
      </w:r>
      <w:r w:rsidR="002D7E7D">
        <w:rPr>
          <w:noProof/>
        </w:rPr>
        <w:t>1</w:t>
      </w:r>
      <w:r w:rsidR="00750A2C">
        <w:rPr>
          <w:lang w:eastAsia="ja-JP"/>
        </w:rPr>
        <w:fldChar w:fldCharType="end"/>
      </w:r>
      <w:r w:rsidR="00750A2C">
        <w:rPr>
          <w:lang w:eastAsia="ja-JP"/>
        </w:rPr>
        <w:t>),</w:t>
      </w:r>
      <w:r w:rsidR="00E26CE4">
        <w:rPr>
          <w:lang w:eastAsia="ja-JP"/>
        </w:rPr>
        <w:t xml:space="preserve"> allocations are lower</w:t>
      </w:r>
      <w:r w:rsidR="0037053A">
        <w:rPr>
          <w:lang w:eastAsia="ja-JP"/>
        </w:rPr>
        <w:t xml:space="preserve">, because a high proportion of storage is located </w:t>
      </w:r>
      <w:r w:rsidR="00D03A7A">
        <w:rPr>
          <w:lang w:eastAsia="ja-JP"/>
        </w:rPr>
        <w:t>in Victoria where water sharing rul</w:t>
      </w:r>
      <w:r w:rsidR="00DE1E00">
        <w:rPr>
          <w:lang w:eastAsia="ja-JP"/>
        </w:rPr>
        <w:t>es are more conservative (</w:t>
      </w:r>
      <w:r w:rsidR="00D03A7A">
        <w:rPr>
          <w:lang w:eastAsia="ja-JP"/>
        </w:rPr>
        <w:t>a smaller proportion of stored water is allocated</w:t>
      </w:r>
      <w:r w:rsidR="006E02BF">
        <w:rPr>
          <w:lang w:eastAsia="ja-JP"/>
        </w:rPr>
        <w:t>)</w:t>
      </w:r>
      <w:r w:rsidR="00D03A7A">
        <w:rPr>
          <w:lang w:eastAsia="ja-JP"/>
        </w:rPr>
        <w:t xml:space="preserve">. </w:t>
      </w:r>
    </w:p>
    <w:p w:rsidR="00DF4714" w:rsidRDefault="004B1453" w:rsidP="00DF4714">
      <w:pPr>
        <w:rPr>
          <w:lang w:eastAsia="ja-JP"/>
        </w:rPr>
      </w:pPr>
      <w:r>
        <w:rPr>
          <w:lang w:eastAsia="ja-JP"/>
        </w:rPr>
        <w:t xml:space="preserve">Recent ABARES analysis (based on the ABARES water trade model), suggests that a combination of low supply and high irrigation water requirements – due to low rainfall and high temperatures – can explain most of the observed increase in prices in </w:t>
      </w:r>
      <w:r w:rsidR="00AC5513">
        <w:rPr>
          <w:lang w:eastAsia="ja-JP"/>
        </w:rPr>
        <w:t>2018–19</w:t>
      </w:r>
      <w:r>
        <w:rPr>
          <w:lang w:eastAsia="ja-JP"/>
        </w:rPr>
        <w:t>.</w:t>
      </w:r>
      <w:r w:rsidR="00B13971">
        <w:rPr>
          <w:lang w:eastAsia="ja-JP"/>
        </w:rPr>
        <w:t xml:space="preserve"> </w:t>
      </w:r>
      <w:r>
        <w:rPr>
          <w:lang w:eastAsia="ja-JP"/>
        </w:rPr>
        <w:t>While some longer-term growth in water demand also appears to have occurred in recent years (likely due to almond plantations) this growth remains within the bounds of prior expectations (see the long-term outlook section below for more detail</w:t>
      </w:r>
      <w:r w:rsidR="006E02BF">
        <w:rPr>
          <w:lang w:eastAsia="ja-JP"/>
        </w:rPr>
        <w:t>s</w:t>
      </w:r>
      <w:r>
        <w:rPr>
          <w:lang w:eastAsia="ja-JP"/>
        </w:rPr>
        <w:t xml:space="preserve">). </w:t>
      </w:r>
    </w:p>
    <w:p w:rsidR="00EE4ECB" w:rsidRPr="00DF4714" w:rsidRDefault="00EE4ECB" w:rsidP="00DF4714">
      <w:pPr>
        <w:rPr>
          <w:lang w:eastAsia="ja-JP"/>
        </w:rPr>
      </w:pPr>
    </w:p>
    <w:p w:rsidR="0053623B" w:rsidRDefault="001340AE" w:rsidP="001340AE">
      <w:pPr>
        <w:pStyle w:val="Heading2"/>
        <w:numPr>
          <w:ilvl w:val="0"/>
          <w:numId w:val="0"/>
        </w:numPr>
        <w:ind w:left="720" w:hanging="720"/>
      </w:pPr>
      <w:bookmarkStart w:id="9" w:name="_Toc2246932"/>
      <w:r>
        <w:lastRenderedPageBreak/>
        <w:t>2019–20 water market scenarios</w:t>
      </w:r>
      <w:bookmarkEnd w:id="9"/>
    </w:p>
    <w:p w:rsidR="00FE6B4D" w:rsidRDefault="00FE6B4D" w:rsidP="00FE6B4D">
      <w:pPr>
        <w:pStyle w:val="Heading4"/>
        <w:numPr>
          <w:ilvl w:val="0"/>
          <w:numId w:val="0"/>
        </w:numPr>
        <w:ind w:left="964" w:hanging="964"/>
        <w:rPr>
          <w:lang w:eastAsia="ja-JP"/>
        </w:rPr>
      </w:pPr>
      <w:r>
        <w:rPr>
          <w:lang w:eastAsia="ja-JP"/>
        </w:rPr>
        <w:t>ABARES outlook scenarios for 2019–20</w:t>
      </w:r>
    </w:p>
    <w:p w:rsidR="004B1453" w:rsidRPr="0030796D" w:rsidRDefault="00FE6B4D" w:rsidP="004B1453">
      <w:pPr>
        <w:rPr>
          <w:lang w:eastAsia="ja-JP"/>
        </w:rPr>
      </w:pPr>
      <w:r>
        <w:rPr>
          <w:lang w:eastAsia="ja-JP"/>
        </w:rPr>
        <w:t>Scenarios for w</w:t>
      </w:r>
      <w:r w:rsidR="004B1453">
        <w:rPr>
          <w:lang w:eastAsia="ja-JP"/>
        </w:rPr>
        <w:t xml:space="preserve">ater availability </w:t>
      </w:r>
      <w:r>
        <w:rPr>
          <w:lang w:eastAsia="ja-JP"/>
        </w:rPr>
        <w:t xml:space="preserve">in </w:t>
      </w:r>
      <w:r w:rsidR="00040FCB">
        <w:rPr>
          <w:lang w:eastAsia="ja-JP"/>
        </w:rPr>
        <w:t xml:space="preserve">2019–20 </w:t>
      </w:r>
      <w:r w:rsidR="004B1453">
        <w:rPr>
          <w:lang w:eastAsia="ja-JP"/>
        </w:rPr>
        <w:t xml:space="preserve">for </w:t>
      </w:r>
      <w:r w:rsidR="00040FCB">
        <w:rPr>
          <w:lang w:eastAsia="ja-JP"/>
        </w:rPr>
        <w:t xml:space="preserve">key catchments </w:t>
      </w:r>
      <w:r w:rsidR="004B1453">
        <w:rPr>
          <w:lang w:eastAsia="ja-JP"/>
        </w:rPr>
        <w:t xml:space="preserve">are summarised in </w:t>
      </w:r>
      <w:r w:rsidR="004B1453">
        <w:rPr>
          <w:highlight w:val="yellow"/>
          <w:lang w:eastAsia="ja-JP"/>
        </w:rPr>
        <w:fldChar w:fldCharType="begin"/>
      </w:r>
      <w:r w:rsidR="004B1453">
        <w:rPr>
          <w:lang w:eastAsia="ja-JP"/>
        </w:rPr>
        <w:instrText xml:space="preserve"> REF _Ref1984416 \h </w:instrText>
      </w:r>
      <w:r w:rsidR="004B1453">
        <w:rPr>
          <w:highlight w:val="yellow"/>
          <w:lang w:eastAsia="ja-JP"/>
        </w:rPr>
      </w:r>
      <w:r w:rsidR="004B1453">
        <w:rPr>
          <w:highlight w:val="yellow"/>
          <w:lang w:eastAsia="ja-JP"/>
        </w:rPr>
        <w:fldChar w:fldCharType="separate"/>
      </w:r>
      <w:r w:rsidR="002D7E7D">
        <w:t xml:space="preserve">Figure </w:t>
      </w:r>
      <w:r w:rsidR="002D7E7D">
        <w:rPr>
          <w:noProof/>
        </w:rPr>
        <w:t>3</w:t>
      </w:r>
      <w:r w:rsidR="004B1453">
        <w:rPr>
          <w:highlight w:val="yellow"/>
          <w:lang w:eastAsia="ja-JP"/>
        </w:rPr>
        <w:fldChar w:fldCharType="end"/>
      </w:r>
      <w:r w:rsidR="004B1453">
        <w:rPr>
          <w:lang w:eastAsia="ja-JP"/>
        </w:rPr>
        <w:t xml:space="preserve">. These scenarios draw on state government allocation scenarios / outlooks, particularly the </w:t>
      </w:r>
      <w:hyperlink r:id="rId17" w:history="1">
        <w:r w:rsidR="004B1453" w:rsidRPr="0037053A">
          <w:rPr>
            <w:rStyle w:val="Hyperlink"/>
            <w:lang w:eastAsia="ja-JP"/>
          </w:rPr>
          <w:t>Northern Victorian Water Resource Manager (N</w:t>
        </w:r>
        <w:r>
          <w:rPr>
            <w:rStyle w:val="Hyperlink"/>
            <w:lang w:eastAsia="ja-JP"/>
          </w:rPr>
          <w:t>VRM</w:t>
        </w:r>
        <w:r w:rsidR="004B1453" w:rsidRPr="0037053A">
          <w:rPr>
            <w:rStyle w:val="Hyperlink"/>
            <w:lang w:eastAsia="ja-JP"/>
          </w:rPr>
          <w:t xml:space="preserve">) </w:t>
        </w:r>
        <w:r w:rsidR="0037053A">
          <w:rPr>
            <w:rStyle w:val="Hyperlink"/>
            <w:lang w:eastAsia="ja-JP"/>
          </w:rPr>
          <w:t xml:space="preserve">outlook </w:t>
        </w:r>
        <w:r w:rsidR="004B1453" w:rsidRPr="0037053A">
          <w:rPr>
            <w:rStyle w:val="Hyperlink"/>
            <w:lang w:eastAsia="ja-JP"/>
          </w:rPr>
          <w:t>scenarios</w:t>
        </w:r>
      </w:hyperlink>
      <w:r w:rsidR="004B1453">
        <w:rPr>
          <w:lang w:eastAsia="ja-JP"/>
        </w:rPr>
        <w:t xml:space="preserve"> (as at 15 February).</w:t>
      </w:r>
      <w:r w:rsidR="00B13971">
        <w:rPr>
          <w:lang w:eastAsia="ja-JP"/>
        </w:rPr>
        <w:t xml:space="preserve"> </w:t>
      </w:r>
      <w:r w:rsidR="004B1453">
        <w:rPr>
          <w:lang w:eastAsia="ja-JP"/>
        </w:rPr>
        <w:t>The scenarios provide an indication of possible water availability levels under representative ‘</w:t>
      </w:r>
      <w:r w:rsidR="00AC5513" w:rsidRPr="00AC5513">
        <w:rPr>
          <w:i/>
          <w:lang w:eastAsia="ja-JP"/>
        </w:rPr>
        <w:t>dry</w:t>
      </w:r>
      <w:r w:rsidR="004B1453" w:rsidRPr="00DF4714">
        <w:rPr>
          <w:i/>
          <w:lang w:eastAsia="ja-JP"/>
        </w:rPr>
        <w:t>’</w:t>
      </w:r>
      <w:r w:rsidR="004B1453">
        <w:rPr>
          <w:lang w:eastAsia="ja-JP"/>
        </w:rPr>
        <w:t>, ‘</w:t>
      </w:r>
      <w:r w:rsidR="004B1453" w:rsidRPr="00DF4714">
        <w:rPr>
          <w:i/>
          <w:lang w:eastAsia="ja-JP"/>
        </w:rPr>
        <w:t>average’</w:t>
      </w:r>
      <w:r w:rsidR="004B1453">
        <w:rPr>
          <w:lang w:eastAsia="ja-JP"/>
        </w:rPr>
        <w:t xml:space="preserve"> and ‘</w:t>
      </w:r>
      <w:r w:rsidR="004B1453" w:rsidRPr="00DF4714">
        <w:rPr>
          <w:i/>
          <w:lang w:eastAsia="ja-JP"/>
        </w:rPr>
        <w:t>wet’</w:t>
      </w:r>
      <w:r w:rsidR="004B1453">
        <w:rPr>
          <w:lang w:eastAsia="ja-JP"/>
        </w:rPr>
        <w:t xml:space="preserve"> conditions</w:t>
      </w:r>
      <w:r w:rsidR="00BA0BC7">
        <w:rPr>
          <w:lang w:eastAsia="ja-JP"/>
        </w:rPr>
        <w:t xml:space="preserve"> (see </w:t>
      </w:r>
      <w:r w:rsidR="00BA0BC7">
        <w:rPr>
          <w:lang w:eastAsia="ja-JP"/>
        </w:rPr>
        <w:fldChar w:fldCharType="begin"/>
      </w:r>
      <w:r w:rsidR="00BA0BC7">
        <w:rPr>
          <w:lang w:eastAsia="ja-JP"/>
        </w:rPr>
        <w:instrText xml:space="preserve"> REF _Ref1984291 \h </w:instrText>
      </w:r>
      <w:r w:rsidR="00BA0BC7">
        <w:rPr>
          <w:lang w:eastAsia="ja-JP"/>
        </w:rPr>
      </w:r>
      <w:r w:rsidR="00BA0BC7">
        <w:rPr>
          <w:lang w:eastAsia="ja-JP"/>
        </w:rPr>
        <w:fldChar w:fldCharType="separate"/>
      </w:r>
      <w:r w:rsidR="002D7E7D">
        <w:t xml:space="preserve">Figure </w:t>
      </w:r>
      <w:r w:rsidR="002D7E7D">
        <w:rPr>
          <w:noProof/>
        </w:rPr>
        <w:t>4</w:t>
      </w:r>
      <w:r w:rsidR="00BA0BC7">
        <w:rPr>
          <w:lang w:eastAsia="ja-JP"/>
        </w:rPr>
        <w:fldChar w:fldCharType="end"/>
      </w:r>
      <w:r w:rsidR="00BA0BC7">
        <w:rPr>
          <w:lang w:eastAsia="ja-JP"/>
        </w:rPr>
        <w:t>)</w:t>
      </w:r>
      <w:r w:rsidR="004B1453">
        <w:rPr>
          <w:lang w:eastAsia="ja-JP"/>
        </w:rPr>
        <w:t>.</w:t>
      </w:r>
    </w:p>
    <w:p w:rsidR="00A630E5" w:rsidRDefault="00A630E5" w:rsidP="00A630E5">
      <w:pPr>
        <w:pStyle w:val="Caption"/>
        <w:rPr>
          <w:lang w:eastAsia="ja-JP"/>
        </w:rPr>
      </w:pPr>
      <w:bookmarkStart w:id="10" w:name="_Ref1984416"/>
      <w:bookmarkStart w:id="11" w:name="_Toc2246924"/>
      <w:r>
        <w:t xml:space="preserve">Figure </w:t>
      </w:r>
      <w:r w:rsidR="00F23E5D">
        <w:rPr>
          <w:noProof/>
        </w:rPr>
        <w:fldChar w:fldCharType="begin"/>
      </w:r>
      <w:r w:rsidR="00F23E5D">
        <w:rPr>
          <w:noProof/>
        </w:rPr>
        <w:instrText xml:space="preserve"> SEQ Figure \* ARABIC </w:instrText>
      </w:r>
      <w:r w:rsidR="00F23E5D">
        <w:rPr>
          <w:noProof/>
        </w:rPr>
        <w:fldChar w:fldCharType="separate"/>
      </w:r>
      <w:r w:rsidR="002D7E7D">
        <w:rPr>
          <w:noProof/>
        </w:rPr>
        <w:t>3</w:t>
      </w:r>
      <w:r w:rsidR="00F23E5D">
        <w:rPr>
          <w:noProof/>
        </w:rPr>
        <w:fldChar w:fldCharType="end"/>
      </w:r>
      <w:bookmarkEnd w:id="10"/>
      <w:r>
        <w:t xml:space="preserve"> </w:t>
      </w:r>
      <w:r w:rsidR="004B1453">
        <w:t xml:space="preserve">Water allocation scenarios for </w:t>
      </w:r>
      <w:r w:rsidR="00AC5513">
        <w:t>2019–20</w:t>
      </w:r>
      <w:bookmarkEnd w:id="11"/>
    </w:p>
    <w:p w:rsidR="00C01174" w:rsidRDefault="0050316F" w:rsidP="00DF4714">
      <w:pPr>
        <w:pStyle w:val="Normalsmall"/>
        <w:rPr>
          <w:lang w:eastAsia="ja-JP"/>
        </w:rPr>
      </w:pPr>
      <w:r w:rsidRPr="0050316F">
        <w:rPr>
          <w:noProof/>
          <w:lang w:eastAsia="en-AU"/>
        </w:rPr>
        <w:drawing>
          <wp:inline distT="0" distB="0" distL="0" distR="0">
            <wp:extent cx="5570653" cy="246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0653" cy="2466000"/>
                    </a:xfrm>
                    <a:prstGeom prst="rect">
                      <a:avLst/>
                    </a:prstGeom>
                    <a:noFill/>
                    <a:ln>
                      <a:noFill/>
                    </a:ln>
                  </pic:spPr>
                </pic:pic>
              </a:graphicData>
            </a:graphic>
          </wp:inline>
        </w:drawing>
      </w:r>
      <w:r w:rsidR="00CF0851">
        <w:rPr>
          <w:lang w:eastAsia="ja-JP"/>
        </w:rPr>
        <w:br/>
      </w:r>
      <w:r w:rsidR="00CF0851" w:rsidRPr="00DF4714">
        <w:rPr>
          <w:b/>
          <w:lang w:eastAsia="ja-JP"/>
        </w:rPr>
        <w:t>Source:</w:t>
      </w:r>
      <w:r w:rsidR="00CF0851">
        <w:rPr>
          <w:lang w:eastAsia="ja-JP"/>
        </w:rPr>
        <w:t xml:space="preserve"> NVRM, NSW DPI, ABARES</w:t>
      </w:r>
      <w:r w:rsidR="00CF0851">
        <w:rPr>
          <w:lang w:eastAsia="ja-JP"/>
        </w:rPr>
        <w:br/>
      </w:r>
      <w:r w:rsidR="00CF0851" w:rsidRPr="00DF4714">
        <w:rPr>
          <w:b/>
          <w:lang w:eastAsia="ja-JP"/>
        </w:rPr>
        <w:t>Note:</w:t>
      </w:r>
      <w:r w:rsidR="00CF0851">
        <w:rPr>
          <w:lang w:eastAsia="ja-JP"/>
        </w:rPr>
        <w:t xml:space="preserve"> For NSW regions, only a </w:t>
      </w:r>
      <w:r w:rsidR="00AC5513" w:rsidRPr="00AC5513">
        <w:rPr>
          <w:i/>
          <w:lang w:eastAsia="ja-JP"/>
        </w:rPr>
        <w:t>dry</w:t>
      </w:r>
      <w:r w:rsidR="00CF0851">
        <w:rPr>
          <w:lang w:eastAsia="ja-JP"/>
        </w:rPr>
        <w:t xml:space="preserve"> scenario forecast was provided by state agencies.</w:t>
      </w:r>
      <w:r w:rsidR="00B13971">
        <w:rPr>
          <w:lang w:eastAsia="ja-JP"/>
        </w:rPr>
        <w:t xml:space="preserve"> </w:t>
      </w:r>
      <w:r w:rsidR="00CF0851" w:rsidRPr="00DF4714">
        <w:rPr>
          <w:i/>
          <w:lang w:eastAsia="ja-JP"/>
        </w:rPr>
        <w:t>Average</w:t>
      </w:r>
      <w:r w:rsidR="00CF0851">
        <w:rPr>
          <w:lang w:eastAsia="ja-JP"/>
        </w:rPr>
        <w:t xml:space="preserve"> and </w:t>
      </w:r>
      <w:r w:rsidR="00AC5513" w:rsidRPr="00AC5513">
        <w:rPr>
          <w:i/>
          <w:lang w:eastAsia="ja-JP"/>
        </w:rPr>
        <w:t>wet</w:t>
      </w:r>
      <w:r w:rsidR="00CF0851">
        <w:rPr>
          <w:lang w:eastAsia="ja-JP"/>
        </w:rPr>
        <w:t xml:space="preserve"> scenario </w:t>
      </w:r>
      <w:r w:rsidR="00DF4714">
        <w:rPr>
          <w:lang w:eastAsia="ja-JP"/>
        </w:rPr>
        <w:t>are assumed</w:t>
      </w:r>
      <w:r w:rsidR="00CF0851">
        <w:rPr>
          <w:lang w:eastAsia="ja-JP"/>
        </w:rPr>
        <w:t xml:space="preserve"> by ABARES.</w:t>
      </w:r>
    </w:p>
    <w:p w:rsidR="00FE6B4D" w:rsidRDefault="00FE6B4D" w:rsidP="00FE6B4D">
      <w:pPr>
        <w:rPr>
          <w:lang w:eastAsia="ja-JP"/>
        </w:rPr>
      </w:pPr>
      <w:r>
        <w:rPr>
          <w:lang w:eastAsia="ja-JP"/>
        </w:rPr>
        <w:t xml:space="preserve">At present, the NVRM projects </w:t>
      </w:r>
      <w:r w:rsidR="00B67CD5">
        <w:rPr>
          <w:lang w:eastAsia="ja-JP"/>
        </w:rPr>
        <w:t xml:space="preserve">a 100 per cent allocation under </w:t>
      </w:r>
      <w:r w:rsidR="00B67CD5" w:rsidRPr="00B67CD5">
        <w:rPr>
          <w:i/>
          <w:lang w:eastAsia="ja-JP"/>
        </w:rPr>
        <w:t>average</w:t>
      </w:r>
      <w:r w:rsidR="00B67CD5">
        <w:rPr>
          <w:i/>
          <w:lang w:eastAsia="ja-JP"/>
        </w:rPr>
        <w:t xml:space="preserve"> </w:t>
      </w:r>
      <w:r w:rsidR="00B67CD5">
        <w:rPr>
          <w:lang w:eastAsia="ja-JP"/>
        </w:rPr>
        <w:t xml:space="preserve">and </w:t>
      </w:r>
      <w:r w:rsidR="00B67CD5" w:rsidRPr="00B67CD5">
        <w:rPr>
          <w:i/>
          <w:lang w:eastAsia="ja-JP"/>
        </w:rPr>
        <w:t>wet</w:t>
      </w:r>
      <w:r w:rsidR="00B67CD5">
        <w:rPr>
          <w:lang w:eastAsia="ja-JP"/>
        </w:rPr>
        <w:t xml:space="preserve"> conditions for the Victorian Murray and Goulburn, and 58 per cent and 47 per cent under dry conditions. </w:t>
      </w:r>
      <w:r>
        <w:rPr>
          <w:lang w:eastAsia="ja-JP"/>
        </w:rPr>
        <w:t>NSW</w:t>
      </w:r>
      <w:r w:rsidR="00B67CD5">
        <w:rPr>
          <w:lang w:eastAsia="ja-JP"/>
        </w:rPr>
        <w:t xml:space="preserve"> has </w:t>
      </w:r>
      <w:r>
        <w:rPr>
          <w:lang w:eastAsia="ja-JP"/>
        </w:rPr>
        <w:t>only provide</w:t>
      </w:r>
      <w:r w:rsidR="00B67CD5">
        <w:rPr>
          <w:lang w:eastAsia="ja-JP"/>
        </w:rPr>
        <w:t>d</w:t>
      </w:r>
      <w:r>
        <w:rPr>
          <w:lang w:eastAsia="ja-JP"/>
        </w:rPr>
        <w:t xml:space="preserve"> </w:t>
      </w:r>
      <w:r w:rsidR="00B67CD5">
        <w:rPr>
          <w:lang w:eastAsia="ja-JP"/>
        </w:rPr>
        <w:t xml:space="preserve">their </w:t>
      </w:r>
      <w:r>
        <w:rPr>
          <w:lang w:eastAsia="ja-JP"/>
        </w:rPr>
        <w:t xml:space="preserve">allocation </w:t>
      </w:r>
      <w:r w:rsidR="00B67CD5">
        <w:rPr>
          <w:lang w:eastAsia="ja-JP"/>
        </w:rPr>
        <w:t>outlook</w:t>
      </w:r>
      <w:r>
        <w:rPr>
          <w:lang w:eastAsia="ja-JP"/>
        </w:rPr>
        <w:t xml:space="preserve"> under </w:t>
      </w:r>
      <w:r w:rsidRPr="00753AD6">
        <w:rPr>
          <w:i/>
          <w:lang w:eastAsia="ja-JP"/>
        </w:rPr>
        <w:t>dry</w:t>
      </w:r>
      <w:r>
        <w:rPr>
          <w:lang w:eastAsia="ja-JP"/>
        </w:rPr>
        <w:t xml:space="preserve"> conditions. NSW allocations for the </w:t>
      </w:r>
      <w:r w:rsidRPr="00AC5513">
        <w:rPr>
          <w:i/>
          <w:lang w:eastAsia="ja-JP"/>
        </w:rPr>
        <w:t>average</w:t>
      </w:r>
      <w:r>
        <w:rPr>
          <w:lang w:eastAsia="ja-JP"/>
        </w:rPr>
        <w:t xml:space="preserve"> and </w:t>
      </w:r>
      <w:r w:rsidRPr="00AC5513">
        <w:rPr>
          <w:i/>
          <w:lang w:eastAsia="ja-JP"/>
        </w:rPr>
        <w:t>wet</w:t>
      </w:r>
      <w:r>
        <w:rPr>
          <w:lang w:eastAsia="ja-JP"/>
        </w:rPr>
        <w:t xml:space="preserve"> scenarios (along with SA allocations) are </w:t>
      </w:r>
      <w:r w:rsidR="00B67CD5">
        <w:rPr>
          <w:lang w:eastAsia="ja-JP"/>
        </w:rPr>
        <w:t xml:space="preserve">assumptions made by </w:t>
      </w:r>
      <w:r>
        <w:rPr>
          <w:lang w:eastAsia="ja-JP"/>
        </w:rPr>
        <w:t>ABARES (</w:t>
      </w:r>
      <w:r>
        <w:rPr>
          <w:lang w:eastAsia="ja-JP"/>
        </w:rPr>
        <w:fldChar w:fldCharType="begin"/>
      </w:r>
      <w:r>
        <w:rPr>
          <w:lang w:eastAsia="ja-JP"/>
        </w:rPr>
        <w:instrText xml:space="preserve"> REF _Ref1984416 \h </w:instrText>
      </w:r>
      <w:r>
        <w:rPr>
          <w:lang w:eastAsia="ja-JP"/>
        </w:rPr>
      </w:r>
      <w:r>
        <w:rPr>
          <w:lang w:eastAsia="ja-JP"/>
        </w:rPr>
        <w:fldChar w:fldCharType="separate"/>
      </w:r>
      <w:r w:rsidR="002D7E7D">
        <w:t xml:space="preserve">Figure </w:t>
      </w:r>
      <w:r w:rsidR="002D7E7D">
        <w:rPr>
          <w:noProof/>
        </w:rPr>
        <w:t>3</w:t>
      </w:r>
      <w:r>
        <w:rPr>
          <w:lang w:eastAsia="ja-JP"/>
        </w:rPr>
        <w:fldChar w:fldCharType="end"/>
      </w:r>
      <w:r>
        <w:rPr>
          <w:lang w:eastAsia="ja-JP"/>
        </w:rPr>
        <w:t xml:space="preserve">). For modelling purposes the </w:t>
      </w:r>
      <w:r w:rsidR="00434BC1">
        <w:rPr>
          <w:lang w:eastAsia="ja-JP"/>
        </w:rPr>
        <w:t xml:space="preserve">three </w:t>
      </w:r>
      <w:r>
        <w:rPr>
          <w:lang w:eastAsia="ja-JP"/>
        </w:rPr>
        <w:t xml:space="preserve">scenarios </w:t>
      </w:r>
      <w:r w:rsidR="00434BC1">
        <w:rPr>
          <w:lang w:eastAsia="ja-JP"/>
        </w:rPr>
        <w:t>include assumptions for catchment level rainfall, based on the 10</w:t>
      </w:r>
      <w:r w:rsidR="00434BC1" w:rsidRPr="00434BC1">
        <w:rPr>
          <w:vertAlign w:val="superscript"/>
          <w:lang w:eastAsia="ja-JP"/>
        </w:rPr>
        <w:t>th</w:t>
      </w:r>
      <w:r w:rsidR="00434BC1">
        <w:rPr>
          <w:lang w:eastAsia="ja-JP"/>
        </w:rPr>
        <w:t>, 50</w:t>
      </w:r>
      <w:r w:rsidR="00434BC1" w:rsidRPr="00434BC1">
        <w:rPr>
          <w:vertAlign w:val="superscript"/>
          <w:lang w:eastAsia="ja-JP"/>
        </w:rPr>
        <w:t>th</w:t>
      </w:r>
      <w:r w:rsidR="00434BC1">
        <w:rPr>
          <w:lang w:eastAsia="ja-JP"/>
        </w:rPr>
        <w:t xml:space="preserve"> and 90</w:t>
      </w:r>
      <w:r w:rsidR="00434BC1" w:rsidRPr="00434BC1">
        <w:rPr>
          <w:vertAlign w:val="superscript"/>
          <w:lang w:eastAsia="ja-JP"/>
        </w:rPr>
        <w:t>th</w:t>
      </w:r>
      <w:r w:rsidR="00434BC1">
        <w:rPr>
          <w:lang w:eastAsia="ja-JP"/>
        </w:rPr>
        <w:t xml:space="preserve"> percentile for </w:t>
      </w:r>
      <w:r w:rsidR="00753AD6">
        <w:rPr>
          <w:lang w:eastAsia="ja-JP"/>
        </w:rPr>
        <w:t xml:space="preserve">historical levels of rainfall. Projections for commodity prices are sourced from the </w:t>
      </w:r>
      <w:hyperlink r:id="rId19" w:history="1">
        <w:r w:rsidRPr="004E5831">
          <w:rPr>
            <w:rStyle w:val="Hyperlink"/>
            <w:lang w:eastAsia="ja-JP"/>
          </w:rPr>
          <w:t>ABARES Agricultural Commodities Outlook</w:t>
        </w:r>
      </w:hyperlink>
      <w:r>
        <w:rPr>
          <w:lang w:eastAsia="ja-JP"/>
        </w:rPr>
        <w:t xml:space="preserve">. </w:t>
      </w:r>
    </w:p>
    <w:p w:rsidR="00FE6B4D" w:rsidRDefault="00FE6B4D" w:rsidP="00FE6B4D">
      <w:pPr>
        <w:rPr>
          <w:lang w:eastAsia="ja-JP"/>
        </w:rPr>
      </w:pPr>
      <w:r>
        <w:rPr>
          <w:lang w:eastAsia="ja-JP"/>
        </w:rPr>
        <w:t>Similar to the state water allocation outlooks, the scenarios designed by ABARES remain indicative only. Actual water allocations will depend on realised seasonal conditions. At present, the Bureau of Meteorology three month outl</w:t>
      </w:r>
      <w:r w:rsidR="006A383E">
        <w:rPr>
          <w:lang w:eastAsia="ja-JP"/>
        </w:rPr>
        <w:t xml:space="preserve">ook shows below </w:t>
      </w:r>
      <w:r>
        <w:rPr>
          <w:lang w:eastAsia="ja-JP"/>
        </w:rPr>
        <w:t>average rainfall forecast in t</w:t>
      </w:r>
      <w:r w:rsidR="006A383E">
        <w:rPr>
          <w:lang w:eastAsia="ja-JP"/>
        </w:rPr>
        <w:t xml:space="preserve">he southern basin for March, </w:t>
      </w:r>
      <w:r>
        <w:rPr>
          <w:lang w:eastAsia="ja-JP"/>
        </w:rPr>
        <w:t xml:space="preserve">April, and May. BOM’s </w:t>
      </w:r>
      <w:r w:rsidRPr="00040FCB">
        <w:rPr>
          <w:lang w:eastAsia="ja-JP"/>
        </w:rPr>
        <w:t>El Niño–Southern Oscillation</w:t>
      </w:r>
      <w:r>
        <w:rPr>
          <w:lang w:eastAsia="ja-JP"/>
        </w:rPr>
        <w:t xml:space="preserve"> Outlook suggests there is a 50 per cent chance of an El Nino developing in the current season.</w:t>
      </w:r>
    </w:p>
    <w:p w:rsidR="00BA0BC7" w:rsidRDefault="00BA0BC7" w:rsidP="00BA0BC7">
      <w:pPr>
        <w:pStyle w:val="Caption"/>
        <w:rPr>
          <w:lang w:eastAsia="ja-JP"/>
        </w:rPr>
      </w:pPr>
      <w:bookmarkStart w:id="12" w:name="_Ref1984291"/>
      <w:bookmarkStart w:id="13" w:name="_Toc2246925"/>
      <w:r>
        <w:lastRenderedPageBreak/>
        <w:t xml:space="preserve">Figure </w:t>
      </w:r>
      <w:r>
        <w:rPr>
          <w:noProof/>
        </w:rPr>
        <w:fldChar w:fldCharType="begin"/>
      </w:r>
      <w:r>
        <w:rPr>
          <w:noProof/>
        </w:rPr>
        <w:instrText xml:space="preserve"> SEQ Figure \* ARABIC </w:instrText>
      </w:r>
      <w:r>
        <w:rPr>
          <w:noProof/>
        </w:rPr>
        <w:fldChar w:fldCharType="separate"/>
      </w:r>
      <w:r w:rsidR="002D7E7D">
        <w:rPr>
          <w:noProof/>
        </w:rPr>
        <w:t>4</w:t>
      </w:r>
      <w:r>
        <w:rPr>
          <w:noProof/>
        </w:rPr>
        <w:fldChar w:fldCharType="end"/>
      </w:r>
      <w:bookmarkEnd w:id="12"/>
      <w:r>
        <w:t xml:space="preserve"> Total available water allocation supply in the sMDB</w:t>
      </w:r>
      <w:bookmarkEnd w:id="13"/>
    </w:p>
    <w:p w:rsidR="00BA0BC7" w:rsidRDefault="0050316F" w:rsidP="00BA0BC7">
      <w:pPr>
        <w:pStyle w:val="Normalsmall"/>
        <w:rPr>
          <w:lang w:eastAsia="ja-JP"/>
        </w:rPr>
      </w:pPr>
      <w:r w:rsidRPr="0050316F">
        <w:rPr>
          <w:noProof/>
          <w:lang w:eastAsia="en-AU"/>
        </w:rPr>
        <w:drawing>
          <wp:inline distT="0" distB="0" distL="0" distR="0">
            <wp:extent cx="5745480" cy="37871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5480" cy="3787140"/>
                    </a:xfrm>
                    <a:prstGeom prst="rect">
                      <a:avLst/>
                    </a:prstGeom>
                    <a:noFill/>
                    <a:ln>
                      <a:noFill/>
                    </a:ln>
                  </pic:spPr>
                </pic:pic>
              </a:graphicData>
            </a:graphic>
          </wp:inline>
        </w:drawing>
      </w:r>
      <w:r w:rsidR="00BA0BC7">
        <w:rPr>
          <w:lang w:eastAsia="ja-JP"/>
        </w:rPr>
        <w:t xml:space="preserve"> </w:t>
      </w:r>
      <w:r w:rsidR="00BA0BC7">
        <w:rPr>
          <w:lang w:eastAsia="ja-JP"/>
        </w:rPr>
        <w:br/>
      </w:r>
      <w:r w:rsidR="00BA0BC7">
        <w:rPr>
          <w:b/>
          <w:lang w:eastAsia="ja-JP"/>
        </w:rPr>
        <w:t xml:space="preserve">Source: </w:t>
      </w:r>
      <w:r w:rsidR="00BA0BC7" w:rsidRPr="00DF4714">
        <w:rPr>
          <w:lang w:eastAsia="ja-JP"/>
        </w:rPr>
        <w:t>SA DEWNR, NSW DPI, NVRM</w:t>
      </w:r>
      <w:r w:rsidR="006934B3">
        <w:rPr>
          <w:lang w:eastAsia="ja-JP"/>
        </w:rPr>
        <w:t>.</w:t>
      </w:r>
      <w:r w:rsidR="002D7E7D">
        <w:rPr>
          <w:lang w:eastAsia="ja-JP"/>
        </w:rPr>
        <w:t xml:space="preserve"> </w:t>
      </w:r>
      <w:r w:rsidR="00BA0BC7" w:rsidRPr="00DF4714">
        <w:rPr>
          <w:b/>
          <w:lang w:eastAsia="ja-JP"/>
        </w:rPr>
        <w:t xml:space="preserve">Note: </w:t>
      </w:r>
      <w:r w:rsidR="00BA0BC7" w:rsidRPr="001008B9">
        <w:rPr>
          <w:b/>
          <w:lang w:eastAsia="ja-JP"/>
        </w:rPr>
        <w:t>s</w:t>
      </w:r>
      <w:r w:rsidR="00BA0BC7">
        <w:rPr>
          <w:lang w:eastAsia="ja-JP"/>
        </w:rPr>
        <w:t xml:space="preserve"> ABARES estimate. </w:t>
      </w:r>
      <w:r w:rsidR="00BA0BC7" w:rsidRPr="0051488C">
        <w:rPr>
          <w:b/>
          <w:lang w:eastAsia="ja-JP"/>
        </w:rPr>
        <w:t>f</w:t>
      </w:r>
      <w:r w:rsidR="00BA0BC7">
        <w:rPr>
          <w:lang w:eastAsia="ja-JP"/>
        </w:rPr>
        <w:t xml:space="preserve"> ABARES forecast.</w:t>
      </w:r>
    </w:p>
    <w:p w:rsidR="00FE6B4D" w:rsidRDefault="00FE6B4D" w:rsidP="00FE6B4D">
      <w:pPr>
        <w:pStyle w:val="Heading4"/>
        <w:numPr>
          <w:ilvl w:val="0"/>
          <w:numId w:val="0"/>
        </w:numPr>
        <w:ind w:left="964" w:hanging="964"/>
        <w:rPr>
          <w:lang w:eastAsia="ja-JP"/>
        </w:rPr>
      </w:pPr>
      <w:r>
        <w:rPr>
          <w:lang w:eastAsia="ja-JP"/>
        </w:rPr>
        <w:t xml:space="preserve">Modelled water allocation prices </w:t>
      </w:r>
      <w:r w:rsidR="00434BC1">
        <w:rPr>
          <w:lang w:eastAsia="ja-JP"/>
        </w:rPr>
        <w:t>in</w:t>
      </w:r>
      <w:r>
        <w:rPr>
          <w:lang w:eastAsia="ja-JP"/>
        </w:rPr>
        <w:t xml:space="preserve"> 2019–20</w:t>
      </w:r>
    </w:p>
    <w:p w:rsidR="003468CD" w:rsidRDefault="0037053A" w:rsidP="001340AE">
      <w:pPr>
        <w:rPr>
          <w:lang w:eastAsia="ja-JP"/>
        </w:rPr>
      </w:pPr>
      <w:r>
        <w:rPr>
          <w:lang w:eastAsia="ja-JP"/>
        </w:rPr>
        <w:t>The</w:t>
      </w:r>
      <w:r w:rsidR="00B67CD5">
        <w:rPr>
          <w:lang w:eastAsia="ja-JP"/>
        </w:rPr>
        <w:t xml:space="preserve"> </w:t>
      </w:r>
      <w:r w:rsidR="00B67CD5">
        <w:rPr>
          <w:i/>
          <w:lang w:eastAsia="ja-JP"/>
        </w:rPr>
        <w:t>average, wet</w:t>
      </w:r>
      <w:r w:rsidR="00B67CD5">
        <w:rPr>
          <w:lang w:eastAsia="ja-JP"/>
        </w:rPr>
        <w:t xml:space="preserve"> and </w:t>
      </w:r>
      <w:r w:rsidR="00B67CD5">
        <w:rPr>
          <w:i/>
          <w:lang w:eastAsia="ja-JP"/>
        </w:rPr>
        <w:t>dry</w:t>
      </w:r>
      <w:r>
        <w:rPr>
          <w:lang w:eastAsia="ja-JP"/>
        </w:rPr>
        <w:t xml:space="preserve"> scenarios are used to</w:t>
      </w:r>
      <w:r w:rsidR="004D17E6">
        <w:rPr>
          <w:lang w:eastAsia="ja-JP"/>
        </w:rPr>
        <w:t xml:space="preserve"> simulate</w:t>
      </w:r>
      <w:r>
        <w:rPr>
          <w:lang w:eastAsia="ja-JP"/>
        </w:rPr>
        <w:t xml:space="preserve"> annual water market prices and trade flows for </w:t>
      </w:r>
      <w:r w:rsidR="00AC5513">
        <w:rPr>
          <w:lang w:eastAsia="ja-JP"/>
        </w:rPr>
        <w:t>2019–20</w:t>
      </w:r>
      <w:r>
        <w:rPr>
          <w:lang w:eastAsia="ja-JP"/>
        </w:rPr>
        <w:t xml:space="preserve"> using </w:t>
      </w:r>
      <w:r w:rsidR="00B67CD5">
        <w:rPr>
          <w:lang w:eastAsia="ja-JP"/>
        </w:rPr>
        <w:t xml:space="preserve">the </w:t>
      </w:r>
      <w:r>
        <w:rPr>
          <w:lang w:eastAsia="ja-JP"/>
        </w:rPr>
        <w:t>ABARES Water Trade Model (Gupta, et al. 2018).</w:t>
      </w:r>
      <w:r w:rsidR="00536A10">
        <w:rPr>
          <w:lang w:eastAsia="ja-JP"/>
        </w:rPr>
        <w:t xml:space="preserve"> </w:t>
      </w:r>
      <w:r w:rsidR="00B67CD5">
        <w:rPr>
          <w:lang w:eastAsia="ja-JP"/>
        </w:rPr>
        <w:t>Based on the assumptions discussed in the previous section, prices would be between $</w:t>
      </w:r>
      <w:r w:rsidR="004D17E6">
        <w:rPr>
          <w:lang w:eastAsia="ja-JP"/>
        </w:rPr>
        <w:t>190</w:t>
      </w:r>
      <w:r w:rsidR="00B67CD5">
        <w:rPr>
          <w:lang w:eastAsia="ja-JP"/>
        </w:rPr>
        <w:t xml:space="preserve"> per ML in a wet scenario and $</w:t>
      </w:r>
      <w:r w:rsidR="004D17E6">
        <w:rPr>
          <w:lang w:eastAsia="ja-JP"/>
        </w:rPr>
        <w:t>490</w:t>
      </w:r>
      <w:r w:rsidR="00B67CD5">
        <w:rPr>
          <w:lang w:eastAsia="ja-JP"/>
        </w:rPr>
        <w:t xml:space="preserve"> per ML in a dry scenario in 2019–20</w:t>
      </w:r>
      <w:r w:rsidR="003468CD">
        <w:rPr>
          <w:lang w:eastAsia="ja-JP"/>
        </w:rPr>
        <w:t xml:space="preserve"> (Table 1). </w:t>
      </w:r>
    </w:p>
    <w:p w:rsidR="004D17E6" w:rsidRDefault="003468CD" w:rsidP="001340AE">
      <w:pPr>
        <w:rPr>
          <w:lang w:eastAsia="ja-JP"/>
        </w:rPr>
      </w:pPr>
      <w:r>
        <w:rPr>
          <w:lang w:eastAsia="ja-JP"/>
        </w:rPr>
        <w:t xml:space="preserve">There are some differences between catchments. For example, in the </w:t>
      </w:r>
      <w:r w:rsidRPr="003468CD">
        <w:rPr>
          <w:i/>
          <w:lang w:eastAsia="ja-JP"/>
        </w:rPr>
        <w:t>dry</w:t>
      </w:r>
      <w:r>
        <w:rPr>
          <w:lang w:eastAsia="ja-JP"/>
        </w:rPr>
        <w:t xml:space="preserve"> scenario, the lower darling trade limit is modelled to restrict exports of water from the region, leading to lower prices in the darling compared with the rest of the sMDB. A price gap also opens up between the Murrumbidgee and the Murray, discussed further below</w:t>
      </w:r>
      <w:r w:rsidR="00B67CD5">
        <w:rPr>
          <w:lang w:eastAsia="ja-JP"/>
        </w:rPr>
        <w:t>.</w:t>
      </w:r>
      <w:r w:rsidR="004D17E6">
        <w:rPr>
          <w:lang w:eastAsia="ja-JP"/>
        </w:rPr>
        <w:t xml:space="preserve"> </w:t>
      </w:r>
    </w:p>
    <w:p w:rsidR="00434BC1" w:rsidRDefault="00434BC1" w:rsidP="00434BC1">
      <w:pPr>
        <w:pStyle w:val="Caption"/>
        <w:rPr>
          <w:lang w:eastAsia="ja-JP"/>
        </w:rPr>
      </w:pPr>
      <w:bookmarkStart w:id="14" w:name="_Ref2007775"/>
      <w:bookmarkStart w:id="15" w:name="_Toc2246935"/>
      <w:r>
        <w:t xml:space="preserve">Table </w:t>
      </w:r>
      <w:r>
        <w:rPr>
          <w:noProof/>
        </w:rPr>
        <w:fldChar w:fldCharType="begin"/>
      </w:r>
      <w:r>
        <w:rPr>
          <w:noProof/>
        </w:rPr>
        <w:instrText xml:space="preserve"> SEQ Table \* ARABIC </w:instrText>
      </w:r>
      <w:r>
        <w:rPr>
          <w:noProof/>
        </w:rPr>
        <w:fldChar w:fldCharType="separate"/>
      </w:r>
      <w:r w:rsidR="002D7E7D">
        <w:rPr>
          <w:noProof/>
        </w:rPr>
        <w:t>1</w:t>
      </w:r>
      <w:r>
        <w:rPr>
          <w:noProof/>
        </w:rPr>
        <w:fldChar w:fldCharType="end"/>
      </w:r>
      <w:bookmarkEnd w:id="14"/>
      <w:r>
        <w:t>: ABARES water allocation price scenarios for 2019–20</w:t>
      </w:r>
      <w:bookmarkEnd w:id="15"/>
    </w:p>
    <w:tbl>
      <w:tblPr>
        <w:tblW w:w="5000" w:type="pct"/>
        <w:tblBorders>
          <w:top w:val="single" w:sz="4" w:space="0" w:color="auto"/>
          <w:bottom w:val="single" w:sz="4" w:space="0" w:color="auto"/>
        </w:tblBorders>
        <w:tblLook w:val="04A0" w:firstRow="1" w:lastRow="0" w:firstColumn="1" w:lastColumn="0" w:noHBand="0" w:noVBand="1"/>
      </w:tblPr>
      <w:tblGrid>
        <w:gridCol w:w="4106"/>
        <w:gridCol w:w="1838"/>
        <w:gridCol w:w="1564"/>
        <w:gridCol w:w="1562"/>
      </w:tblGrid>
      <w:tr w:rsidR="00434BC1" w:rsidRPr="003E1E47" w:rsidTr="001446A7">
        <w:trPr>
          <w:trHeight w:val="300"/>
        </w:trPr>
        <w:tc>
          <w:tcPr>
            <w:tcW w:w="2264" w:type="pct"/>
            <w:tcBorders>
              <w:top w:val="single" w:sz="4" w:space="0" w:color="auto"/>
              <w:bottom w:val="nil"/>
            </w:tcBorders>
            <w:shd w:val="clear" w:color="auto" w:fill="auto"/>
            <w:noWrap/>
            <w:vAlign w:val="bottom"/>
            <w:hideMark/>
          </w:tcPr>
          <w:p w:rsidR="00434BC1" w:rsidRPr="002930D6" w:rsidRDefault="00434BC1" w:rsidP="001446A7">
            <w:pPr>
              <w:pStyle w:val="TableText"/>
              <w:rPr>
                <w:b/>
                <w:lang w:eastAsia="en-AU"/>
              </w:rPr>
            </w:pPr>
          </w:p>
        </w:tc>
        <w:tc>
          <w:tcPr>
            <w:tcW w:w="2736" w:type="pct"/>
            <w:gridSpan w:val="3"/>
            <w:tcBorders>
              <w:top w:val="single" w:sz="4" w:space="0" w:color="auto"/>
              <w:bottom w:val="nil"/>
            </w:tcBorders>
            <w:shd w:val="clear" w:color="auto" w:fill="auto"/>
            <w:noWrap/>
            <w:vAlign w:val="bottom"/>
            <w:hideMark/>
          </w:tcPr>
          <w:p w:rsidR="00434BC1" w:rsidRPr="002930D6" w:rsidRDefault="00434BC1" w:rsidP="001446A7">
            <w:pPr>
              <w:pStyle w:val="TableText"/>
              <w:jc w:val="center"/>
              <w:rPr>
                <w:b/>
                <w:lang w:eastAsia="en-AU"/>
              </w:rPr>
            </w:pPr>
            <w:r w:rsidRPr="002930D6">
              <w:rPr>
                <w:b/>
                <w:lang w:eastAsia="en-AU"/>
              </w:rPr>
              <w:t>2019–20</w:t>
            </w:r>
            <w:r>
              <w:rPr>
                <w:b/>
                <w:lang w:eastAsia="en-AU"/>
              </w:rPr>
              <w:t xml:space="preserve"> </w:t>
            </w:r>
          </w:p>
        </w:tc>
      </w:tr>
      <w:tr w:rsidR="00434BC1" w:rsidRPr="003E1E47" w:rsidTr="001446A7">
        <w:trPr>
          <w:trHeight w:val="300"/>
        </w:trPr>
        <w:tc>
          <w:tcPr>
            <w:tcW w:w="2264" w:type="pct"/>
            <w:tcBorders>
              <w:top w:val="nil"/>
              <w:bottom w:val="single" w:sz="4" w:space="0" w:color="auto"/>
            </w:tcBorders>
            <w:shd w:val="clear" w:color="auto" w:fill="auto"/>
            <w:noWrap/>
            <w:vAlign w:val="bottom"/>
            <w:hideMark/>
          </w:tcPr>
          <w:p w:rsidR="00434BC1" w:rsidRPr="002930D6" w:rsidRDefault="00434BC1" w:rsidP="001446A7">
            <w:pPr>
              <w:pStyle w:val="TableText"/>
              <w:rPr>
                <w:b/>
                <w:lang w:eastAsia="en-AU"/>
              </w:rPr>
            </w:pPr>
            <w:r w:rsidRPr="002930D6">
              <w:rPr>
                <w:b/>
                <w:lang w:eastAsia="en-AU"/>
              </w:rPr>
              <w:t>Region</w:t>
            </w:r>
          </w:p>
        </w:tc>
        <w:tc>
          <w:tcPr>
            <w:tcW w:w="1013" w:type="pct"/>
            <w:tcBorders>
              <w:top w:val="nil"/>
              <w:bottom w:val="single" w:sz="4" w:space="0" w:color="auto"/>
            </w:tcBorders>
            <w:shd w:val="clear" w:color="auto" w:fill="auto"/>
            <w:noWrap/>
            <w:vAlign w:val="bottom"/>
            <w:hideMark/>
          </w:tcPr>
          <w:p w:rsidR="00434BC1" w:rsidRPr="002930D6" w:rsidRDefault="00434BC1" w:rsidP="001446A7">
            <w:pPr>
              <w:pStyle w:val="TableText"/>
              <w:jc w:val="right"/>
              <w:rPr>
                <w:b/>
                <w:lang w:eastAsia="en-AU"/>
              </w:rPr>
            </w:pPr>
            <w:r w:rsidRPr="002930D6">
              <w:rPr>
                <w:b/>
                <w:lang w:eastAsia="en-AU"/>
              </w:rPr>
              <w:t>Average</w:t>
            </w:r>
            <w:r w:rsidR="00181CB8">
              <w:rPr>
                <w:b/>
                <w:lang w:eastAsia="en-AU"/>
              </w:rPr>
              <w:t xml:space="preserve"> ($/ML)</w:t>
            </w:r>
          </w:p>
        </w:tc>
        <w:tc>
          <w:tcPr>
            <w:tcW w:w="862" w:type="pct"/>
            <w:tcBorders>
              <w:top w:val="nil"/>
              <w:bottom w:val="single" w:sz="4" w:space="0" w:color="auto"/>
            </w:tcBorders>
            <w:shd w:val="clear" w:color="auto" w:fill="auto"/>
            <w:noWrap/>
            <w:vAlign w:val="bottom"/>
            <w:hideMark/>
          </w:tcPr>
          <w:p w:rsidR="00434BC1" w:rsidRPr="002930D6" w:rsidRDefault="00434BC1" w:rsidP="001446A7">
            <w:pPr>
              <w:pStyle w:val="TableText"/>
              <w:jc w:val="right"/>
              <w:rPr>
                <w:b/>
                <w:lang w:eastAsia="en-AU"/>
              </w:rPr>
            </w:pPr>
            <w:r w:rsidRPr="002930D6">
              <w:rPr>
                <w:b/>
                <w:lang w:eastAsia="en-AU"/>
              </w:rPr>
              <w:t>Wet</w:t>
            </w:r>
            <w:r w:rsidR="00181CB8">
              <w:rPr>
                <w:b/>
                <w:lang w:eastAsia="en-AU"/>
              </w:rPr>
              <w:t xml:space="preserve"> ($/ML)</w:t>
            </w:r>
          </w:p>
        </w:tc>
        <w:tc>
          <w:tcPr>
            <w:tcW w:w="862" w:type="pct"/>
            <w:tcBorders>
              <w:top w:val="nil"/>
              <w:bottom w:val="single" w:sz="4" w:space="0" w:color="auto"/>
            </w:tcBorders>
            <w:shd w:val="clear" w:color="auto" w:fill="auto"/>
            <w:noWrap/>
            <w:vAlign w:val="bottom"/>
            <w:hideMark/>
          </w:tcPr>
          <w:p w:rsidR="00434BC1" w:rsidRPr="002930D6" w:rsidRDefault="00434BC1" w:rsidP="001446A7">
            <w:pPr>
              <w:pStyle w:val="TableText"/>
              <w:jc w:val="right"/>
              <w:rPr>
                <w:b/>
                <w:lang w:eastAsia="en-AU"/>
              </w:rPr>
            </w:pPr>
            <w:r w:rsidRPr="002930D6">
              <w:rPr>
                <w:b/>
                <w:lang w:eastAsia="en-AU"/>
              </w:rPr>
              <w:t>Dry</w:t>
            </w:r>
            <w:r w:rsidR="00181CB8">
              <w:rPr>
                <w:b/>
                <w:lang w:eastAsia="en-AU"/>
              </w:rPr>
              <w:t xml:space="preserve"> ($/ML)</w:t>
            </w:r>
          </w:p>
        </w:tc>
      </w:tr>
      <w:tr w:rsidR="00434BC1" w:rsidRPr="003E1E47" w:rsidTr="001446A7">
        <w:trPr>
          <w:trHeight w:val="300"/>
        </w:trPr>
        <w:tc>
          <w:tcPr>
            <w:tcW w:w="2264" w:type="pct"/>
            <w:tcBorders>
              <w:top w:val="single" w:sz="4" w:space="0" w:color="auto"/>
            </w:tcBorders>
            <w:shd w:val="clear" w:color="auto" w:fill="auto"/>
            <w:noWrap/>
            <w:vAlign w:val="bottom"/>
            <w:hideMark/>
          </w:tcPr>
          <w:p w:rsidR="00434BC1" w:rsidRPr="003E1E47" w:rsidRDefault="00434BC1" w:rsidP="001446A7">
            <w:pPr>
              <w:pStyle w:val="TableText"/>
              <w:rPr>
                <w:lang w:eastAsia="en-AU"/>
              </w:rPr>
            </w:pPr>
            <w:r w:rsidRPr="003E1E47">
              <w:rPr>
                <w:lang w:eastAsia="en-AU"/>
              </w:rPr>
              <w:t>NSW Murrumbidgee</w:t>
            </w:r>
          </w:p>
        </w:tc>
        <w:tc>
          <w:tcPr>
            <w:tcW w:w="1013" w:type="pct"/>
            <w:tcBorders>
              <w:top w:val="single" w:sz="4" w:space="0" w:color="auto"/>
            </w:tcBorders>
            <w:shd w:val="clear" w:color="auto" w:fill="auto"/>
            <w:noWrap/>
            <w:vAlign w:val="bottom"/>
            <w:hideMark/>
          </w:tcPr>
          <w:p w:rsidR="00434BC1" w:rsidRPr="003E1E47" w:rsidRDefault="00434BC1" w:rsidP="001446A7">
            <w:pPr>
              <w:pStyle w:val="TableText"/>
              <w:jc w:val="right"/>
              <w:rPr>
                <w:lang w:eastAsia="en-AU"/>
              </w:rPr>
            </w:pPr>
            <w:r>
              <w:rPr>
                <w:lang w:eastAsia="en-AU"/>
              </w:rPr>
              <w:t>324.6</w:t>
            </w:r>
          </w:p>
        </w:tc>
        <w:tc>
          <w:tcPr>
            <w:tcW w:w="862" w:type="pct"/>
            <w:tcBorders>
              <w:top w:val="single" w:sz="4" w:space="0" w:color="auto"/>
            </w:tcBorders>
            <w:shd w:val="clear" w:color="auto" w:fill="auto"/>
            <w:noWrap/>
            <w:vAlign w:val="bottom"/>
            <w:hideMark/>
          </w:tcPr>
          <w:p w:rsidR="00434BC1" w:rsidRPr="003E1E47" w:rsidRDefault="00434BC1" w:rsidP="001446A7">
            <w:pPr>
              <w:pStyle w:val="TableText"/>
              <w:jc w:val="right"/>
              <w:rPr>
                <w:lang w:eastAsia="en-AU"/>
              </w:rPr>
            </w:pPr>
            <w:r>
              <w:rPr>
                <w:lang w:eastAsia="en-AU"/>
              </w:rPr>
              <w:t>189.7</w:t>
            </w:r>
          </w:p>
        </w:tc>
        <w:tc>
          <w:tcPr>
            <w:tcW w:w="862" w:type="pct"/>
            <w:tcBorders>
              <w:top w:val="single" w:sz="4" w:space="0" w:color="auto"/>
            </w:tcBorders>
            <w:shd w:val="clear" w:color="auto" w:fill="auto"/>
            <w:noWrap/>
            <w:vAlign w:val="bottom"/>
            <w:hideMark/>
          </w:tcPr>
          <w:p w:rsidR="00434BC1" w:rsidRPr="003E1E47" w:rsidRDefault="00434BC1" w:rsidP="001446A7">
            <w:pPr>
              <w:pStyle w:val="TableText"/>
              <w:jc w:val="right"/>
              <w:rPr>
                <w:lang w:eastAsia="en-AU"/>
              </w:rPr>
            </w:pPr>
            <w:r>
              <w:rPr>
                <w:lang w:eastAsia="en-AU"/>
              </w:rPr>
              <w:t>488.9</w:t>
            </w:r>
          </w:p>
        </w:tc>
      </w:tr>
      <w:tr w:rsidR="00434BC1" w:rsidRPr="003E1E47" w:rsidTr="001446A7">
        <w:trPr>
          <w:trHeight w:val="300"/>
        </w:trPr>
        <w:tc>
          <w:tcPr>
            <w:tcW w:w="2264" w:type="pct"/>
            <w:shd w:val="clear" w:color="auto" w:fill="auto"/>
            <w:noWrap/>
            <w:vAlign w:val="bottom"/>
            <w:hideMark/>
          </w:tcPr>
          <w:p w:rsidR="00434BC1" w:rsidRPr="003E1E47" w:rsidRDefault="00434BC1" w:rsidP="001446A7">
            <w:pPr>
              <w:pStyle w:val="TableText"/>
              <w:rPr>
                <w:lang w:eastAsia="en-AU"/>
              </w:rPr>
            </w:pPr>
            <w:r w:rsidRPr="003E1E47">
              <w:rPr>
                <w:lang w:eastAsia="en-AU"/>
              </w:rPr>
              <w:t>VIC Goulburn-Broken</w:t>
            </w:r>
          </w:p>
        </w:tc>
        <w:tc>
          <w:tcPr>
            <w:tcW w:w="1013" w:type="pct"/>
            <w:shd w:val="clear" w:color="auto" w:fill="auto"/>
            <w:noWrap/>
            <w:vAlign w:val="bottom"/>
            <w:hideMark/>
          </w:tcPr>
          <w:p w:rsidR="00434BC1" w:rsidRPr="003E1E47" w:rsidRDefault="00434BC1" w:rsidP="001446A7">
            <w:pPr>
              <w:pStyle w:val="TableText"/>
              <w:jc w:val="right"/>
              <w:rPr>
                <w:lang w:eastAsia="en-AU"/>
              </w:rPr>
            </w:pPr>
            <w:r>
              <w:rPr>
                <w:lang w:eastAsia="en-AU"/>
              </w:rPr>
              <w:t>288.5</w:t>
            </w:r>
          </w:p>
        </w:tc>
        <w:tc>
          <w:tcPr>
            <w:tcW w:w="862" w:type="pct"/>
            <w:shd w:val="clear" w:color="auto" w:fill="auto"/>
            <w:noWrap/>
            <w:vAlign w:val="bottom"/>
            <w:hideMark/>
          </w:tcPr>
          <w:p w:rsidR="00434BC1" w:rsidRPr="003E1E47" w:rsidRDefault="00434BC1" w:rsidP="001446A7">
            <w:pPr>
              <w:pStyle w:val="TableText"/>
              <w:jc w:val="right"/>
              <w:rPr>
                <w:lang w:eastAsia="en-AU"/>
              </w:rPr>
            </w:pPr>
            <w:r>
              <w:rPr>
                <w:lang w:eastAsia="en-AU"/>
              </w:rPr>
              <w:t>189.7</w:t>
            </w:r>
          </w:p>
        </w:tc>
        <w:tc>
          <w:tcPr>
            <w:tcW w:w="862" w:type="pct"/>
            <w:shd w:val="clear" w:color="auto" w:fill="auto"/>
            <w:noWrap/>
            <w:vAlign w:val="bottom"/>
            <w:hideMark/>
          </w:tcPr>
          <w:p w:rsidR="00434BC1" w:rsidRPr="003E1E47" w:rsidRDefault="00434BC1" w:rsidP="001446A7">
            <w:pPr>
              <w:pStyle w:val="TableText"/>
              <w:jc w:val="right"/>
              <w:rPr>
                <w:lang w:eastAsia="en-AU"/>
              </w:rPr>
            </w:pPr>
            <w:r>
              <w:rPr>
                <w:lang w:eastAsia="en-AU"/>
              </w:rPr>
              <w:t>472.5</w:t>
            </w:r>
          </w:p>
        </w:tc>
      </w:tr>
      <w:tr w:rsidR="00434BC1" w:rsidRPr="003E1E47" w:rsidTr="001446A7">
        <w:trPr>
          <w:trHeight w:val="300"/>
        </w:trPr>
        <w:tc>
          <w:tcPr>
            <w:tcW w:w="2264" w:type="pct"/>
            <w:shd w:val="clear" w:color="auto" w:fill="auto"/>
            <w:noWrap/>
            <w:vAlign w:val="bottom"/>
            <w:hideMark/>
          </w:tcPr>
          <w:p w:rsidR="00434BC1" w:rsidRPr="003E1E47" w:rsidRDefault="00434BC1" w:rsidP="001446A7">
            <w:pPr>
              <w:pStyle w:val="TableText"/>
              <w:rPr>
                <w:lang w:eastAsia="en-AU"/>
              </w:rPr>
            </w:pPr>
            <w:r w:rsidRPr="003E1E47">
              <w:rPr>
                <w:lang w:eastAsia="en-AU"/>
              </w:rPr>
              <w:t>NSW Murray Above</w:t>
            </w:r>
          </w:p>
        </w:tc>
        <w:tc>
          <w:tcPr>
            <w:tcW w:w="1013" w:type="pct"/>
            <w:shd w:val="clear" w:color="auto" w:fill="auto"/>
            <w:noWrap/>
            <w:vAlign w:val="bottom"/>
            <w:hideMark/>
          </w:tcPr>
          <w:p w:rsidR="00434BC1" w:rsidRPr="003E1E47" w:rsidRDefault="00434BC1" w:rsidP="001446A7">
            <w:pPr>
              <w:pStyle w:val="TableText"/>
              <w:jc w:val="right"/>
              <w:rPr>
                <w:lang w:eastAsia="en-AU"/>
              </w:rPr>
            </w:pPr>
            <w:r>
              <w:rPr>
                <w:lang w:eastAsia="en-AU"/>
              </w:rPr>
              <w:t>288.5</w:t>
            </w:r>
          </w:p>
        </w:tc>
        <w:tc>
          <w:tcPr>
            <w:tcW w:w="862" w:type="pct"/>
            <w:shd w:val="clear" w:color="auto" w:fill="auto"/>
            <w:noWrap/>
            <w:vAlign w:val="bottom"/>
            <w:hideMark/>
          </w:tcPr>
          <w:p w:rsidR="00434BC1" w:rsidRPr="003E1E47" w:rsidRDefault="00434BC1" w:rsidP="001446A7">
            <w:pPr>
              <w:pStyle w:val="TableText"/>
              <w:jc w:val="right"/>
              <w:rPr>
                <w:lang w:eastAsia="en-AU"/>
              </w:rPr>
            </w:pPr>
            <w:r>
              <w:rPr>
                <w:lang w:eastAsia="en-AU"/>
              </w:rPr>
              <w:t>189.7</w:t>
            </w:r>
          </w:p>
        </w:tc>
        <w:tc>
          <w:tcPr>
            <w:tcW w:w="862" w:type="pct"/>
            <w:shd w:val="clear" w:color="auto" w:fill="auto"/>
            <w:noWrap/>
            <w:vAlign w:val="bottom"/>
            <w:hideMark/>
          </w:tcPr>
          <w:p w:rsidR="00434BC1" w:rsidRPr="003E1E47" w:rsidRDefault="00434BC1" w:rsidP="001446A7">
            <w:pPr>
              <w:pStyle w:val="TableText"/>
              <w:jc w:val="right"/>
              <w:rPr>
                <w:lang w:eastAsia="en-AU"/>
              </w:rPr>
            </w:pPr>
            <w:r>
              <w:rPr>
                <w:lang w:eastAsia="en-AU"/>
              </w:rPr>
              <w:t>472.5</w:t>
            </w:r>
          </w:p>
        </w:tc>
      </w:tr>
      <w:tr w:rsidR="00434BC1" w:rsidRPr="003E1E47" w:rsidTr="001446A7">
        <w:trPr>
          <w:trHeight w:val="300"/>
        </w:trPr>
        <w:tc>
          <w:tcPr>
            <w:tcW w:w="2264" w:type="pct"/>
            <w:shd w:val="clear" w:color="auto" w:fill="auto"/>
            <w:noWrap/>
            <w:vAlign w:val="bottom"/>
            <w:hideMark/>
          </w:tcPr>
          <w:p w:rsidR="00434BC1" w:rsidRPr="003E1E47" w:rsidRDefault="00434BC1" w:rsidP="001446A7">
            <w:pPr>
              <w:pStyle w:val="TableText"/>
              <w:rPr>
                <w:lang w:eastAsia="en-AU"/>
              </w:rPr>
            </w:pPr>
            <w:r w:rsidRPr="003E1E47">
              <w:rPr>
                <w:lang w:eastAsia="en-AU"/>
              </w:rPr>
              <w:t>VIC Murray Below</w:t>
            </w:r>
          </w:p>
        </w:tc>
        <w:tc>
          <w:tcPr>
            <w:tcW w:w="1013" w:type="pct"/>
            <w:shd w:val="clear" w:color="auto" w:fill="auto"/>
            <w:noWrap/>
            <w:vAlign w:val="bottom"/>
            <w:hideMark/>
          </w:tcPr>
          <w:p w:rsidR="00434BC1" w:rsidRPr="003E1E47" w:rsidRDefault="00434BC1" w:rsidP="001446A7">
            <w:pPr>
              <w:pStyle w:val="TableText"/>
              <w:jc w:val="right"/>
              <w:rPr>
                <w:lang w:eastAsia="en-AU"/>
              </w:rPr>
            </w:pPr>
            <w:r>
              <w:rPr>
                <w:lang w:eastAsia="en-AU"/>
              </w:rPr>
              <w:t>288.5</w:t>
            </w:r>
          </w:p>
        </w:tc>
        <w:tc>
          <w:tcPr>
            <w:tcW w:w="862" w:type="pct"/>
            <w:shd w:val="clear" w:color="auto" w:fill="auto"/>
            <w:noWrap/>
            <w:vAlign w:val="bottom"/>
            <w:hideMark/>
          </w:tcPr>
          <w:p w:rsidR="00434BC1" w:rsidRPr="003E1E47" w:rsidRDefault="00434BC1" w:rsidP="001446A7">
            <w:pPr>
              <w:pStyle w:val="TableText"/>
              <w:jc w:val="right"/>
              <w:rPr>
                <w:lang w:eastAsia="en-AU"/>
              </w:rPr>
            </w:pPr>
            <w:r>
              <w:rPr>
                <w:lang w:eastAsia="en-AU"/>
              </w:rPr>
              <w:t>189.7</w:t>
            </w:r>
          </w:p>
        </w:tc>
        <w:tc>
          <w:tcPr>
            <w:tcW w:w="862" w:type="pct"/>
            <w:shd w:val="clear" w:color="auto" w:fill="auto"/>
            <w:noWrap/>
            <w:vAlign w:val="bottom"/>
            <w:hideMark/>
          </w:tcPr>
          <w:p w:rsidR="00434BC1" w:rsidRPr="003E1E47" w:rsidRDefault="00434BC1" w:rsidP="001446A7">
            <w:pPr>
              <w:pStyle w:val="TableText"/>
              <w:jc w:val="right"/>
              <w:rPr>
                <w:lang w:eastAsia="en-AU"/>
              </w:rPr>
            </w:pPr>
            <w:r>
              <w:rPr>
                <w:lang w:eastAsia="en-AU"/>
              </w:rPr>
              <w:t>472.5</w:t>
            </w:r>
          </w:p>
        </w:tc>
      </w:tr>
      <w:tr w:rsidR="00666B0A" w:rsidRPr="003E1E47" w:rsidTr="001446A7">
        <w:trPr>
          <w:trHeight w:val="300"/>
        </w:trPr>
        <w:tc>
          <w:tcPr>
            <w:tcW w:w="2264" w:type="pct"/>
            <w:shd w:val="clear" w:color="auto" w:fill="auto"/>
            <w:noWrap/>
            <w:vAlign w:val="bottom"/>
          </w:tcPr>
          <w:p w:rsidR="00666B0A" w:rsidRPr="003E1E47" w:rsidRDefault="00666B0A" w:rsidP="001446A7">
            <w:pPr>
              <w:pStyle w:val="TableText"/>
              <w:rPr>
                <w:lang w:eastAsia="en-AU"/>
              </w:rPr>
            </w:pPr>
            <w:r>
              <w:rPr>
                <w:lang w:eastAsia="en-AU"/>
              </w:rPr>
              <w:t>NSW Lower Darling</w:t>
            </w:r>
          </w:p>
        </w:tc>
        <w:tc>
          <w:tcPr>
            <w:tcW w:w="1013" w:type="pct"/>
            <w:shd w:val="clear" w:color="auto" w:fill="auto"/>
            <w:noWrap/>
            <w:vAlign w:val="bottom"/>
          </w:tcPr>
          <w:p w:rsidR="00666B0A" w:rsidRDefault="003468CD" w:rsidP="001446A7">
            <w:pPr>
              <w:pStyle w:val="TableText"/>
              <w:jc w:val="right"/>
              <w:rPr>
                <w:lang w:eastAsia="en-AU"/>
              </w:rPr>
            </w:pPr>
            <w:r>
              <w:rPr>
                <w:lang w:eastAsia="en-AU"/>
              </w:rPr>
              <w:t>288.5</w:t>
            </w:r>
          </w:p>
        </w:tc>
        <w:tc>
          <w:tcPr>
            <w:tcW w:w="862" w:type="pct"/>
            <w:shd w:val="clear" w:color="auto" w:fill="auto"/>
            <w:noWrap/>
            <w:vAlign w:val="bottom"/>
          </w:tcPr>
          <w:p w:rsidR="00666B0A" w:rsidRDefault="003468CD" w:rsidP="001446A7">
            <w:pPr>
              <w:pStyle w:val="TableText"/>
              <w:jc w:val="right"/>
              <w:rPr>
                <w:lang w:eastAsia="en-AU"/>
              </w:rPr>
            </w:pPr>
            <w:r>
              <w:rPr>
                <w:lang w:eastAsia="en-AU"/>
              </w:rPr>
              <w:t>189.7</w:t>
            </w:r>
          </w:p>
        </w:tc>
        <w:tc>
          <w:tcPr>
            <w:tcW w:w="862" w:type="pct"/>
            <w:shd w:val="clear" w:color="auto" w:fill="auto"/>
            <w:noWrap/>
            <w:vAlign w:val="bottom"/>
          </w:tcPr>
          <w:p w:rsidR="00666B0A" w:rsidRDefault="003468CD" w:rsidP="001446A7">
            <w:pPr>
              <w:pStyle w:val="TableText"/>
              <w:jc w:val="right"/>
              <w:rPr>
                <w:lang w:eastAsia="en-AU"/>
              </w:rPr>
            </w:pPr>
            <w:r>
              <w:rPr>
                <w:lang w:eastAsia="en-AU"/>
              </w:rPr>
              <w:t>88.0</w:t>
            </w:r>
          </w:p>
        </w:tc>
      </w:tr>
    </w:tbl>
    <w:p w:rsidR="00434BC1" w:rsidRPr="002930D6" w:rsidRDefault="00434BC1" w:rsidP="00434BC1">
      <w:pPr>
        <w:pStyle w:val="Normalsmall"/>
        <w:rPr>
          <w:lang w:eastAsia="ja-JP"/>
        </w:rPr>
      </w:pPr>
      <w:r w:rsidRPr="00DF4714">
        <w:rPr>
          <w:b/>
          <w:lang w:eastAsia="ja-JP"/>
        </w:rPr>
        <w:t xml:space="preserve">Source: </w:t>
      </w:r>
      <w:r>
        <w:rPr>
          <w:lang w:eastAsia="ja-JP"/>
        </w:rPr>
        <w:t>ABARES estimate</w:t>
      </w:r>
      <w:r w:rsidRPr="002930D6">
        <w:rPr>
          <w:lang w:eastAsia="ja-JP"/>
        </w:rPr>
        <w:t xml:space="preserve"> </w:t>
      </w:r>
    </w:p>
    <w:p w:rsidR="00DE1E00" w:rsidRDefault="004D17E6" w:rsidP="001340AE">
      <w:pPr>
        <w:rPr>
          <w:lang w:eastAsia="ja-JP"/>
        </w:rPr>
      </w:pPr>
      <w:r>
        <w:rPr>
          <w:lang w:eastAsia="ja-JP"/>
        </w:rPr>
        <w:t xml:space="preserve">It is important to note that the Water Trade Model estimates the </w:t>
      </w:r>
      <w:r w:rsidR="00B90FC9">
        <w:rPr>
          <w:lang w:eastAsia="ja-JP"/>
        </w:rPr>
        <w:t>average annual price. In practic</w:t>
      </w:r>
      <w:r>
        <w:rPr>
          <w:lang w:eastAsia="ja-JP"/>
        </w:rPr>
        <w:t xml:space="preserve">e, prices are likely to fluctuate throughout the year, around the modelled annual average </w:t>
      </w:r>
      <w:r>
        <w:rPr>
          <w:lang w:eastAsia="ja-JP"/>
        </w:rPr>
        <w:lastRenderedPageBreak/>
        <w:t xml:space="preserve">price. </w:t>
      </w:r>
      <w:r>
        <w:rPr>
          <w:highlight w:val="yellow"/>
          <w:lang w:eastAsia="ja-JP"/>
        </w:rPr>
        <w:fldChar w:fldCharType="begin"/>
      </w:r>
      <w:r>
        <w:rPr>
          <w:lang w:eastAsia="ja-JP"/>
        </w:rPr>
        <w:instrText xml:space="preserve"> REF _Ref1984499 \h </w:instrText>
      </w:r>
      <w:r>
        <w:rPr>
          <w:highlight w:val="yellow"/>
          <w:lang w:eastAsia="ja-JP"/>
        </w:rPr>
      </w:r>
      <w:r>
        <w:rPr>
          <w:highlight w:val="yellow"/>
          <w:lang w:eastAsia="ja-JP"/>
        </w:rPr>
        <w:fldChar w:fldCharType="separate"/>
      </w:r>
      <w:r w:rsidR="002D7E7D">
        <w:t xml:space="preserve">Figure </w:t>
      </w:r>
      <w:r w:rsidR="002D7E7D">
        <w:rPr>
          <w:noProof/>
        </w:rPr>
        <w:t>5</w:t>
      </w:r>
      <w:r>
        <w:rPr>
          <w:highlight w:val="yellow"/>
          <w:lang w:eastAsia="ja-JP"/>
        </w:rPr>
        <w:fldChar w:fldCharType="end"/>
      </w:r>
      <w:r>
        <w:rPr>
          <w:lang w:eastAsia="ja-JP"/>
        </w:rPr>
        <w:t xml:space="preserve"> presents the modelled average annual water allocation price and the historical weekly price for the NSW Murray catchment.</w:t>
      </w:r>
    </w:p>
    <w:p w:rsidR="00434BC1" w:rsidRDefault="00434BC1" w:rsidP="00434BC1">
      <w:pPr>
        <w:pStyle w:val="Caption"/>
        <w:rPr>
          <w:lang w:eastAsia="ja-JP"/>
        </w:rPr>
      </w:pPr>
      <w:bookmarkStart w:id="16" w:name="_Ref1984499"/>
      <w:bookmarkStart w:id="17" w:name="_Toc2246926"/>
      <w:r>
        <w:t xml:space="preserve">Figure </w:t>
      </w:r>
      <w:r>
        <w:rPr>
          <w:noProof/>
        </w:rPr>
        <w:fldChar w:fldCharType="begin"/>
      </w:r>
      <w:r>
        <w:rPr>
          <w:noProof/>
        </w:rPr>
        <w:instrText xml:space="preserve"> SEQ Figure \* ARABIC </w:instrText>
      </w:r>
      <w:r>
        <w:rPr>
          <w:noProof/>
        </w:rPr>
        <w:fldChar w:fldCharType="separate"/>
      </w:r>
      <w:r w:rsidR="002D7E7D">
        <w:rPr>
          <w:noProof/>
        </w:rPr>
        <w:t>5</w:t>
      </w:r>
      <w:r>
        <w:rPr>
          <w:noProof/>
        </w:rPr>
        <w:fldChar w:fldCharType="end"/>
      </w:r>
      <w:bookmarkEnd w:id="16"/>
      <w:r>
        <w:t xml:space="preserve"> Allocation price scenarios, in the NSW Murray</w:t>
      </w:r>
      <w:bookmarkEnd w:id="17"/>
    </w:p>
    <w:p w:rsidR="00434BC1" w:rsidRDefault="00B36CF2" w:rsidP="00434BC1">
      <w:pPr>
        <w:pStyle w:val="Normalsmall"/>
        <w:rPr>
          <w:lang w:eastAsia="ja-JP"/>
        </w:rPr>
      </w:pPr>
      <w:r w:rsidRPr="00B36CF2">
        <w:rPr>
          <w:noProof/>
          <w:lang w:eastAsia="en-AU"/>
        </w:rPr>
        <w:drawing>
          <wp:inline distT="0" distB="0" distL="0" distR="0">
            <wp:extent cx="5757629" cy="34154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160" b="2810"/>
                    <a:stretch/>
                  </pic:blipFill>
                  <pic:spPr bwMode="auto">
                    <a:xfrm>
                      <a:off x="0" y="0"/>
                      <a:ext cx="5759450" cy="3416577"/>
                    </a:xfrm>
                    <a:prstGeom prst="rect">
                      <a:avLst/>
                    </a:prstGeom>
                    <a:noFill/>
                    <a:ln>
                      <a:noFill/>
                    </a:ln>
                    <a:extLst>
                      <a:ext uri="{53640926-AAD7-44D8-BBD7-CCE9431645EC}">
                        <a14:shadowObscured xmlns:a14="http://schemas.microsoft.com/office/drawing/2010/main"/>
                      </a:ext>
                    </a:extLst>
                  </pic:spPr>
                </pic:pic>
              </a:graphicData>
            </a:graphic>
          </wp:inline>
        </w:drawing>
      </w:r>
      <w:r w:rsidR="00434BC1" w:rsidRPr="00DF4714">
        <w:rPr>
          <w:b/>
          <w:lang w:eastAsia="ja-JP"/>
        </w:rPr>
        <w:t>Source:</w:t>
      </w:r>
      <w:r w:rsidR="00434BC1" w:rsidRPr="002930D6">
        <w:rPr>
          <w:lang w:eastAsia="ja-JP"/>
        </w:rPr>
        <w:t xml:space="preserve"> </w:t>
      </w:r>
      <w:r w:rsidR="00434BC1">
        <w:rPr>
          <w:lang w:eastAsia="ja-JP"/>
        </w:rPr>
        <w:t xml:space="preserve">BOM, </w:t>
      </w:r>
      <w:r w:rsidR="00434BC1" w:rsidRPr="002930D6">
        <w:rPr>
          <w:lang w:eastAsia="ja-JP"/>
        </w:rPr>
        <w:t xml:space="preserve">ABARES </w:t>
      </w:r>
    </w:p>
    <w:p w:rsidR="004D17E6" w:rsidRDefault="004D17E6" w:rsidP="004D17E6">
      <w:pPr>
        <w:pStyle w:val="Heading5"/>
        <w:rPr>
          <w:lang w:eastAsia="ja-JP"/>
        </w:rPr>
      </w:pPr>
      <w:r>
        <w:rPr>
          <w:lang w:eastAsia="ja-JP"/>
        </w:rPr>
        <w:t xml:space="preserve">Prices under </w:t>
      </w:r>
      <w:r w:rsidR="00CF4380">
        <w:rPr>
          <w:lang w:eastAsia="ja-JP"/>
        </w:rPr>
        <w:t>the</w:t>
      </w:r>
      <w:r>
        <w:rPr>
          <w:lang w:eastAsia="ja-JP"/>
        </w:rPr>
        <w:t xml:space="preserve"> dry </w:t>
      </w:r>
      <w:r w:rsidR="00434BC1">
        <w:rPr>
          <w:lang w:eastAsia="ja-JP"/>
        </w:rPr>
        <w:t xml:space="preserve">seasonal conditions </w:t>
      </w:r>
      <w:r>
        <w:rPr>
          <w:lang w:eastAsia="ja-JP"/>
        </w:rPr>
        <w:t>scenario</w:t>
      </w:r>
    </w:p>
    <w:p w:rsidR="00434BC1" w:rsidRDefault="00972196" w:rsidP="001340AE">
      <w:pPr>
        <w:rPr>
          <w:lang w:eastAsia="ja-JP"/>
        </w:rPr>
      </w:pPr>
      <w:r>
        <w:rPr>
          <w:lang w:eastAsia="ja-JP"/>
        </w:rPr>
        <w:t>In</w:t>
      </w:r>
      <w:r w:rsidR="001340AE">
        <w:rPr>
          <w:lang w:eastAsia="ja-JP"/>
        </w:rPr>
        <w:t xml:space="preserve"> the </w:t>
      </w:r>
      <w:r w:rsidR="00AC5513" w:rsidRPr="00AC5513">
        <w:rPr>
          <w:i/>
          <w:lang w:eastAsia="ja-JP"/>
        </w:rPr>
        <w:t>dry</w:t>
      </w:r>
      <w:r w:rsidR="001340AE">
        <w:rPr>
          <w:lang w:eastAsia="ja-JP"/>
        </w:rPr>
        <w:t xml:space="preserve"> scenario</w:t>
      </w:r>
      <w:r w:rsidR="004D17E6">
        <w:rPr>
          <w:lang w:eastAsia="ja-JP"/>
        </w:rPr>
        <w:t>,</w:t>
      </w:r>
      <w:r w:rsidR="001340AE">
        <w:rPr>
          <w:lang w:eastAsia="ja-JP"/>
        </w:rPr>
        <w:t xml:space="preserve"> modelled </w:t>
      </w:r>
      <w:r w:rsidR="00F17467">
        <w:rPr>
          <w:lang w:eastAsia="ja-JP"/>
        </w:rPr>
        <w:t>2019–20</w:t>
      </w:r>
      <w:r w:rsidR="001340AE">
        <w:rPr>
          <w:lang w:eastAsia="ja-JP"/>
        </w:rPr>
        <w:t xml:space="preserve"> prices show a relatively modest increase relative to </w:t>
      </w:r>
      <w:r w:rsidR="006E3B29">
        <w:rPr>
          <w:lang w:eastAsia="ja-JP"/>
        </w:rPr>
        <w:t>2018–19</w:t>
      </w:r>
      <w:r w:rsidR="001340AE">
        <w:rPr>
          <w:lang w:eastAsia="ja-JP"/>
        </w:rPr>
        <w:t xml:space="preserve"> (</w:t>
      </w:r>
      <w:r w:rsidR="00DF4714">
        <w:rPr>
          <w:lang w:eastAsia="ja-JP"/>
        </w:rPr>
        <w:t>$</w:t>
      </w:r>
      <w:r w:rsidR="00F17467">
        <w:rPr>
          <w:lang w:eastAsia="ja-JP"/>
        </w:rPr>
        <w:t>473</w:t>
      </w:r>
      <w:r w:rsidR="00DF4714">
        <w:rPr>
          <w:lang w:eastAsia="ja-JP"/>
        </w:rPr>
        <w:t xml:space="preserve"> per </w:t>
      </w:r>
      <w:r w:rsidR="001340AE">
        <w:rPr>
          <w:lang w:eastAsia="ja-JP"/>
        </w:rPr>
        <w:t xml:space="preserve">ML </w:t>
      </w:r>
      <w:r w:rsidR="004D17E6">
        <w:rPr>
          <w:lang w:eastAsia="ja-JP"/>
        </w:rPr>
        <w:t>in 2019–20 compared to</w:t>
      </w:r>
      <w:r w:rsidR="001340AE">
        <w:rPr>
          <w:lang w:eastAsia="ja-JP"/>
        </w:rPr>
        <w:t xml:space="preserve"> </w:t>
      </w:r>
      <w:r w:rsidR="00DF4714">
        <w:rPr>
          <w:lang w:eastAsia="ja-JP"/>
        </w:rPr>
        <w:t>$</w:t>
      </w:r>
      <w:r w:rsidR="00F17467">
        <w:rPr>
          <w:lang w:eastAsia="ja-JP"/>
        </w:rPr>
        <w:t>386</w:t>
      </w:r>
      <w:r w:rsidR="00DF4714">
        <w:rPr>
          <w:lang w:eastAsia="ja-JP"/>
        </w:rPr>
        <w:t xml:space="preserve"> per </w:t>
      </w:r>
      <w:r w:rsidR="001340AE">
        <w:rPr>
          <w:lang w:eastAsia="ja-JP"/>
        </w:rPr>
        <w:t xml:space="preserve">ML in </w:t>
      </w:r>
      <w:r w:rsidR="006E3B29">
        <w:rPr>
          <w:lang w:eastAsia="ja-JP"/>
        </w:rPr>
        <w:t>2018–19</w:t>
      </w:r>
      <w:r w:rsidR="004D17E6">
        <w:rPr>
          <w:lang w:eastAsia="ja-JP"/>
        </w:rPr>
        <w:t xml:space="preserve"> in NSW Murray</w:t>
      </w:r>
      <w:r w:rsidR="001340AE">
        <w:rPr>
          <w:lang w:eastAsia="ja-JP"/>
        </w:rPr>
        <w:t>)</w:t>
      </w:r>
      <w:r w:rsidR="00434BC1">
        <w:rPr>
          <w:lang w:eastAsia="ja-JP"/>
        </w:rPr>
        <w:t>, and are unlikely to reach the peaks observed during the Millennium drought</w:t>
      </w:r>
      <w:r w:rsidR="001340AE">
        <w:rPr>
          <w:lang w:eastAsia="ja-JP"/>
        </w:rPr>
        <w:t>.</w:t>
      </w:r>
      <w:r w:rsidR="00252C77">
        <w:rPr>
          <w:lang w:eastAsia="ja-JP"/>
        </w:rPr>
        <w:t xml:space="preserve"> </w:t>
      </w:r>
    </w:p>
    <w:p w:rsidR="001340AE" w:rsidRDefault="00434BC1" w:rsidP="001340AE">
      <w:pPr>
        <w:rPr>
          <w:lang w:eastAsia="ja-JP"/>
        </w:rPr>
      </w:pPr>
      <w:r>
        <w:rPr>
          <w:lang w:eastAsia="ja-JP"/>
        </w:rPr>
        <w:t>T</w:t>
      </w:r>
      <w:r w:rsidR="00B90FC9">
        <w:rPr>
          <w:lang w:eastAsia="ja-JP"/>
        </w:rPr>
        <w:t>here are a few reasons for this. First</w:t>
      </w:r>
      <w:r>
        <w:rPr>
          <w:lang w:eastAsia="ja-JP"/>
        </w:rPr>
        <w:t xml:space="preserve">, while water availability </w:t>
      </w:r>
      <w:r w:rsidR="001340AE">
        <w:rPr>
          <w:lang w:eastAsia="ja-JP"/>
        </w:rPr>
        <w:t xml:space="preserve">declines </w:t>
      </w:r>
      <w:r>
        <w:rPr>
          <w:lang w:eastAsia="ja-JP"/>
        </w:rPr>
        <w:t xml:space="preserve">in the southern basin </w:t>
      </w:r>
      <w:r w:rsidR="001340AE">
        <w:rPr>
          <w:lang w:eastAsia="ja-JP"/>
        </w:rPr>
        <w:t xml:space="preserve">under the </w:t>
      </w:r>
      <w:r w:rsidR="00AC5513" w:rsidRPr="00AC5513">
        <w:rPr>
          <w:i/>
          <w:lang w:eastAsia="ja-JP"/>
        </w:rPr>
        <w:t>dry</w:t>
      </w:r>
      <w:r w:rsidR="001340AE">
        <w:rPr>
          <w:lang w:eastAsia="ja-JP"/>
        </w:rPr>
        <w:t xml:space="preserve"> scenario</w:t>
      </w:r>
      <w:r>
        <w:rPr>
          <w:lang w:eastAsia="ja-JP"/>
        </w:rPr>
        <w:t>,</w:t>
      </w:r>
      <w:r w:rsidR="001340AE">
        <w:rPr>
          <w:lang w:eastAsia="ja-JP"/>
        </w:rPr>
        <w:t xml:space="preserve"> it still remains above levels observed during the </w:t>
      </w:r>
      <w:r>
        <w:rPr>
          <w:lang w:eastAsia="ja-JP"/>
        </w:rPr>
        <w:t xml:space="preserve">worst of the </w:t>
      </w:r>
      <w:r w:rsidR="001340AE">
        <w:rPr>
          <w:lang w:eastAsia="ja-JP"/>
        </w:rPr>
        <w:t>Millennium drought (2006</w:t>
      </w:r>
      <w:r w:rsidR="00AC5513">
        <w:rPr>
          <w:lang w:eastAsia="ja-JP"/>
        </w:rPr>
        <w:t>–</w:t>
      </w:r>
      <w:r w:rsidR="001340AE">
        <w:rPr>
          <w:lang w:eastAsia="ja-JP"/>
        </w:rPr>
        <w:t>07 to 2008</w:t>
      </w:r>
      <w:r w:rsidR="00AC5513">
        <w:rPr>
          <w:lang w:eastAsia="ja-JP"/>
        </w:rPr>
        <w:t>–</w:t>
      </w:r>
      <w:r w:rsidR="00B90FC9">
        <w:rPr>
          <w:lang w:eastAsia="ja-JP"/>
        </w:rPr>
        <w:t>09). Second</w:t>
      </w:r>
      <w:r>
        <w:rPr>
          <w:lang w:eastAsia="ja-JP"/>
        </w:rPr>
        <w:t xml:space="preserve">, while </w:t>
      </w:r>
      <w:r w:rsidR="001340AE">
        <w:rPr>
          <w:lang w:eastAsia="ja-JP"/>
        </w:rPr>
        <w:t xml:space="preserve">the </w:t>
      </w:r>
      <w:r w:rsidR="00AC5513" w:rsidRPr="00AC5513">
        <w:rPr>
          <w:i/>
          <w:lang w:eastAsia="ja-JP"/>
        </w:rPr>
        <w:t>dry</w:t>
      </w:r>
      <w:r w:rsidR="001340AE">
        <w:rPr>
          <w:lang w:eastAsia="ja-JP"/>
        </w:rPr>
        <w:t xml:space="preserve"> scenario involves similar allocations to those in </w:t>
      </w:r>
      <w:r w:rsidR="006E3B29">
        <w:rPr>
          <w:lang w:eastAsia="ja-JP"/>
        </w:rPr>
        <w:t>2018–19</w:t>
      </w:r>
      <w:r>
        <w:rPr>
          <w:lang w:eastAsia="ja-JP"/>
        </w:rPr>
        <w:t xml:space="preserve"> for NSW, </w:t>
      </w:r>
      <w:r w:rsidR="001340AE">
        <w:rPr>
          <w:lang w:eastAsia="ja-JP"/>
        </w:rPr>
        <w:t xml:space="preserve">storage reserves </w:t>
      </w:r>
      <w:r w:rsidR="00B90FC9">
        <w:rPr>
          <w:lang w:eastAsia="ja-JP"/>
        </w:rPr>
        <w:t xml:space="preserve">in Victoria </w:t>
      </w:r>
      <w:r w:rsidR="001340AE">
        <w:rPr>
          <w:lang w:eastAsia="ja-JP"/>
        </w:rPr>
        <w:t xml:space="preserve">help to </w:t>
      </w:r>
      <w:r>
        <w:rPr>
          <w:lang w:eastAsia="ja-JP"/>
        </w:rPr>
        <w:t>limit allocation decreases in this scenario</w:t>
      </w:r>
      <w:r w:rsidR="001340AE">
        <w:rPr>
          <w:lang w:eastAsia="ja-JP"/>
        </w:rPr>
        <w:t xml:space="preserve">. </w:t>
      </w:r>
      <w:r w:rsidR="00B90FC9">
        <w:rPr>
          <w:lang w:eastAsia="ja-JP"/>
        </w:rPr>
        <w:t>Third</w:t>
      </w:r>
      <w:r w:rsidR="001340AE">
        <w:rPr>
          <w:lang w:eastAsia="ja-JP"/>
        </w:rPr>
        <w:t xml:space="preserve">, significant volumes of irrigator carryover into </w:t>
      </w:r>
      <w:r w:rsidR="00F17467">
        <w:rPr>
          <w:lang w:eastAsia="ja-JP"/>
        </w:rPr>
        <w:t>2019–20</w:t>
      </w:r>
      <w:r w:rsidR="001340AE">
        <w:rPr>
          <w:lang w:eastAsia="ja-JP"/>
        </w:rPr>
        <w:t xml:space="preserve"> are likely (albeit less than was available in </w:t>
      </w:r>
      <w:r w:rsidR="006E3B29">
        <w:rPr>
          <w:lang w:eastAsia="ja-JP"/>
        </w:rPr>
        <w:t>2018–19</w:t>
      </w:r>
      <w:r w:rsidR="00B13971">
        <w:rPr>
          <w:lang w:eastAsia="ja-JP"/>
        </w:rPr>
        <w:t xml:space="preserve">) </w:t>
      </w:r>
      <w:r w:rsidR="00A3139B">
        <w:rPr>
          <w:lang w:eastAsia="ja-JP"/>
        </w:rPr>
        <w:t>(</w:t>
      </w:r>
      <w:r w:rsidR="00A3139B">
        <w:rPr>
          <w:lang w:eastAsia="ja-JP"/>
        </w:rPr>
        <w:fldChar w:fldCharType="begin"/>
      </w:r>
      <w:r w:rsidR="00A3139B">
        <w:rPr>
          <w:lang w:eastAsia="ja-JP"/>
        </w:rPr>
        <w:instrText xml:space="preserve"> REF _Ref2006945 \h </w:instrText>
      </w:r>
      <w:r w:rsidR="00A3139B">
        <w:rPr>
          <w:lang w:eastAsia="ja-JP"/>
        </w:rPr>
      </w:r>
      <w:r w:rsidR="00A3139B">
        <w:rPr>
          <w:lang w:eastAsia="ja-JP"/>
        </w:rPr>
        <w:fldChar w:fldCharType="separate"/>
      </w:r>
      <w:r w:rsidR="002D7E7D">
        <w:t xml:space="preserve">Table </w:t>
      </w:r>
      <w:r w:rsidR="002D7E7D">
        <w:rPr>
          <w:noProof/>
        </w:rPr>
        <w:t>2</w:t>
      </w:r>
      <w:r w:rsidR="00A3139B">
        <w:rPr>
          <w:lang w:eastAsia="ja-JP"/>
        </w:rPr>
        <w:fldChar w:fldCharType="end"/>
      </w:r>
      <w:r w:rsidR="001340AE">
        <w:rPr>
          <w:lang w:eastAsia="ja-JP"/>
        </w:rPr>
        <w:t>).</w:t>
      </w:r>
    </w:p>
    <w:p w:rsidR="00CC60E1" w:rsidRDefault="002930D6" w:rsidP="002930D6">
      <w:pPr>
        <w:pStyle w:val="Caption"/>
      </w:pPr>
      <w:bookmarkStart w:id="18" w:name="_Ref2006945"/>
      <w:bookmarkStart w:id="19" w:name="_Toc2246936"/>
      <w:r>
        <w:t xml:space="preserve">Table </w:t>
      </w:r>
      <w:r w:rsidR="00BE51CD">
        <w:rPr>
          <w:noProof/>
        </w:rPr>
        <w:fldChar w:fldCharType="begin"/>
      </w:r>
      <w:r w:rsidR="00BE51CD">
        <w:rPr>
          <w:noProof/>
        </w:rPr>
        <w:instrText xml:space="preserve"> SEQ Table \* ARABIC </w:instrText>
      </w:r>
      <w:r w:rsidR="00BE51CD">
        <w:rPr>
          <w:noProof/>
        </w:rPr>
        <w:fldChar w:fldCharType="separate"/>
      </w:r>
      <w:r w:rsidR="002D7E7D">
        <w:rPr>
          <w:noProof/>
        </w:rPr>
        <w:t>2</w:t>
      </w:r>
      <w:r w:rsidR="00BE51CD">
        <w:rPr>
          <w:noProof/>
        </w:rPr>
        <w:fldChar w:fldCharType="end"/>
      </w:r>
      <w:bookmarkEnd w:id="18"/>
      <w:r w:rsidR="00CC60E1">
        <w:t>: Water carry</w:t>
      </w:r>
      <w:r>
        <w:t xml:space="preserve">over outlook for </w:t>
      </w:r>
      <w:r w:rsidR="00AC5513">
        <w:t>2019–20</w:t>
      </w:r>
      <w:bookmarkEnd w:id="19"/>
    </w:p>
    <w:tbl>
      <w:tblPr>
        <w:tblW w:w="5000" w:type="pct"/>
        <w:tblLook w:val="04A0" w:firstRow="1" w:lastRow="0" w:firstColumn="1" w:lastColumn="0" w:noHBand="0" w:noVBand="1"/>
      </w:tblPr>
      <w:tblGrid>
        <w:gridCol w:w="1874"/>
        <w:gridCol w:w="652"/>
        <w:gridCol w:w="1442"/>
        <w:gridCol w:w="1419"/>
        <w:gridCol w:w="1417"/>
        <w:gridCol w:w="1085"/>
        <w:gridCol w:w="1181"/>
      </w:tblGrid>
      <w:tr w:rsidR="00CC60E1" w:rsidRPr="00CC60E1" w:rsidTr="00CC60E1">
        <w:trPr>
          <w:trHeight w:val="300"/>
        </w:trPr>
        <w:tc>
          <w:tcPr>
            <w:tcW w:w="1033" w:type="pct"/>
            <w:tcBorders>
              <w:top w:val="single" w:sz="4" w:space="0" w:color="auto"/>
              <w:left w:val="nil"/>
              <w:bottom w:val="nil"/>
              <w:right w:val="nil"/>
            </w:tcBorders>
            <w:shd w:val="clear" w:color="auto" w:fill="auto"/>
            <w:noWrap/>
            <w:vAlign w:val="center"/>
            <w:hideMark/>
          </w:tcPr>
          <w:p w:rsidR="00CC60E1" w:rsidRPr="00CC60E1" w:rsidRDefault="00CC60E1" w:rsidP="00CC60E1">
            <w:pPr>
              <w:spacing w:after="0" w:line="240" w:lineRule="auto"/>
              <w:jc w:val="right"/>
              <w:rPr>
                <w:rFonts w:eastAsia="Times New Roman" w:cs="Times New Roman"/>
                <w:b/>
                <w:bCs/>
                <w:color w:val="000000"/>
                <w:sz w:val="18"/>
                <w:szCs w:val="18"/>
                <w:lang w:eastAsia="en-AU"/>
              </w:rPr>
            </w:pPr>
            <w:r w:rsidRPr="00CC60E1">
              <w:rPr>
                <w:rFonts w:eastAsia="Times New Roman" w:cs="Times New Roman"/>
                <w:b/>
                <w:bCs/>
                <w:color w:val="000000"/>
                <w:sz w:val="18"/>
                <w:szCs w:val="18"/>
                <w:lang w:eastAsia="en-AU"/>
              </w:rPr>
              <w:t> </w:t>
            </w:r>
          </w:p>
        </w:tc>
        <w:tc>
          <w:tcPr>
            <w:tcW w:w="359" w:type="pct"/>
            <w:tcBorders>
              <w:top w:val="single" w:sz="4" w:space="0" w:color="auto"/>
              <w:left w:val="nil"/>
              <w:bottom w:val="nil"/>
              <w:right w:val="nil"/>
            </w:tcBorders>
            <w:shd w:val="clear" w:color="auto" w:fill="auto"/>
            <w:vAlign w:val="center"/>
            <w:hideMark/>
          </w:tcPr>
          <w:p w:rsidR="00CC60E1" w:rsidRPr="00CC60E1" w:rsidRDefault="00CC60E1" w:rsidP="00CC60E1">
            <w:pPr>
              <w:spacing w:after="0" w:line="240" w:lineRule="auto"/>
              <w:rPr>
                <w:rFonts w:eastAsia="Times New Roman" w:cs="Times New Roman"/>
                <w:b/>
                <w:bCs/>
                <w:color w:val="000000"/>
                <w:sz w:val="18"/>
                <w:szCs w:val="18"/>
                <w:lang w:eastAsia="en-AU"/>
              </w:rPr>
            </w:pPr>
            <w:r w:rsidRPr="00CC60E1">
              <w:rPr>
                <w:rFonts w:eastAsia="Times New Roman" w:cs="Times New Roman"/>
                <w:b/>
                <w:bCs/>
                <w:color w:val="000000"/>
                <w:sz w:val="18"/>
                <w:szCs w:val="18"/>
                <w:lang w:eastAsia="en-AU"/>
              </w:rPr>
              <w:t> </w:t>
            </w:r>
          </w:p>
        </w:tc>
        <w:tc>
          <w:tcPr>
            <w:tcW w:w="795" w:type="pct"/>
            <w:tcBorders>
              <w:top w:val="single" w:sz="4" w:space="0" w:color="auto"/>
              <w:left w:val="nil"/>
              <w:bottom w:val="nil"/>
              <w:right w:val="nil"/>
            </w:tcBorders>
            <w:shd w:val="clear" w:color="auto" w:fill="auto"/>
            <w:vAlign w:val="center"/>
            <w:hideMark/>
          </w:tcPr>
          <w:p w:rsidR="00CC60E1" w:rsidRPr="00CC60E1" w:rsidRDefault="00CC60E1" w:rsidP="00CC60E1">
            <w:pPr>
              <w:spacing w:after="0" w:line="240" w:lineRule="auto"/>
              <w:jc w:val="right"/>
              <w:rPr>
                <w:rFonts w:eastAsia="Times New Roman" w:cs="Times New Roman"/>
                <w:b/>
                <w:bCs/>
                <w:color w:val="000000"/>
                <w:sz w:val="18"/>
                <w:szCs w:val="18"/>
                <w:lang w:eastAsia="en-AU"/>
              </w:rPr>
            </w:pPr>
            <w:r w:rsidRPr="00CC60E1">
              <w:rPr>
                <w:rFonts w:eastAsia="Times New Roman" w:cs="Times New Roman"/>
                <w:b/>
                <w:bCs/>
                <w:color w:val="000000"/>
                <w:sz w:val="18"/>
                <w:szCs w:val="18"/>
                <w:lang w:eastAsia="en-AU"/>
              </w:rPr>
              <w:t xml:space="preserve">Unused water </w:t>
            </w:r>
          </w:p>
        </w:tc>
        <w:tc>
          <w:tcPr>
            <w:tcW w:w="782" w:type="pct"/>
            <w:tcBorders>
              <w:top w:val="single" w:sz="4" w:space="0" w:color="auto"/>
              <w:left w:val="nil"/>
              <w:bottom w:val="nil"/>
              <w:right w:val="nil"/>
            </w:tcBorders>
            <w:shd w:val="clear" w:color="auto" w:fill="auto"/>
            <w:vAlign w:val="center"/>
            <w:hideMark/>
          </w:tcPr>
          <w:p w:rsidR="00CC60E1" w:rsidRPr="00CC60E1" w:rsidRDefault="00CC60E1" w:rsidP="00CC60E1">
            <w:pPr>
              <w:spacing w:after="0" w:line="240" w:lineRule="auto"/>
              <w:jc w:val="right"/>
              <w:rPr>
                <w:rFonts w:eastAsia="Times New Roman" w:cs="Times New Roman"/>
                <w:b/>
                <w:bCs/>
                <w:color w:val="000000"/>
                <w:sz w:val="18"/>
                <w:szCs w:val="18"/>
                <w:lang w:eastAsia="en-AU"/>
              </w:rPr>
            </w:pPr>
            <w:r w:rsidRPr="00CC60E1">
              <w:rPr>
                <w:rFonts w:eastAsia="Times New Roman" w:cs="Times New Roman"/>
                <w:b/>
                <w:bCs/>
                <w:color w:val="000000"/>
                <w:sz w:val="18"/>
                <w:szCs w:val="18"/>
                <w:lang w:eastAsia="en-AU"/>
              </w:rPr>
              <w:t xml:space="preserve">Carryover </w:t>
            </w:r>
          </w:p>
        </w:tc>
        <w:tc>
          <w:tcPr>
            <w:tcW w:w="781" w:type="pct"/>
            <w:tcBorders>
              <w:top w:val="single" w:sz="4" w:space="0" w:color="auto"/>
              <w:left w:val="nil"/>
              <w:bottom w:val="nil"/>
              <w:right w:val="nil"/>
            </w:tcBorders>
            <w:shd w:val="clear" w:color="auto" w:fill="auto"/>
            <w:vAlign w:val="center"/>
            <w:hideMark/>
          </w:tcPr>
          <w:p w:rsidR="00CC60E1" w:rsidRPr="00CC60E1" w:rsidRDefault="00CC60E1" w:rsidP="00CC60E1">
            <w:pPr>
              <w:spacing w:after="0" w:line="240" w:lineRule="auto"/>
              <w:jc w:val="right"/>
              <w:rPr>
                <w:rFonts w:eastAsia="Times New Roman" w:cs="Times New Roman"/>
                <w:b/>
                <w:bCs/>
                <w:color w:val="000000"/>
                <w:sz w:val="18"/>
                <w:szCs w:val="18"/>
                <w:lang w:eastAsia="en-AU"/>
              </w:rPr>
            </w:pPr>
            <w:r w:rsidRPr="00CC60E1">
              <w:rPr>
                <w:rFonts w:eastAsia="Times New Roman" w:cs="Times New Roman"/>
                <w:b/>
                <w:bCs/>
                <w:color w:val="000000"/>
                <w:sz w:val="18"/>
                <w:szCs w:val="18"/>
                <w:lang w:eastAsia="en-AU"/>
              </w:rPr>
              <w:t xml:space="preserve">Unused water </w:t>
            </w:r>
          </w:p>
        </w:tc>
        <w:tc>
          <w:tcPr>
            <w:tcW w:w="1249" w:type="pct"/>
            <w:gridSpan w:val="2"/>
            <w:tcBorders>
              <w:top w:val="single" w:sz="4" w:space="0" w:color="auto"/>
              <w:left w:val="nil"/>
              <w:bottom w:val="nil"/>
              <w:right w:val="nil"/>
            </w:tcBorders>
            <w:shd w:val="clear" w:color="auto" w:fill="auto"/>
            <w:vAlign w:val="center"/>
            <w:hideMark/>
          </w:tcPr>
          <w:p w:rsidR="00CC60E1" w:rsidRPr="00CC60E1" w:rsidRDefault="00CC60E1" w:rsidP="00CC60E1">
            <w:pPr>
              <w:spacing w:after="0" w:line="240" w:lineRule="auto"/>
              <w:jc w:val="center"/>
              <w:rPr>
                <w:rFonts w:eastAsia="Times New Roman" w:cs="Times New Roman"/>
                <w:b/>
                <w:bCs/>
                <w:color w:val="000000"/>
                <w:sz w:val="18"/>
                <w:szCs w:val="18"/>
                <w:lang w:eastAsia="en-AU"/>
              </w:rPr>
            </w:pPr>
            <w:r w:rsidRPr="00CC60E1">
              <w:rPr>
                <w:rFonts w:eastAsia="Times New Roman" w:cs="Times New Roman"/>
                <w:b/>
                <w:bCs/>
                <w:color w:val="000000"/>
                <w:sz w:val="18"/>
                <w:szCs w:val="18"/>
                <w:lang w:eastAsia="en-AU"/>
              </w:rPr>
              <w:t>Carryover in to 2019-20</w:t>
            </w:r>
          </w:p>
        </w:tc>
      </w:tr>
      <w:tr w:rsidR="00CC60E1" w:rsidRPr="00CC60E1" w:rsidTr="00CC60E1">
        <w:trPr>
          <w:trHeight w:val="300"/>
        </w:trPr>
        <w:tc>
          <w:tcPr>
            <w:tcW w:w="1033" w:type="pct"/>
            <w:tcBorders>
              <w:top w:val="nil"/>
              <w:left w:val="nil"/>
              <w:bottom w:val="single" w:sz="4" w:space="0" w:color="auto"/>
              <w:right w:val="nil"/>
            </w:tcBorders>
            <w:shd w:val="clear" w:color="auto" w:fill="auto"/>
            <w:noWrap/>
            <w:vAlign w:val="center"/>
            <w:hideMark/>
          </w:tcPr>
          <w:p w:rsidR="00CC60E1" w:rsidRPr="00CC60E1" w:rsidRDefault="00CC60E1" w:rsidP="00CC60E1">
            <w:pPr>
              <w:spacing w:after="0" w:line="240" w:lineRule="auto"/>
              <w:rPr>
                <w:rFonts w:eastAsia="Times New Roman" w:cs="Times New Roman"/>
                <w:b/>
                <w:bCs/>
                <w:color w:val="000000"/>
                <w:sz w:val="18"/>
                <w:szCs w:val="18"/>
                <w:lang w:eastAsia="en-AU"/>
              </w:rPr>
            </w:pPr>
            <w:r w:rsidRPr="00CC60E1">
              <w:rPr>
                <w:rFonts w:eastAsia="Times New Roman" w:cs="Times New Roman"/>
                <w:b/>
                <w:bCs/>
                <w:color w:val="000000"/>
                <w:sz w:val="18"/>
                <w:szCs w:val="18"/>
                <w:lang w:eastAsia="en-AU"/>
              </w:rPr>
              <w:t>Region</w:t>
            </w:r>
          </w:p>
        </w:tc>
        <w:tc>
          <w:tcPr>
            <w:tcW w:w="359" w:type="pct"/>
            <w:tcBorders>
              <w:top w:val="nil"/>
              <w:left w:val="nil"/>
              <w:bottom w:val="single" w:sz="4" w:space="0" w:color="auto"/>
              <w:right w:val="nil"/>
            </w:tcBorders>
            <w:shd w:val="clear" w:color="auto" w:fill="auto"/>
            <w:vAlign w:val="center"/>
            <w:hideMark/>
          </w:tcPr>
          <w:p w:rsidR="00CC60E1" w:rsidRPr="00CC60E1" w:rsidRDefault="00CC60E1" w:rsidP="00CC60E1">
            <w:pPr>
              <w:spacing w:after="0" w:line="240" w:lineRule="auto"/>
              <w:rPr>
                <w:rFonts w:eastAsia="Times New Roman" w:cs="Times New Roman"/>
                <w:b/>
                <w:bCs/>
                <w:color w:val="000000"/>
                <w:sz w:val="18"/>
                <w:szCs w:val="18"/>
                <w:lang w:eastAsia="en-AU"/>
              </w:rPr>
            </w:pPr>
            <w:r w:rsidRPr="00CC60E1">
              <w:rPr>
                <w:rFonts w:eastAsia="Times New Roman" w:cs="Times New Roman"/>
                <w:b/>
                <w:bCs/>
                <w:color w:val="000000"/>
                <w:sz w:val="18"/>
                <w:szCs w:val="18"/>
                <w:lang w:eastAsia="en-AU"/>
              </w:rPr>
              <w:t>Units</w:t>
            </w:r>
          </w:p>
        </w:tc>
        <w:tc>
          <w:tcPr>
            <w:tcW w:w="795" w:type="pct"/>
            <w:tcBorders>
              <w:top w:val="nil"/>
              <w:left w:val="nil"/>
              <w:bottom w:val="single" w:sz="4" w:space="0" w:color="auto"/>
              <w:right w:val="nil"/>
            </w:tcBorders>
            <w:shd w:val="clear" w:color="auto" w:fill="auto"/>
            <w:vAlign w:val="center"/>
            <w:hideMark/>
          </w:tcPr>
          <w:p w:rsidR="00CC60E1" w:rsidRPr="00CC60E1" w:rsidRDefault="00CC60E1" w:rsidP="00CC60E1">
            <w:pPr>
              <w:spacing w:after="0" w:line="240" w:lineRule="auto"/>
              <w:jc w:val="right"/>
              <w:rPr>
                <w:rFonts w:eastAsia="Times New Roman" w:cs="Times New Roman"/>
                <w:b/>
                <w:bCs/>
                <w:color w:val="000000"/>
                <w:sz w:val="18"/>
                <w:szCs w:val="18"/>
                <w:lang w:eastAsia="en-AU"/>
              </w:rPr>
            </w:pPr>
            <w:r w:rsidRPr="00CC60E1">
              <w:rPr>
                <w:rFonts w:eastAsia="Times New Roman" w:cs="Times New Roman"/>
                <w:b/>
                <w:bCs/>
                <w:color w:val="000000"/>
                <w:sz w:val="18"/>
                <w:szCs w:val="18"/>
                <w:lang w:eastAsia="en-AU"/>
              </w:rPr>
              <w:t>(Feb 2018)</w:t>
            </w:r>
          </w:p>
        </w:tc>
        <w:tc>
          <w:tcPr>
            <w:tcW w:w="782" w:type="pct"/>
            <w:tcBorders>
              <w:top w:val="nil"/>
              <w:left w:val="nil"/>
              <w:bottom w:val="single" w:sz="4" w:space="0" w:color="auto"/>
              <w:right w:val="nil"/>
            </w:tcBorders>
            <w:shd w:val="clear" w:color="auto" w:fill="auto"/>
            <w:vAlign w:val="center"/>
            <w:hideMark/>
          </w:tcPr>
          <w:p w:rsidR="00CC60E1" w:rsidRPr="00CC60E1" w:rsidRDefault="00CC60E1" w:rsidP="00CC60E1">
            <w:pPr>
              <w:spacing w:after="0" w:line="240" w:lineRule="auto"/>
              <w:jc w:val="right"/>
              <w:rPr>
                <w:rFonts w:eastAsia="Times New Roman" w:cs="Times New Roman"/>
                <w:b/>
                <w:bCs/>
                <w:color w:val="000000"/>
                <w:sz w:val="18"/>
                <w:szCs w:val="18"/>
                <w:lang w:eastAsia="en-AU"/>
              </w:rPr>
            </w:pPr>
            <w:r w:rsidRPr="00CC60E1">
              <w:rPr>
                <w:rFonts w:eastAsia="Times New Roman" w:cs="Times New Roman"/>
                <w:b/>
                <w:bCs/>
                <w:color w:val="000000"/>
                <w:sz w:val="18"/>
                <w:szCs w:val="18"/>
                <w:lang w:eastAsia="en-AU"/>
              </w:rPr>
              <w:t>in to 2018-19</w:t>
            </w:r>
          </w:p>
        </w:tc>
        <w:tc>
          <w:tcPr>
            <w:tcW w:w="781" w:type="pct"/>
            <w:tcBorders>
              <w:top w:val="nil"/>
              <w:left w:val="nil"/>
              <w:bottom w:val="single" w:sz="4" w:space="0" w:color="auto"/>
              <w:right w:val="nil"/>
            </w:tcBorders>
            <w:shd w:val="clear" w:color="auto" w:fill="auto"/>
            <w:vAlign w:val="center"/>
            <w:hideMark/>
          </w:tcPr>
          <w:p w:rsidR="00CC60E1" w:rsidRPr="00CC60E1" w:rsidRDefault="00CC60E1" w:rsidP="00CC60E1">
            <w:pPr>
              <w:spacing w:after="0" w:line="240" w:lineRule="auto"/>
              <w:jc w:val="right"/>
              <w:rPr>
                <w:rFonts w:eastAsia="Times New Roman" w:cs="Times New Roman"/>
                <w:b/>
                <w:bCs/>
                <w:color w:val="000000"/>
                <w:sz w:val="18"/>
                <w:szCs w:val="18"/>
                <w:lang w:eastAsia="en-AU"/>
              </w:rPr>
            </w:pPr>
            <w:r w:rsidRPr="00CC60E1">
              <w:rPr>
                <w:rFonts w:eastAsia="Times New Roman" w:cs="Times New Roman"/>
                <w:b/>
                <w:bCs/>
                <w:color w:val="000000"/>
                <w:sz w:val="18"/>
                <w:szCs w:val="18"/>
                <w:lang w:eastAsia="en-AU"/>
              </w:rPr>
              <w:t>(Feb 2019)</w:t>
            </w:r>
          </w:p>
        </w:tc>
        <w:tc>
          <w:tcPr>
            <w:tcW w:w="598" w:type="pct"/>
            <w:tcBorders>
              <w:top w:val="nil"/>
              <w:left w:val="nil"/>
              <w:bottom w:val="single" w:sz="4" w:space="0" w:color="auto"/>
              <w:right w:val="nil"/>
            </w:tcBorders>
            <w:shd w:val="clear" w:color="auto" w:fill="auto"/>
            <w:vAlign w:val="center"/>
            <w:hideMark/>
          </w:tcPr>
          <w:p w:rsidR="00CC60E1" w:rsidRPr="00CC60E1" w:rsidRDefault="00CC60E1" w:rsidP="00CC60E1">
            <w:pPr>
              <w:spacing w:after="0" w:line="240" w:lineRule="auto"/>
              <w:jc w:val="right"/>
              <w:rPr>
                <w:rFonts w:eastAsia="Times New Roman" w:cs="Times New Roman"/>
                <w:b/>
                <w:bCs/>
                <w:color w:val="000000"/>
                <w:sz w:val="18"/>
                <w:szCs w:val="18"/>
                <w:lang w:eastAsia="en-AU"/>
              </w:rPr>
            </w:pPr>
            <w:r w:rsidRPr="00CC60E1">
              <w:rPr>
                <w:rFonts w:eastAsia="Times New Roman" w:cs="Times New Roman"/>
                <w:b/>
                <w:bCs/>
                <w:color w:val="000000"/>
                <w:sz w:val="18"/>
                <w:szCs w:val="18"/>
                <w:lang w:eastAsia="en-AU"/>
              </w:rPr>
              <w:t>State outlook a</w:t>
            </w:r>
          </w:p>
        </w:tc>
        <w:tc>
          <w:tcPr>
            <w:tcW w:w="651" w:type="pct"/>
            <w:tcBorders>
              <w:top w:val="nil"/>
              <w:left w:val="nil"/>
              <w:bottom w:val="single" w:sz="4" w:space="0" w:color="auto"/>
              <w:right w:val="nil"/>
            </w:tcBorders>
            <w:shd w:val="clear" w:color="auto" w:fill="auto"/>
            <w:vAlign w:val="center"/>
            <w:hideMark/>
          </w:tcPr>
          <w:p w:rsidR="00CC60E1" w:rsidRPr="00CC60E1" w:rsidRDefault="00CC60E1" w:rsidP="00CC60E1">
            <w:pPr>
              <w:spacing w:after="0" w:line="240" w:lineRule="auto"/>
              <w:jc w:val="right"/>
              <w:rPr>
                <w:rFonts w:eastAsia="Times New Roman" w:cs="Times New Roman"/>
                <w:b/>
                <w:bCs/>
                <w:color w:val="000000"/>
                <w:sz w:val="18"/>
                <w:szCs w:val="18"/>
                <w:lang w:eastAsia="en-AU"/>
              </w:rPr>
            </w:pPr>
            <w:r w:rsidRPr="00CC60E1">
              <w:rPr>
                <w:rFonts w:eastAsia="Times New Roman" w:cs="Times New Roman"/>
                <w:b/>
                <w:bCs/>
                <w:color w:val="000000"/>
                <w:sz w:val="18"/>
                <w:szCs w:val="18"/>
                <w:lang w:eastAsia="en-AU"/>
              </w:rPr>
              <w:t>Model estimate b</w:t>
            </w:r>
          </w:p>
        </w:tc>
      </w:tr>
      <w:tr w:rsidR="00CC60E1" w:rsidRPr="00CC60E1" w:rsidTr="00CC60E1">
        <w:trPr>
          <w:trHeight w:val="300"/>
        </w:trPr>
        <w:tc>
          <w:tcPr>
            <w:tcW w:w="1033" w:type="pct"/>
            <w:tcBorders>
              <w:top w:val="nil"/>
              <w:left w:val="nil"/>
              <w:bottom w:val="nil"/>
              <w:right w:val="nil"/>
            </w:tcBorders>
            <w:shd w:val="clear" w:color="auto" w:fill="auto"/>
            <w:noWrap/>
            <w:vAlign w:val="center"/>
            <w:hideMark/>
          </w:tcPr>
          <w:p w:rsidR="00CC60E1" w:rsidRPr="00CC60E1" w:rsidRDefault="00CC60E1" w:rsidP="00CC60E1">
            <w:pPr>
              <w:spacing w:after="0" w:line="240" w:lineRule="auto"/>
              <w:rPr>
                <w:rFonts w:eastAsia="Times New Roman" w:cs="Times New Roman"/>
                <w:color w:val="000000"/>
                <w:sz w:val="18"/>
                <w:szCs w:val="18"/>
                <w:lang w:eastAsia="en-AU"/>
              </w:rPr>
            </w:pPr>
            <w:r w:rsidRPr="00CC60E1">
              <w:rPr>
                <w:rFonts w:eastAsia="Times New Roman" w:cs="Times New Roman"/>
                <w:color w:val="000000"/>
                <w:sz w:val="18"/>
                <w:szCs w:val="18"/>
                <w:lang w:eastAsia="en-AU"/>
              </w:rPr>
              <w:t>NSW Murrumbidgee</w:t>
            </w:r>
          </w:p>
        </w:tc>
        <w:tc>
          <w:tcPr>
            <w:tcW w:w="359" w:type="pct"/>
            <w:tcBorders>
              <w:top w:val="nil"/>
              <w:left w:val="nil"/>
              <w:bottom w:val="nil"/>
              <w:right w:val="nil"/>
            </w:tcBorders>
            <w:shd w:val="clear" w:color="auto" w:fill="auto"/>
            <w:noWrap/>
            <w:vAlign w:val="center"/>
            <w:hideMark/>
          </w:tcPr>
          <w:p w:rsidR="00CC60E1" w:rsidRPr="00CC60E1" w:rsidRDefault="00CC60E1" w:rsidP="00CC60E1">
            <w:pPr>
              <w:spacing w:after="0" w:line="240" w:lineRule="auto"/>
              <w:rPr>
                <w:rFonts w:eastAsia="Times New Roman" w:cs="Times New Roman"/>
                <w:color w:val="000000"/>
                <w:sz w:val="18"/>
                <w:szCs w:val="18"/>
                <w:lang w:eastAsia="en-AU"/>
              </w:rPr>
            </w:pPr>
            <w:r w:rsidRPr="00CC60E1">
              <w:rPr>
                <w:rFonts w:eastAsia="Times New Roman" w:cs="Times New Roman"/>
                <w:color w:val="000000"/>
                <w:sz w:val="18"/>
                <w:szCs w:val="18"/>
                <w:lang w:eastAsia="en-AU"/>
              </w:rPr>
              <w:t>ML</w:t>
            </w:r>
          </w:p>
        </w:tc>
        <w:tc>
          <w:tcPr>
            <w:tcW w:w="795" w:type="pct"/>
            <w:tcBorders>
              <w:top w:val="nil"/>
              <w:left w:val="nil"/>
              <w:bottom w:val="nil"/>
              <w:right w:val="nil"/>
            </w:tcBorders>
            <w:shd w:val="clear" w:color="auto" w:fill="auto"/>
            <w:noWrap/>
            <w:vAlign w:val="center"/>
            <w:hideMark/>
          </w:tcPr>
          <w:p w:rsidR="00CC60E1" w:rsidRPr="00CC60E1" w:rsidRDefault="00CC60E1" w:rsidP="00CC60E1">
            <w:pPr>
              <w:spacing w:after="0" w:line="240" w:lineRule="auto"/>
              <w:rPr>
                <w:rFonts w:eastAsia="Times New Roman" w:cs="Times New Roman"/>
                <w:color w:val="000000"/>
                <w:sz w:val="18"/>
                <w:szCs w:val="18"/>
                <w:lang w:eastAsia="en-AU"/>
              </w:rPr>
            </w:pPr>
          </w:p>
        </w:tc>
        <w:tc>
          <w:tcPr>
            <w:tcW w:w="782" w:type="pct"/>
            <w:tcBorders>
              <w:top w:val="nil"/>
              <w:left w:val="nil"/>
              <w:bottom w:val="nil"/>
              <w:right w:val="nil"/>
            </w:tcBorders>
            <w:shd w:val="clear" w:color="auto" w:fill="auto"/>
            <w:noWrap/>
            <w:vAlign w:val="center"/>
            <w:hideMark/>
          </w:tcPr>
          <w:p w:rsidR="00CC60E1" w:rsidRPr="00CC60E1" w:rsidRDefault="00CC60E1" w:rsidP="00CC60E1">
            <w:pPr>
              <w:spacing w:after="0" w:line="240" w:lineRule="auto"/>
              <w:jc w:val="right"/>
              <w:rPr>
                <w:rFonts w:eastAsia="Times New Roman" w:cs="Times New Roman"/>
                <w:color w:val="000000"/>
                <w:sz w:val="18"/>
                <w:szCs w:val="18"/>
                <w:lang w:eastAsia="en-AU"/>
              </w:rPr>
            </w:pPr>
            <w:r w:rsidRPr="00CC60E1">
              <w:rPr>
                <w:rFonts w:eastAsia="Times New Roman" w:cs="Times New Roman"/>
                <w:color w:val="000000"/>
                <w:sz w:val="18"/>
                <w:szCs w:val="18"/>
                <w:lang w:eastAsia="en-AU"/>
              </w:rPr>
              <w:t>416,239</w:t>
            </w:r>
          </w:p>
        </w:tc>
        <w:tc>
          <w:tcPr>
            <w:tcW w:w="781" w:type="pct"/>
            <w:tcBorders>
              <w:top w:val="nil"/>
              <w:left w:val="nil"/>
              <w:bottom w:val="nil"/>
              <w:right w:val="nil"/>
            </w:tcBorders>
            <w:shd w:val="clear" w:color="auto" w:fill="auto"/>
            <w:noWrap/>
            <w:vAlign w:val="center"/>
            <w:hideMark/>
          </w:tcPr>
          <w:p w:rsidR="00CC60E1" w:rsidRPr="00CC60E1" w:rsidRDefault="00CC60E1" w:rsidP="00CC60E1">
            <w:pPr>
              <w:spacing w:after="0" w:line="240" w:lineRule="auto"/>
              <w:jc w:val="right"/>
              <w:rPr>
                <w:rFonts w:eastAsia="Times New Roman" w:cs="Times New Roman"/>
                <w:color w:val="000000"/>
                <w:sz w:val="18"/>
                <w:szCs w:val="18"/>
                <w:lang w:eastAsia="en-AU"/>
              </w:rPr>
            </w:pPr>
          </w:p>
        </w:tc>
        <w:tc>
          <w:tcPr>
            <w:tcW w:w="598" w:type="pct"/>
            <w:tcBorders>
              <w:top w:val="nil"/>
              <w:left w:val="nil"/>
              <w:bottom w:val="nil"/>
              <w:right w:val="nil"/>
            </w:tcBorders>
            <w:shd w:val="clear" w:color="auto" w:fill="auto"/>
            <w:noWrap/>
            <w:vAlign w:val="center"/>
            <w:hideMark/>
          </w:tcPr>
          <w:p w:rsidR="00CC60E1" w:rsidRPr="00CC60E1" w:rsidRDefault="00CC60E1" w:rsidP="00CC60E1">
            <w:pPr>
              <w:spacing w:after="0" w:line="240" w:lineRule="auto"/>
              <w:jc w:val="right"/>
              <w:rPr>
                <w:rFonts w:eastAsia="Times New Roman" w:cs="Times New Roman"/>
                <w:color w:val="000000"/>
                <w:sz w:val="18"/>
                <w:szCs w:val="18"/>
                <w:lang w:eastAsia="en-AU"/>
              </w:rPr>
            </w:pPr>
            <w:r w:rsidRPr="00CC60E1">
              <w:rPr>
                <w:rFonts w:eastAsia="Times New Roman" w:cs="Times New Roman"/>
                <w:color w:val="000000" w:themeColor="text1"/>
                <w:sz w:val="18"/>
                <w:szCs w:val="18"/>
                <w:lang w:eastAsia="en-AU"/>
              </w:rPr>
              <w:t>100,000</w:t>
            </w:r>
          </w:p>
        </w:tc>
        <w:tc>
          <w:tcPr>
            <w:tcW w:w="651" w:type="pct"/>
            <w:tcBorders>
              <w:top w:val="nil"/>
              <w:left w:val="nil"/>
              <w:bottom w:val="nil"/>
              <w:right w:val="nil"/>
            </w:tcBorders>
            <w:shd w:val="clear" w:color="auto" w:fill="auto"/>
            <w:noWrap/>
            <w:vAlign w:val="center"/>
            <w:hideMark/>
          </w:tcPr>
          <w:p w:rsidR="00CC60E1" w:rsidRPr="00CC60E1" w:rsidRDefault="00CC60E1" w:rsidP="00CC60E1">
            <w:pPr>
              <w:spacing w:after="0" w:line="240" w:lineRule="auto"/>
              <w:jc w:val="right"/>
              <w:rPr>
                <w:rFonts w:eastAsia="Times New Roman" w:cs="Times New Roman"/>
                <w:color w:val="000000"/>
                <w:sz w:val="18"/>
                <w:szCs w:val="18"/>
                <w:lang w:eastAsia="en-AU"/>
              </w:rPr>
            </w:pPr>
            <w:r w:rsidRPr="00CC60E1">
              <w:rPr>
                <w:rFonts w:eastAsia="Times New Roman" w:cs="Times New Roman"/>
                <w:color w:val="000000"/>
                <w:sz w:val="18"/>
                <w:szCs w:val="18"/>
                <w:lang w:eastAsia="en-AU"/>
              </w:rPr>
              <w:t>217,466</w:t>
            </w:r>
          </w:p>
        </w:tc>
      </w:tr>
      <w:tr w:rsidR="00CC60E1" w:rsidRPr="00CC60E1" w:rsidTr="00CC60E1">
        <w:trPr>
          <w:trHeight w:val="300"/>
        </w:trPr>
        <w:tc>
          <w:tcPr>
            <w:tcW w:w="1033" w:type="pct"/>
            <w:tcBorders>
              <w:top w:val="nil"/>
              <w:left w:val="nil"/>
              <w:bottom w:val="nil"/>
              <w:right w:val="nil"/>
            </w:tcBorders>
            <w:shd w:val="clear" w:color="auto" w:fill="auto"/>
            <w:noWrap/>
            <w:vAlign w:val="center"/>
            <w:hideMark/>
          </w:tcPr>
          <w:p w:rsidR="00CC60E1" w:rsidRPr="00CC60E1" w:rsidRDefault="00CC60E1" w:rsidP="00CC60E1">
            <w:pPr>
              <w:spacing w:after="0" w:line="240" w:lineRule="auto"/>
              <w:rPr>
                <w:rFonts w:eastAsia="Times New Roman" w:cs="Times New Roman"/>
                <w:color w:val="000000"/>
                <w:sz w:val="18"/>
                <w:szCs w:val="18"/>
                <w:lang w:eastAsia="en-AU"/>
              </w:rPr>
            </w:pPr>
            <w:r w:rsidRPr="00CC60E1">
              <w:rPr>
                <w:rFonts w:eastAsia="Times New Roman" w:cs="Times New Roman"/>
                <w:color w:val="000000"/>
                <w:sz w:val="18"/>
                <w:szCs w:val="18"/>
                <w:lang w:eastAsia="en-AU"/>
              </w:rPr>
              <w:t>NSW Murray</w:t>
            </w:r>
          </w:p>
        </w:tc>
        <w:tc>
          <w:tcPr>
            <w:tcW w:w="359" w:type="pct"/>
            <w:tcBorders>
              <w:top w:val="nil"/>
              <w:left w:val="nil"/>
              <w:bottom w:val="nil"/>
              <w:right w:val="nil"/>
            </w:tcBorders>
            <w:shd w:val="clear" w:color="auto" w:fill="auto"/>
            <w:noWrap/>
            <w:vAlign w:val="center"/>
            <w:hideMark/>
          </w:tcPr>
          <w:p w:rsidR="00CC60E1" w:rsidRPr="00CC60E1" w:rsidRDefault="00CC60E1" w:rsidP="00CC60E1">
            <w:pPr>
              <w:spacing w:after="0" w:line="240" w:lineRule="auto"/>
              <w:rPr>
                <w:rFonts w:eastAsia="Times New Roman" w:cs="Times New Roman"/>
                <w:color w:val="000000"/>
                <w:sz w:val="18"/>
                <w:szCs w:val="18"/>
                <w:lang w:eastAsia="en-AU"/>
              </w:rPr>
            </w:pPr>
            <w:r w:rsidRPr="00CC60E1">
              <w:rPr>
                <w:rFonts w:eastAsia="Times New Roman" w:cs="Times New Roman"/>
                <w:color w:val="000000"/>
                <w:sz w:val="18"/>
                <w:szCs w:val="18"/>
                <w:lang w:eastAsia="en-AU"/>
              </w:rPr>
              <w:t>ML</w:t>
            </w:r>
          </w:p>
        </w:tc>
        <w:tc>
          <w:tcPr>
            <w:tcW w:w="795" w:type="pct"/>
            <w:tcBorders>
              <w:top w:val="nil"/>
              <w:left w:val="nil"/>
              <w:bottom w:val="nil"/>
              <w:right w:val="nil"/>
            </w:tcBorders>
            <w:shd w:val="clear" w:color="auto" w:fill="auto"/>
            <w:noWrap/>
            <w:vAlign w:val="center"/>
            <w:hideMark/>
          </w:tcPr>
          <w:p w:rsidR="00CC60E1" w:rsidRPr="00CC60E1" w:rsidRDefault="00CC60E1" w:rsidP="00CC60E1">
            <w:pPr>
              <w:spacing w:after="0" w:line="240" w:lineRule="auto"/>
              <w:rPr>
                <w:rFonts w:eastAsia="Times New Roman" w:cs="Times New Roman"/>
                <w:color w:val="000000"/>
                <w:sz w:val="18"/>
                <w:szCs w:val="18"/>
                <w:lang w:eastAsia="en-AU"/>
              </w:rPr>
            </w:pPr>
          </w:p>
        </w:tc>
        <w:tc>
          <w:tcPr>
            <w:tcW w:w="782" w:type="pct"/>
            <w:tcBorders>
              <w:top w:val="nil"/>
              <w:left w:val="nil"/>
              <w:bottom w:val="nil"/>
              <w:right w:val="nil"/>
            </w:tcBorders>
            <w:shd w:val="clear" w:color="auto" w:fill="auto"/>
            <w:noWrap/>
            <w:vAlign w:val="center"/>
            <w:hideMark/>
          </w:tcPr>
          <w:p w:rsidR="00CC60E1" w:rsidRPr="00CC60E1" w:rsidRDefault="00CC60E1" w:rsidP="00CC60E1">
            <w:pPr>
              <w:spacing w:after="0" w:line="240" w:lineRule="auto"/>
              <w:jc w:val="right"/>
              <w:rPr>
                <w:rFonts w:eastAsia="Times New Roman" w:cs="Times New Roman"/>
                <w:color w:val="000000"/>
                <w:sz w:val="18"/>
                <w:szCs w:val="18"/>
                <w:lang w:eastAsia="en-AU"/>
              </w:rPr>
            </w:pPr>
            <w:r w:rsidRPr="00CC60E1">
              <w:rPr>
                <w:rFonts w:eastAsia="Times New Roman" w:cs="Times New Roman"/>
                <w:color w:val="000000"/>
                <w:sz w:val="18"/>
                <w:szCs w:val="18"/>
                <w:lang w:eastAsia="en-AU"/>
              </w:rPr>
              <w:t>518,350</w:t>
            </w:r>
          </w:p>
        </w:tc>
        <w:tc>
          <w:tcPr>
            <w:tcW w:w="781" w:type="pct"/>
            <w:tcBorders>
              <w:top w:val="nil"/>
              <w:left w:val="nil"/>
              <w:bottom w:val="nil"/>
              <w:right w:val="nil"/>
            </w:tcBorders>
            <w:shd w:val="clear" w:color="auto" w:fill="auto"/>
            <w:noWrap/>
            <w:vAlign w:val="center"/>
            <w:hideMark/>
          </w:tcPr>
          <w:p w:rsidR="00CC60E1" w:rsidRPr="00CC60E1" w:rsidRDefault="00CC60E1" w:rsidP="00CC60E1">
            <w:pPr>
              <w:spacing w:after="0" w:line="240" w:lineRule="auto"/>
              <w:jc w:val="right"/>
              <w:rPr>
                <w:rFonts w:eastAsia="Times New Roman" w:cs="Times New Roman"/>
                <w:color w:val="000000"/>
                <w:sz w:val="18"/>
                <w:szCs w:val="18"/>
                <w:lang w:eastAsia="en-AU"/>
              </w:rPr>
            </w:pPr>
          </w:p>
        </w:tc>
        <w:tc>
          <w:tcPr>
            <w:tcW w:w="598" w:type="pct"/>
            <w:tcBorders>
              <w:top w:val="nil"/>
              <w:left w:val="nil"/>
              <w:bottom w:val="nil"/>
              <w:right w:val="nil"/>
            </w:tcBorders>
            <w:shd w:val="clear" w:color="auto" w:fill="auto"/>
            <w:noWrap/>
            <w:vAlign w:val="center"/>
            <w:hideMark/>
          </w:tcPr>
          <w:p w:rsidR="00CC60E1" w:rsidRPr="00CC60E1" w:rsidRDefault="00CC60E1" w:rsidP="00CC60E1">
            <w:pPr>
              <w:spacing w:after="0" w:line="240" w:lineRule="auto"/>
              <w:jc w:val="right"/>
              <w:rPr>
                <w:rFonts w:eastAsia="Times New Roman" w:cs="Times New Roman"/>
                <w:color w:val="000000"/>
                <w:sz w:val="18"/>
                <w:szCs w:val="18"/>
                <w:lang w:eastAsia="en-AU"/>
              </w:rPr>
            </w:pPr>
            <w:r w:rsidRPr="00CC60E1">
              <w:rPr>
                <w:rFonts w:eastAsia="Times New Roman" w:cs="Times New Roman"/>
                <w:color w:val="000000" w:themeColor="text1"/>
                <w:sz w:val="18"/>
                <w:szCs w:val="18"/>
                <w:lang w:eastAsia="en-AU"/>
              </w:rPr>
              <w:t>290,000</w:t>
            </w:r>
          </w:p>
        </w:tc>
        <w:tc>
          <w:tcPr>
            <w:tcW w:w="651" w:type="pct"/>
            <w:tcBorders>
              <w:top w:val="nil"/>
              <w:left w:val="nil"/>
              <w:bottom w:val="nil"/>
              <w:right w:val="nil"/>
            </w:tcBorders>
            <w:shd w:val="clear" w:color="auto" w:fill="auto"/>
            <w:noWrap/>
            <w:vAlign w:val="center"/>
            <w:hideMark/>
          </w:tcPr>
          <w:p w:rsidR="00CC60E1" w:rsidRPr="00CC60E1" w:rsidRDefault="00CC60E1" w:rsidP="00CC60E1">
            <w:pPr>
              <w:spacing w:after="0" w:line="240" w:lineRule="auto"/>
              <w:jc w:val="right"/>
              <w:rPr>
                <w:rFonts w:eastAsia="Times New Roman" w:cs="Times New Roman"/>
                <w:color w:val="000000"/>
                <w:sz w:val="18"/>
                <w:szCs w:val="18"/>
                <w:lang w:eastAsia="en-AU"/>
              </w:rPr>
            </w:pPr>
            <w:r w:rsidRPr="00CC60E1">
              <w:rPr>
                <w:rFonts w:eastAsia="Times New Roman" w:cs="Times New Roman"/>
                <w:color w:val="000000"/>
                <w:sz w:val="18"/>
                <w:szCs w:val="18"/>
                <w:lang w:eastAsia="en-AU"/>
              </w:rPr>
              <w:t>171,951</w:t>
            </w:r>
          </w:p>
        </w:tc>
      </w:tr>
      <w:tr w:rsidR="00CC60E1" w:rsidRPr="00CC60E1" w:rsidTr="00CC60E1">
        <w:trPr>
          <w:trHeight w:val="300"/>
        </w:trPr>
        <w:tc>
          <w:tcPr>
            <w:tcW w:w="1033" w:type="pct"/>
            <w:tcBorders>
              <w:top w:val="nil"/>
              <w:left w:val="nil"/>
              <w:bottom w:val="nil"/>
              <w:right w:val="nil"/>
            </w:tcBorders>
            <w:shd w:val="clear" w:color="auto" w:fill="auto"/>
            <w:noWrap/>
            <w:vAlign w:val="center"/>
            <w:hideMark/>
          </w:tcPr>
          <w:p w:rsidR="00CC60E1" w:rsidRPr="00CC60E1" w:rsidRDefault="00CC60E1" w:rsidP="00CC60E1">
            <w:pPr>
              <w:spacing w:after="0" w:line="240" w:lineRule="auto"/>
              <w:rPr>
                <w:rFonts w:eastAsia="Times New Roman" w:cs="Times New Roman"/>
                <w:color w:val="000000"/>
                <w:sz w:val="18"/>
                <w:szCs w:val="18"/>
                <w:lang w:eastAsia="en-AU"/>
              </w:rPr>
            </w:pPr>
            <w:r w:rsidRPr="00CC60E1">
              <w:rPr>
                <w:rFonts w:eastAsia="Times New Roman" w:cs="Times New Roman"/>
                <w:color w:val="000000"/>
                <w:sz w:val="18"/>
                <w:szCs w:val="18"/>
                <w:lang w:eastAsia="en-AU"/>
              </w:rPr>
              <w:t>VIC Murray</w:t>
            </w:r>
          </w:p>
        </w:tc>
        <w:tc>
          <w:tcPr>
            <w:tcW w:w="359" w:type="pct"/>
            <w:tcBorders>
              <w:top w:val="nil"/>
              <w:left w:val="nil"/>
              <w:bottom w:val="nil"/>
              <w:right w:val="nil"/>
            </w:tcBorders>
            <w:shd w:val="clear" w:color="auto" w:fill="auto"/>
            <w:noWrap/>
            <w:vAlign w:val="center"/>
            <w:hideMark/>
          </w:tcPr>
          <w:p w:rsidR="00CC60E1" w:rsidRPr="00CC60E1" w:rsidRDefault="00CC60E1" w:rsidP="00CC60E1">
            <w:pPr>
              <w:spacing w:after="0" w:line="240" w:lineRule="auto"/>
              <w:rPr>
                <w:rFonts w:eastAsia="Times New Roman" w:cs="Times New Roman"/>
                <w:color w:val="000000"/>
                <w:sz w:val="18"/>
                <w:szCs w:val="18"/>
                <w:lang w:eastAsia="en-AU"/>
              </w:rPr>
            </w:pPr>
            <w:r w:rsidRPr="00CC60E1">
              <w:rPr>
                <w:rFonts w:eastAsia="Times New Roman" w:cs="Times New Roman"/>
                <w:color w:val="000000"/>
                <w:sz w:val="18"/>
                <w:szCs w:val="18"/>
                <w:lang w:eastAsia="en-AU"/>
              </w:rPr>
              <w:t>ML</w:t>
            </w:r>
          </w:p>
        </w:tc>
        <w:tc>
          <w:tcPr>
            <w:tcW w:w="795" w:type="pct"/>
            <w:tcBorders>
              <w:top w:val="nil"/>
              <w:left w:val="nil"/>
              <w:bottom w:val="nil"/>
              <w:right w:val="nil"/>
            </w:tcBorders>
            <w:shd w:val="clear" w:color="auto" w:fill="auto"/>
            <w:noWrap/>
            <w:vAlign w:val="center"/>
            <w:hideMark/>
          </w:tcPr>
          <w:p w:rsidR="00CC60E1" w:rsidRPr="00CC60E1" w:rsidRDefault="00CC60E1" w:rsidP="00CC60E1">
            <w:pPr>
              <w:spacing w:after="0" w:line="240" w:lineRule="auto"/>
              <w:jc w:val="right"/>
              <w:rPr>
                <w:rFonts w:eastAsia="Times New Roman" w:cs="Times New Roman"/>
                <w:color w:val="000000"/>
                <w:sz w:val="18"/>
                <w:szCs w:val="18"/>
                <w:lang w:eastAsia="en-AU"/>
              </w:rPr>
            </w:pPr>
            <w:r w:rsidRPr="00CC60E1">
              <w:rPr>
                <w:rFonts w:eastAsia="Times New Roman" w:cs="Times New Roman"/>
                <w:color w:val="000000"/>
                <w:sz w:val="18"/>
                <w:szCs w:val="18"/>
                <w:lang w:eastAsia="en-AU"/>
              </w:rPr>
              <w:t>1,194,112</w:t>
            </w:r>
          </w:p>
        </w:tc>
        <w:tc>
          <w:tcPr>
            <w:tcW w:w="782" w:type="pct"/>
            <w:tcBorders>
              <w:top w:val="nil"/>
              <w:left w:val="nil"/>
              <w:bottom w:val="nil"/>
              <w:right w:val="nil"/>
            </w:tcBorders>
            <w:shd w:val="clear" w:color="auto" w:fill="auto"/>
            <w:noWrap/>
            <w:vAlign w:val="center"/>
            <w:hideMark/>
          </w:tcPr>
          <w:p w:rsidR="00CC60E1" w:rsidRPr="00CC60E1" w:rsidRDefault="00CC60E1" w:rsidP="00CC60E1">
            <w:pPr>
              <w:spacing w:after="0" w:line="240" w:lineRule="auto"/>
              <w:jc w:val="right"/>
              <w:rPr>
                <w:rFonts w:eastAsia="Times New Roman" w:cs="Times New Roman"/>
                <w:color w:val="000000"/>
                <w:sz w:val="18"/>
                <w:szCs w:val="18"/>
                <w:lang w:eastAsia="en-AU"/>
              </w:rPr>
            </w:pPr>
            <w:r w:rsidRPr="00CC60E1">
              <w:rPr>
                <w:rFonts w:eastAsia="Times New Roman" w:cs="Times New Roman"/>
                <w:color w:val="000000"/>
                <w:sz w:val="18"/>
                <w:szCs w:val="18"/>
                <w:lang w:eastAsia="en-AU"/>
              </w:rPr>
              <w:t>484,441</w:t>
            </w:r>
          </w:p>
        </w:tc>
        <w:tc>
          <w:tcPr>
            <w:tcW w:w="781" w:type="pct"/>
            <w:tcBorders>
              <w:top w:val="nil"/>
              <w:left w:val="nil"/>
              <w:bottom w:val="nil"/>
              <w:right w:val="nil"/>
            </w:tcBorders>
            <w:shd w:val="clear" w:color="auto" w:fill="auto"/>
            <w:noWrap/>
            <w:vAlign w:val="center"/>
            <w:hideMark/>
          </w:tcPr>
          <w:p w:rsidR="00CC60E1" w:rsidRPr="00CC60E1" w:rsidRDefault="00CC60E1" w:rsidP="00CC60E1">
            <w:pPr>
              <w:spacing w:after="0" w:line="240" w:lineRule="auto"/>
              <w:jc w:val="right"/>
              <w:rPr>
                <w:rFonts w:eastAsia="Times New Roman" w:cs="Times New Roman"/>
                <w:color w:val="000000"/>
                <w:sz w:val="18"/>
                <w:szCs w:val="18"/>
                <w:lang w:eastAsia="en-AU"/>
              </w:rPr>
            </w:pPr>
            <w:r w:rsidRPr="00CC60E1">
              <w:rPr>
                <w:rFonts w:eastAsia="Times New Roman" w:cs="Times New Roman"/>
                <w:color w:val="000000"/>
                <w:sz w:val="18"/>
                <w:szCs w:val="18"/>
                <w:lang w:eastAsia="en-AU"/>
              </w:rPr>
              <w:t>990,728</w:t>
            </w:r>
          </w:p>
        </w:tc>
        <w:tc>
          <w:tcPr>
            <w:tcW w:w="598" w:type="pct"/>
            <w:tcBorders>
              <w:top w:val="nil"/>
              <w:left w:val="nil"/>
              <w:bottom w:val="nil"/>
              <w:right w:val="nil"/>
            </w:tcBorders>
            <w:shd w:val="clear" w:color="auto" w:fill="auto"/>
            <w:noWrap/>
            <w:vAlign w:val="center"/>
            <w:hideMark/>
          </w:tcPr>
          <w:p w:rsidR="00CC60E1" w:rsidRPr="00CC60E1" w:rsidRDefault="00CC60E1" w:rsidP="00CC60E1">
            <w:pPr>
              <w:spacing w:after="0" w:line="240" w:lineRule="auto"/>
              <w:jc w:val="right"/>
              <w:rPr>
                <w:rFonts w:eastAsia="Times New Roman" w:cs="Times New Roman"/>
                <w:color w:val="000000"/>
                <w:sz w:val="18"/>
                <w:szCs w:val="18"/>
                <w:lang w:eastAsia="en-AU"/>
              </w:rPr>
            </w:pPr>
          </w:p>
        </w:tc>
        <w:tc>
          <w:tcPr>
            <w:tcW w:w="651" w:type="pct"/>
            <w:tcBorders>
              <w:top w:val="nil"/>
              <w:left w:val="nil"/>
              <w:bottom w:val="nil"/>
              <w:right w:val="nil"/>
            </w:tcBorders>
            <w:shd w:val="clear" w:color="auto" w:fill="auto"/>
            <w:noWrap/>
            <w:vAlign w:val="center"/>
            <w:hideMark/>
          </w:tcPr>
          <w:p w:rsidR="00CC60E1" w:rsidRPr="00CC60E1" w:rsidRDefault="00CC60E1" w:rsidP="00CC60E1">
            <w:pPr>
              <w:spacing w:after="0" w:line="240" w:lineRule="auto"/>
              <w:jc w:val="right"/>
              <w:rPr>
                <w:rFonts w:eastAsia="Times New Roman" w:cs="Times New Roman"/>
                <w:color w:val="000000"/>
                <w:sz w:val="18"/>
                <w:szCs w:val="18"/>
                <w:lang w:eastAsia="en-AU"/>
              </w:rPr>
            </w:pPr>
            <w:r w:rsidRPr="00CC60E1">
              <w:rPr>
                <w:rFonts w:eastAsia="Times New Roman" w:cs="Times New Roman"/>
                <w:color w:val="000000"/>
                <w:sz w:val="18"/>
                <w:szCs w:val="18"/>
                <w:lang w:eastAsia="en-AU"/>
              </w:rPr>
              <w:t>407,112</w:t>
            </w:r>
          </w:p>
        </w:tc>
      </w:tr>
      <w:tr w:rsidR="00CC60E1" w:rsidRPr="00CC60E1" w:rsidTr="00CC60E1">
        <w:trPr>
          <w:trHeight w:val="300"/>
        </w:trPr>
        <w:tc>
          <w:tcPr>
            <w:tcW w:w="1033" w:type="pct"/>
            <w:tcBorders>
              <w:top w:val="nil"/>
              <w:left w:val="nil"/>
              <w:bottom w:val="single" w:sz="4" w:space="0" w:color="auto"/>
              <w:right w:val="nil"/>
            </w:tcBorders>
            <w:shd w:val="clear" w:color="auto" w:fill="auto"/>
            <w:noWrap/>
            <w:vAlign w:val="center"/>
            <w:hideMark/>
          </w:tcPr>
          <w:p w:rsidR="00CC60E1" w:rsidRPr="00CC60E1" w:rsidRDefault="00CC60E1" w:rsidP="00CC60E1">
            <w:pPr>
              <w:spacing w:after="0" w:line="240" w:lineRule="auto"/>
              <w:rPr>
                <w:rFonts w:eastAsia="Times New Roman" w:cs="Times New Roman"/>
                <w:color w:val="000000"/>
                <w:sz w:val="18"/>
                <w:szCs w:val="18"/>
                <w:lang w:eastAsia="en-AU"/>
              </w:rPr>
            </w:pPr>
            <w:r w:rsidRPr="00CC60E1">
              <w:rPr>
                <w:rFonts w:eastAsia="Times New Roman" w:cs="Times New Roman"/>
                <w:color w:val="000000"/>
                <w:sz w:val="18"/>
                <w:szCs w:val="18"/>
                <w:lang w:eastAsia="en-AU"/>
              </w:rPr>
              <w:t>VIC Goulburn-Broken</w:t>
            </w:r>
          </w:p>
        </w:tc>
        <w:tc>
          <w:tcPr>
            <w:tcW w:w="359" w:type="pct"/>
            <w:tcBorders>
              <w:top w:val="nil"/>
              <w:left w:val="nil"/>
              <w:bottom w:val="single" w:sz="4" w:space="0" w:color="auto"/>
              <w:right w:val="nil"/>
            </w:tcBorders>
            <w:shd w:val="clear" w:color="auto" w:fill="auto"/>
            <w:noWrap/>
            <w:vAlign w:val="center"/>
            <w:hideMark/>
          </w:tcPr>
          <w:p w:rsidR="00CC60E1" w:rsidRPr="00CC60E1" w:rsidRDefault="00CC60E1" w:rsidP="00CC60E1">
            <w:pPr>
              <w:spacing w:after="0" w:line="240" w:lineRule="auto"/>
              <w:rPr>
                <w:rFonts w:eastAsia="Times New Roman" w:cs="Times New Roman"/>
                <w:color w:val="000000"/>
                <w:sz w:val="18"/>
                <w:szCs w:val="18"/>
                <w:lang w:eastAsia="en-AU"/>
              </w:rPr>
            </w:pPr>
            <w:r w:rsidRPr="00CC60E1">
              <w:rPr>
                <w:rFonts w:eastAsia="Times New Roman" w:cs="Times New Roman"/>
                <w:color w:val="000000"/>
                <w:sz w:val="18"/>
                <w:szCs w:val="18"/>
                <w:lang w:eastAsia="en-AU"/>
              </w:rPr>
              <w:t>ML</w:t>
            </w:r>
          </w:p>
        </w:tc>
        <w:tc>
          <w:tcPr>
            <w:tcW w:w="795" w:type="pct"/>
            <w:tcBorders>
              <w:top w:val="nil"/>
              <w:left w:val="nil"/>
              <w:bottom w:val="single" w:sz="4" w:space="0" w:color="auto"/>
              <w:right w:val="nil"/>
            </w:tcBorders>
            <w:shd w:val="clear" w:color="auto" w:fill="auto"/>
            <w:noWrap/>
            <w:vAlign w:val="center"/>
            <w:hideMark/>
          </w:tcPr>
          <w:p w:rsidR="00CC60E1" w:rsidRPr="00CC60E1" w:rsidRDefault="00CC60E1" w:rsidP="00CC60E1">
            <w:pPr>
              <w:spacing w:after="0" w:line="240" w:lineRule="auto"/>
              <w:jc w:val="right"/>
              <w:rPr>
                <w:rFonts w:eastAsia="Times New Roman" w:cs="Times New Roman"/>
                <w:color w:val="000000"/>
                <w:sz w:val="18"/>
                <w:szCs w:val="18"/>
                <w:lang w:eastAsia="en-AU"/>
              </w:rPr>
            </w:pPr>
            <w:r w:rsidRPr="00CC60E1">
              <w:rPr>
                <w:rFonts w:eastAsia="Times New Roman" w:cs="Times New Roman"/>
                <w:color w:val="000000"/>
                <w:sz w:val="18"/>
                <w:szCs w:val="18"/>
                <w:lang w:eastAsia="en-AU"/>
              </w:rPr>
              <w:t>1,048,196</w:t>
            </w:r>
          </w:p>
        </w:tc>
        <w:tc>
          <w:tcPr>
            <w:tcW w:w="782" w:type="pct"/>
            <w:tcBorders>
              <w:top w:val="nil"/>
              <w:left w:val="nil"/>
              <w:bottom w:val="single" w:sz="4" w:space="0" w:color="auto"/>
              <w:right w:val="nil"/>
            </w:tcBorders>
            <w:shd w:val="clear" w:color="auto" w:fill="auto"/>
            <w:noWrap/>
            <w:vAlign w:val="center"/>
            <w:hideMark/>
          </w:tcPr>
          <w:p w:rsidR="00CC60E1" w:rsidRPr="00CC60E1" w:rsidRDefault="00CC60E1" w:rsidP="00CC60E1">
            <w:pPr>
              <w:spacing w:after="0" w:line="240" w:lineRule="auto"/>
              <w:jc w:val="right"/>
              <w:rPr>
                <w:rFonts w:eastAsia="Times New Roman" w:cs="Times New Roman"/>
                <w:color w:val="000000"/>
                <w:sz w:val="18"/>
                <w:szCs w:val="18"/>
                <w:lang w:eastAsia="en-AU"/>
              </w:rPr>
            </w:pPr>
            <w:r w:rsidRPr="00CC60E1">
              <w:rPr>
                <w:rFonts w:eastAsia="Times New Roman" w:cs="Times New Roman"/>
                <w:color w:val="000000"/>
                <w:sz w:val="18"/>
                <w:szCs w:val="18"/>
                <w:lang w:eastAsia="en-AU"/>
              </w:rPr>
              <w:t>437,221</w:t>
            </w:r>
          </w:p>
        </w:tc>
        <w:tc>
          <w:tcPr>
            <w:tcW w:w="781" w:type="pct"/>
            <w:tcBorders>
              <w:top w:val="nil"/>
              <w:left w:val="nil"/>
              <w:bottom w:val="single" w:sz="4" w:space="0" w:color="auto"/>
              <w:right w:val="nil"/>
            </w:tcBorders>
            <w:shd w:val="clear" w:color="auto" w:fill="auto"/>
            <w:noWrap/>
            <w:vAlign w:val="center"/>
            <w:hideMark/>
          </w:tcPr>
          <w:p w:rsidR="00CC60E1" w:rsidRPr="00CC60E1" w:rsidRDefault="00CC60E1" w:rsidP="00CC60E1">
            <w:pPr>
              <w:spacing w:after="0" w:line="240" w:lineRule="auto"/>
              <w:jc w:val="right"/>
              <w:rPr>
                <w:rFonts w:eastAsia="Times New Roman" w:cs="Times New Roman"/>
                <w:color w:val="000000"/>
                <w:sz w:val="18"/>
                <w:szCs w:val="18"/>
                <w:lang w:eastAsia="en-AU"/>
              </w:rPr>
            </w:pPr>
            <w:r w:rsidRPr="00CC60E1">
              <w:rPr>
                <w:rFonts w:eastAsia="Times New Roman" w:cs="Times New Roman"/>
                <w:color w:val="000000"/>
                <w:sz w:val="18"/>
                <w:szCs w:val="18"/>
                <w:lang w:eastAsia="en-AU"/>
              </w:rPr>
              <w:t>762,232</w:t>
            </w:r>
          </w:p>
        </w:tc>
        <w:tc>
          <w:tcPr>
            <w:tcW w:w="598" w:type="pct"/>
            <w:tcBorders>
              <w:top w:val="nil"/>
              <w:left w:val="nil"/>
              <w:bottom w:val="single" w:sz="4" w:space="0" w:color="auto"/>
              <w:right w:val="nil"/>
            </w:tcBorders>
            <w:shd w:val="clear" w:color="auto" w:fill="auto"/>
            <w:noWrap/>
            <w:vAlign w:val="center"/>
            <w:hideMark/>
          </w:tcPr>
          <w:p w:rsidR="00CC60E1" w:rsidRPr="00CC60E1" w:rsidRDefault="00CC60E1" w:rsidP="00CC60E1">
            <w:pPr>
              <w:spacing w:after="0" w:line="240" w:lineRule="auto"/>
              <w:jc w:val="right"/>
              <w:rPr>
                <w:rFonts w:eastAsia="Times New Roman" w:cs="Times New Roman"/>
                <w:color w:val="000000"/>
                <w:sz w:val="18"/>
                <w:szCs w:val="18"/>
                <w:lang w:eastAsia="en-AU"/>
              </w:rPr>
            </w:pPr>
            <w:r w:rsidRPr="00CC60E1">
              <w:rPr>
                <w:rFonts w:eastAsia="Times New Roman" w:cs="Times New Roman"/>
                <w:color w:val="000000"/>
                <w:sz w:val="18"/>
                <w:szCs w:val="18"/>
                <w:lang w:eastAsia="en-AU"/>
              </w:rPr>
              <w:t> </w:t>
            </w:r>
          </w:p>
        </w:tc>
        <w:tc>
          <w:tcPr>
            <w:tcW w:w="651" w:type="pct"/>
            <w:tcBorders>
              <w:top w:val="nil"/>
              <w:left w:val="nil"/>
              <w:bottom w:val="single" w:sz="4" w:space="0" w:color="auto"/>
              <w:right w:val="nil"/>
            </w:tcBorders>
            <w:shd w:val="clear" w:color="auto" w:fill="auto"/>
            <w:noWrap/>
            <w:vAlign w:val="center"/>
            <w:hideMark/>
          </w:tcPr>
          <w:p w:rsidR="00CC60E1" w:rsidRPr="00CC60E1" w:rsidRDefault="00CC60E1" w:rsidP="00CC60E1">
            <w:pPr>
              <w:spacing w:after="0" w:line="240" w:lineRule="auto"/>
              <w:jc w:val="right"/>
              <w:rPr>
                <w:rFonts w:eastAsia="Times New Roman" w:cs="Times New Roman"/>
                <w:color w:val="000000"/>
                <w:sz w:val="18"/>
                <w:szCs w:val="18"/>
                <w:lang w:eastAsia="en-AU"/>
              </w:rPr>
            </w:pPr>
            <w:r w:rsidRPr="00CC60E1">
              <w:rPr>
                <w:rFonts w:eastAsia="Times New Roman" w:cs="Times New Roman"/>
                <w:color w:val="000000"/>
                <w:sz w:val="18"/>
                <w:szCs w:val="18"/>
                <w:lang w:eastAsia="en-AU"/>
              </w:rPr>
              <w:t>321,106</w:t>
            </w:r>
          </w:p>
        </w:tc>
      </w:tr>
    </w:tbl>
    <w:p w:rsidR="00BE51CD" w:rsidRPr="00EE4ECB" w:rsidRDefault="006072D6" w:rsidP="00DF4714">
      <w:pPr>
        <w:pStyle w:val="Normalsmall"/>
        <w:rPr>
          <w:lang w:eastAsia="ja-JP"/>
        </w:rPr>
      </w:pPr>
      <w:r w:rsidRPr="00DF4714">
        <w:rPr>
          <w:b/>
          <w:lang w:eastAsia="ja-JP"/>
        </w:rPr>
        <w:t>Source:</w:t>
      </w:r>
      <w:r>
        <w:rPr>
          <w:lang w:eastAsia="ja-JP"/>
        </w:rPr>
        <w:t xml:space="preserve"> ABARES, NSW DPI,</w:t>
      </w:r>
      <w:r w:rsidRPr="00BE51CD">
        <w:rPr>
          <w:lang w:eastAsia="ja-JP"/>
        </w:rPr>
        <w:t xml:space="preserve"> </w:t>
      </w:r>
      <w:r>
        <w:rPr>
          <w:lang w:eastAsia="ja-JP"/>
        </w:rPr>
        <w:t>VMR</w:t>
      </w:r>
      <w:r>
        <w:rPr>
          <w:lang w:eastAsia="ja-JP"/>
        </w:rPr>
        <w:br/>
      </w:r>
      <w:r w:rsidRPr="00DF4714">
        <w:rPr>
          <w:b/>
          <w:lang w:eastAsia="ja-JP"/>
        </w:rPr>
        <w:t>Note:</w:t>
      </w:r>
      <w:r w:rsidRPr="00DF4714">
        <w:rPr>
          <w:lang w:eastAsia="ja-JP"/>
        </w:rPr>
        <w:t xml:space="preserve"> </w:t>
      </w:r>
      <w:r w:rsidR="00EE4ECB">
        <w:rPr>
          <w:b/>
          <w:lang w:eastAsia="ja-JP"/>
        </w:rPr>
        <w:t xml:space="preserve">a </w:t>
      </w:r>
      <w:r w:rsidR="00EE4ECB">
        <w:rPr>
          <w:lang w:eastAsia="ja-JP"/>
        </w:rPr>
        <w:t xml:space="preserve">Based on NSW state government allocation outlook </w:t>
      </w:r>
      <w:r w:rsidR="00EE4ECB">
        <w:rPr>
          <w:b/>
          <w:lang w:eastAsia="ja-JP"/>
        </w:rPr>
        <w:t xml:space="preserve">b </w:t>
      </w:r>
      <w:r w:rsidR="00EE4ECB">
        <w:rPr>
          <w:lang w:eastAsia="ja-JP"/>
        </w:rPr>
        <w:t>ABARES model estimate</w:t>
      </w:r>
    </w:p>
    <w:p w:rsidR="002930D6" w:rsidRDefault="00753AD6" w:rsidP="002930D6">
      <w:pPr>
        <w:rPr>
          <w:lang w:eastAsia="ja-JP"/>
        </w:rPr>
      </w:pPr>
      <w:r>
        <w:rPr>
          <w:lang w:eastAsia="ja-JP"/>
        </w:rPr>
        <w:t>I</w:t>
      </w:r>
      <w:r w:rsidR="00434BC1">
        <w:rPr>
          <w:lang w:eastAsia="ja-JP"/>
        </w:rPr>
        <w:t xml:space="preserve">t is important to note that higher water allocation prices are possible, particularly if conditions more severe than the </w:t>
      </w:r>
      <w:r w:rsidR="00434BC1">
        <w:rPr>
          <w:i/>
          <w:lang w:eastAsia="ja-JP"/>
        </w:rPr>
        <w:t xml:space="preserve">dry </w:t>
      </w:r>
      <w:r w:rsidR="00434BC1">
        <w:rPr>
          <w:lang w:eastAsia="ja-JP"/>
        </w:rPr>
        <w:t xml:space="preserve">scenario are realised. </w:t>
      </w:r>
      <w:r w:rsidR="002930D6">
        <w:rPr>
          <w:lang w:eastAsia="ja-JP"/>
        </w:rPr>
        <w:t xml:space="preserve">Further, </w:t>
      </w:r>
      <w:r w:rsidR="00434BC1">
        <w:rPr>
          <w:lang w:eastAsia="ja-JP"/>
        </w:rPr>
        <w:t xml:space="preserve">as mentioned previously, </w:t>
      </w:r>
      <w:r w:rsidR="002930D6">
        <w:rPr>
          <w:lang w:eastAsia="ja-JP"/>
        </w:rPr>
        <w:t xml:space="preserve">prices are </w:t>
      </w:r>
      <w:r w:rsidR="002930D6">
        <w:rPr>
          <w:lang w:eastAsia="ja-JP"/>
        </w:rPr>
        <w:lastRenderedPageBreak/>
        <w:t>likely to fl</w:t>
      </w:r>
      <w:r w:rsidR="00434BC1">
        <w:rPr>
          <w:lang w:eastAsia="ja-JP"/>
        </w:rPr>
        <w:t>uctuate throughout the year</w:t>
      </w:r>
      <w:r w:rsidR="002930D6">
        <w:rPr>
          <w:lang w:eastAsia="ja-JP"/>
        </w:rPr>
        <w:t xml:space="preserve">. In particular, under a </w:t>
      </w:r>
      <w:r w:rsidR="00AC5513" w:rsidRPr="00AC5513">
        <w:rPr>
          <w:i/>
          <w:lang w:eastAsia="ja-JP"/>
        </w:rPr>
        <w:t>dry</w:t>
      </w:r>
      <w:r w:rsidR="002930D6">
        <w:rPr>
          <w:lang w:eastAsia="ja-JP"/>
        </w:rPr>
        <w:t xml:space="preserve"> scenario, higher water prices could emerge later in the water year, as storage volumes decline and the potential for water shortages into 2020</w:t>
      </w:r>
      <w:r w:rsidR="00AC5513">
        <w:rPr>
          <w:lang w:eastAsia="ja-JP"/>
        </w:rPr>
        <w:t>–</w:t>
      </w:r>
      <w:r w:rsidR="002930D6">
        <w:rPr>
          <w:lang w:eastAsia="ja-JP"/>
        </w:rPr>
        <w:t>21 drives demand for carryover.</w:t>
      </w:r>
    </w:p>
    <w:p w:rsidR="00434BC1" w:rsidRDefault="00434BC1" w:rsidP="00434BC1">
      <w:pPr>
        <w:pStyle w:val="Heading5"/>
        <w:rPr>
          <w:lang w:eastAsia="ja-JP"/>
        </w:rPr>
      </w:pPr>
      <w:r>
        <w:rPr>
          <w:lang w:eastAsia="ja-JP"/>
        </w:rPr>
        <w:t xml:space="preserve">Prices under </w:t>
      </w:r>
      <w:r w:rsidR="00CF4380">
        <w:rPr>
          <w:lang w:eastAsia="ja-JP"/>
        </w:rPr>
        <w:t>the</w:t>
      </w:r>
      <w:r>
        <w:rPr>
          <w:lang w:eastAsia="ja-JP"/>
        </w:rPr>
        <w:t xml:space="preserve"> average seasonal conditions scenario</w:t>
      </w:r>
    </w:p>
    <w:p w:rsidR="00EA3735" w:rsidRDefault="00DE1E00" w:rsidP="00EA3735">
      <w:pPr>
        <w:rPr>
          <w:lang w:eastAsia="ja-JP"/>
        </w:rPr>
      </w:pPr>
      <w:r>
        <w:rPr>
          <w:lang w:eastAsia="ja-JP"/>
        </w:rPr>
        <w:t xml:space="preserve">The </w:t>
      </w:r>
      <w:r w:rsidRPr="00DF4714">
        <w:rPr>
          <w:i/>
          <w:lang w:eastAsia="ja-JP"/>
        </w:rPr>
        <w:t>average</w:t>
      </w:r>
      <w:r w:rsidR="00EA3735">
        <w:rPr>
          <w:lang w:eastAsia="ja-JP"/>
        </w:rPr>
        <w:t xml:space="preserve"> scenario sees a slight improvement in total water availability relative to </w:t>
      </w:r>
      <w:r w:rsidR="00AC5513">
        <w:rPr>
          <w:lang w:eastAsia="ja-JP"/>
        </w:rPr>
        <w:t>2018–19</w:t>
      </w:r>
      <w:r w:rsidR="00B90FC9">
        <w:rPr>
          <w:lang w:eastAsia="ja-JP"/>
        </w:rPr>
        <w:t xml:space="preserve"> </w:t>
      </w:r>
      <w:r w:rsidR="00EA3735">
        <w:rPr>
          <w:lang w:eastAsia="ja-JP"/>
        </w:rPr>
        <w:t>with an</w:t>
      </w:r>
      <w:r w:rsidR="00753AD6">
        <w:rPr>
          <w:lang w:eastAsia="ja-JP"/>
        </w:rPr>
        <w:t xml:space="preserve"> increase in allocation levels </w:t>
      </w:r>
      <w:r w:rsidR="00EA3735">
        <w:rPr>
          <w:lang w:eastAsia="ja-JP"/>
        </w:rPr>
        <w:t>partially offset by smaller carryover reserves</w:t>
      </w:r>
      <w:r w:rsidR="00753AD6">
        <w:rPr>
          <w:lang w:eastAsia="ja-JP"/>
        </w:rPr>
        <w:t xml:space="preserve">, </w:t>
      </w:r>
      <w:r w:rsidR="00B90FC9">
        <w:rPr>
          <w:lang w:eastAsia="ja-JP"/>
        </w:rPr>
        <w:t>(</w:t>
      </w:r>
      <w:r w:rsidR="00753AD6">
        <w:rPr>
          <w:lang w:eastAsia="ja-JP"/>
        </w:rPr>
        <w:fldChar w:fldCharType="begin"/>
      </w:r>
      <w:r w:rsidR="00753AD6">
        <w:rPr>
          <w:lang w:eastAsia="ja-JP"/>
        </w:rPr>
        <w:instrText xml:space="preserve"> REF _Ref1984291 \h </w:instrText>
      </w:r>
      <w:r w:rsidR="00753AD6">
        <w:rPr>
          <w:lang w:eastAsia="ja-JP"/>
        </w:rPr>
      </w:r>
      <w:r w:rsidR="00753AD6">
        <w:rPr>
          <w:lang w:eastAsia="ja-JP"/>
        </w:rPr>
        <w:fldChar w:fldCharType="separate"/>
      </w:r>
      <w:r w:rsidR="002D7E7D">
        <w:t xml:space="preserve">Figure </w:t>
      </w:r>
      <w:r w:rsidR="002D7E7D">
        <w:rPr>
          <w:noProof/>
        </w:rPr>
        <w:t>4</w:t>
      </w:r>
      <w:r w:rsidR="00753AD6">
        <w:rPr>
          <w:lang w:eastAsia="ja-JP"/>
        </w:rPr>
        <w:fldChar w:fldCharType="end"/>
      </w:r>
      <w:r w:rsidR="00EA3735">
        <w:rPr>
          <w:lang w:eastAsia="ja-JP"/>
        </w:rPr>
        <w:t xml:space="preserve">). Modelled allocation prices under the </w:t>
      </w:r>
      <w:r w:rsidR="00EA3735" w:rsidRPr="00DF4714">
        <w:rPr>
          <w:i/>
          <w:lang w:eastAsia="ja-JP"/>
        </w:rPr>
        <w:t>average</w:t>
      </w:r>
      <w:r w:rsidR="00EA3735">
        <w:rPr>
          <w:lang w:eastAsia="ja-JP"/>
        </w:rPr>
        <w:t xml:space="preserve"> scenario are lower than those in </w:t>
      </w:r>
      <w:r w:rsidR="00AC5513">
        <w:rPr>
          <w:lang w:eastAsia="ja-JP"/>
        </w:rPr>
        <w:t>2018–19</w:t>
      </w:r>
      <w:r w:rsidR="00EA3735">
        <w:rPr>
          <w:lang w:eastAsia="ja-JP"/>
        </w:rPr>
        <w:t xml:space="preserve"> (down to </w:t>
      </w:r>
      <w:r w:rsidR="00DF4714">
        <w:rPr>
          <w:lang w:eastAsia="ja-JP"/>
        </w:rPr>
        <w:t xml:space="preserve">$288 per </w:t>
      </w:r>
      <w:r w:rsidR="00EA3735">
        <w:rPr>
          <w:lang w:eastAsia="ja-JP"/>
        </w:rPr>
        <w:t>ML</w:t>
      </w:r>
      <w:r w:rsidR="00CF4380">
        <w:rPr>
          <w:lang w:eastAsia="ja-JP"/>
        </w:rPr>
        <w:t xml:space="preserve"> in NSW Murray</w:t>
      </w:r>
      <w:r w:rsidR="00EA3735">
        <w:rPr>
          <w:lang w:eastAsia="ja-JP"/>
        </w:rPr>
        <w:t xml:space="preserve">), due mostly to the assumed higher rainfall and its effect on irrigation crop requirements (relative to the drought conditions of </w:t>
      </w:r>
      <w:r w:rsidR="00AC5513">
        <w:rPr>
          <w:lang w:eastAsia="ja-JP"/>
        </w:rPr>
        <w:t>2018–19</w:t>
      </w:r>
      <w:r w:rsidR="00EA3735">
        <w:rPr>
          <w:lang w:eastAsia="ja-JP"/>
        </w:rPr>
        <w:t>)</w:t>
      </w:r>
      <w:r w:rsidR="00B13971">
        <w:rPr>
          <w:lang w:eastAsia="ja-JP"/>
        </w:rPr>
        <w:t>.</w:t>
      </w:r>
    </w:p>
    <w:p w:rsidR="00CF4380" w:rsidRDefault="00CF4380" w:rsidP="00CF4380">
      <w:pPr>
        <w:pStyle w:val="Heading5"/>
        <w:rPr>
          <w:lang w:eastAsia="ja-JP"/>
        </w:rPr>
      </w:pPr>
      <w:r>
        <w:rPr>
          <w:lang w:eastAsia="ja-JP"/>
        </w:rPr>
        <w:t>Prices under the wet seasonal conditions scenario</w:t>
      </w:r>
    </w:p>
    <w:p w:rsidR="00CF4380" w:rsidRDefault="00EA3735" w:rsidP="00EA3735">
      <w:pPr>
        <w:rPr>
          <w:lang w:eastAsia="ja-JP"/>
        </w:rPr>
      </w:pPr>
      <w:r>
        <w:rPr>
          <w:lang w:eastAsia="ja-JP"/>
        </w:rPr>
        <w:t xml:space="preserve">Under the </w:t>
      </w:r>
      <w:r w:rsidR="00AC5513" w:rsidRPr="00AC5513">
        <w:rPr>
          <w:i/>
          <w:lang w:eastAsia="ja-JP"/>
        </w:rPr>
        <w:t>wet</w:t>
      </w:r>
      <w:r>
        <w:rPr>
          <w:lang w:eastAsia="ja-JP"/>
        </w:rPr>
        <w:t xml:space="preserve"> scenario water prices are modelled at around </w:t>
      </w:r>
      <w:r w:rsidR="00DF4714">
        <w:rPr>
          <w:lang w:eastAsia="ja-JP"/>
        </w:rPr>
        <w:t>$</w:t>
      </w:r>
      <w:r>
        <w:rPr>
          <w:lang w:eastAsia="ja-JP"/>
        </w:rPr>
        <w:t>190</w:t>
      </w:r>
      <w:r w:rsidR="00DF4714">
        <w:rPr>
          <w:lang w:eastAsia="ja-JP"/>
        </w:rPr>
        <w:t xml:space="preserve"> per</w:t>
      </w:r>
      <w:r>
        <w:rPr>
          <w:lang w:eastAsia="ja-JP"/>
        </w:rPr>
        <w:t xml:space="preserve"> ML. </w:t>
      </w:r>
      <w:r w:rsidR="00CF4380">
        <w:rPr>
          <w:lang w:eastAsia="ja-JP"/>
        </w:rPr>
        <w:t xml:space="preserve">This is primarily driven by higher rainfall and significantly higher allocations in NSW (ABARES assumed NSW general security allocations reach 50 per cent). </w:t>
      </w:r>
    </w:p>
    <w:p w:rsidR="00EA3735" w:rsidRDefault="00CF4380" w:rsidP="00EA3735">
      <w:pPr>
        <w:rPr>
          <w:lang w:eastAsia="ja-JP"/>
        </w:rPr>
      </w:pPr>
      <w:r>
        <w:rPr>
          <w:lang w:eastAsia="ja-JP"/>
        </w:rPr>
        <w:t>A</w:t>
      </w:r>
      <w:r w:rsidR="00EA3735">
        <w:rPr>
          <w:lang w:eastAsia="ja-JP"/>
        </w:rPr>
        <w:t xml:space="preserve">llocation prices below this level also remain a possibility. At this stage there is still potential for the 2019 winter to see a shift to wetter conditions (beyond those assumed in the </w:t>
      </w:r>
      <w:r w:rsidR="00AC5513" w:rsidRPr="00AC5513">
        <w:rPr>
          <w:i/>
          <w:lang w:eastAsia="ja-JP"/>
        </w:rPr>
        <w:t>wet</w:t>
      </w:r>
      <w:r w:rsidR="00EA3735">
        <w:rPr>
          <w:lang w:eastAsia="ja-JP"/>
        </w:rPr>
        <w:t xml:space="preserve"> scenario) in which case allocation prices could fall significantly, as they did for example in 2016</w:t>
      </w:r>
      <w:r w:rsidR="00AC5513">
        <w:rPr>
          <w:lang w:eastAsia="ja-JP"/>
        </w:rPr>
        <w:t>–</w:t>
      </w:r>
      <w:r w:rsidR="00EA3735">
        <w:rPr>
          <w:lang w:eastAsia="ja-JP"/>
        </w:rPr>
        <w:t>17.</w:t>
      </w:r>
    </w:p>
    <w:p w:rsidR="00CF4380" w:rsidRDefault="00CF4380" w:rsidP="00CF4380">
      <w:pPr>
        <w:pStyle w:val="Heading5"/>
        <w:rPr>
          <w:lang w:eastAsia="ja-JP"/>
        </w:rPr>
      </w:pPr>
      <w:r>
        <w:rPr>
          <w:lang w:eastAsia="ja-JP"/>
        </w:rPr>
        <w:t>Price gaps between the Murrumbidgee and the Murray</w:t>
      </w:r>
    </w:p>
    <w:p w:rsidR="00DE1E00" w:rsidRDefault="00CF4380" w:rsidP="00EA3735">
      <w:pPr>
        <w:rPr>
          <w:lang w:eastAsia="ja-JP"/>
        </w:rPr>
      </w:pPr>
      <w:r>
        <w:rPr>
          <w:lang w:eastAsia="ja-JP"/>
        </w:rPr>
        <w:t xml:space="preserve">As shown in </w:t>
      </w:r>
      <w:r w:rsidR="00EA3735">
        <w:rPr>
          <w:highlight w:val="yellow"/>
          <w:lang w:eastAsia="ja-JP"/>
        </w:rPr>
        <w:fldChar w:fldCharType="begin"/>
      </w:r>
      <w:r w:rsidR="00EA3735">
        <w:rPr>
          <w:lang w:eastAsia="ja-JP"/>
        </w:rPr>
        <w:instrText xml:space="preserve"> REF _Ref2007775 \h </w:instrText>
      </w:r>
      <w:r w:rsidR="00EA3735">
        <w:rPr>
          <w:highlight w:val="yellow"/>
          <w:lang w:eastAsia="ja-JP"/>
        </w:rPr>
      </w:r>
      <w:r w:rsidR="00EA3735">
        <w:rPr>
          <w:highlight w:val="yellow"/>
          <w:lang w:eastAsia="ja-JP"/>
        </w:rPr>
        <w:fldChar w:fldCharType="separate"/>
      </w:r>
      <w:r w:rsidR="002D7E7D">
        <w:t xml:space="preserve">Table </w:t>
      </w:r>
      <w:r w:rsidR="002D7E7D">
        <w:rPr>
          <w:noProof/>
        </w:rPr>
        <w:t>1</w:t>
      </w:r>
      <w:r w:rsidR="00EA3735">
        <w:rPr>
          <w:highlight w:val="yellow"/>
          <w:lang w:eastAsia="ja-JP"/>
        </w:rPr>
        <w:fldChar w:fldCharType="end"/>
      </w:r>
      <w:r>
        <w:rPr>
          <w:lang w:eastAsia="ja-JP"/>
        </w:rPr>
        <w:t>, in 2</w:t>
      </w:r>
      <w:r w:rsidR="00AC5513">
        <w:rPr>
          <w:lang w:eastAsia="ja-JP"/>
        </w:rPr>
        <w:t>019–20</w:t>
      </w:r>
      <w:r w:rsidR="00EA3735">
        <w:rPr>
          <w:lang w:eastAsia="ja-JP"/>
        </w:rPr>
        <w:t xml:space="preserve"> Murrumbidgee prices are </w:t>
      </w:r>
      <w:r w:rsidR="00B90FC9">
        <w:rPr>
          <w:lang w:eastAsia="ja-JP"/>
        </w:rPr>
        <w:t>estimated</w:t>
      </w:r>
      <w:r w:rsidR="00EA3735">
        <w:rPr>
          <w:lang w:eastAsia="ja-JP"/>
        </w:rPr>
        <w:t xml:space="preserve"> to be higher </w:t>
      </w:r>
      <w:r>
        <w:rPr>
          <w:lang w:eastAsia="ja-JP"/>
        </w:rPr>
        <w:t xml:space="preserve">than the Murray </w:t>
      </w:r>
      <w:r w:rsidR="00EA3735">
        <w:rPr>
          <w:lang w:eastAsia="ja-JP"/>
        </w:rPr>
        <w:t xml:space="preserve">in the </w:t>
      </w:r>
      <w:r w:rsidR="00AC5513" w:rsidRPr="00AC5513">
        <w:rPr>
          <w:i/>
          <w:lang w:eastAsia="ja-JP"/>
        </w:rPr>
        <w:t>dry</w:t>
      </w:r>
      <w:r w:rsidR="00EA3735">
        <w:rPr>
          <w:lang w:eastAsia="ja-JP"/>
        </w:rPr>
        <w:t xml:space="preserve"> and </w:t>
      </w:r>
      <w:r w:rsidR="00EA3735" w:rsidRPr="00DF4714">
        <w:rPr>
          <w:i/>
          <w:lang w:eastAsia="ja-JP"/>
        </w:rPr>
        <w:t>average</w:t>
      </w:r>
      <w:r>
        <w:rPr>
          <w:lang w:eastAsia="ja-JP"/>
        </w:rPr>
        <w:t xml:space="preserve"> scenario</w:t>
      </w:r>
      <w:r w:rsidR="00B90FC9">
        <w:rPr>
          <w:lang w:eastAsia="ja-JP"/>
        </w:rPr>
        <w:t>s</w:t>
      </w:r>
      <w:r>
        <w:rPr>
          <w:lang w:eastAsia="ja-JP"/>
        </w:rPr>
        <w:t>. This is because in these scenarios, seasonal condit</w:t>
      </w:r>
      <w:r w:rsidR="00181CB8">
        <w:rPr>
          <w:lang w:eastAsia="ja-JP"/>
        </w:rPr>
        <w:t xml:space="preserve">ions and allocation levels are lower </w:t>
      </w:r>
      <w:r>
        <w:rPr>
          <w:lang w:eastAsia="ja-JP"/>
        </w:rPr>
        <w:t xml:space="preserve">in the Murrumbidgee </w:t>
      </w:r>
      <w:r w:rsidR="00181CB8">
        <w:rPr>
          <w:lang w:eastAsia="ja-JP"/>
        </w:rPr>
        <w:t xml:space="preserve">(compared to the </w:t>
      </w:r>
      <w:r w:rsidR="00181CB8">
        <w:rPr>
          <w:i/>
          <w:lang w:eastAsia="ja-JP"/>
        </w:rPr>
        <w:t xml:space="preserve">wet </w:t>
      </w:r>
      <w:r w:rsidR="00181CB8">
        <w:rPr>
          <w:lang w:eastAsia="ja-JP"/>
        </w:rPr>
        <w:t xml:space="preserve">scenario) </w:t>
      </w:r>
      <w:r>
        <w:rPr>
          <w:lang w:eastAsia="ja-JP"/>
        </w:rPr>
        <w:t xml:space="preserve">leading to greater demand for water. However, the binding Inter-Valley Trade </w:t>
      </w:r>
      <w:r w:rsidR="002D7E7D">
        <w:rPr>
          <w:lang w:eastAsia="ja-JP"/>
        </w:rPr>
        <w:t xml:space="preserve">(IVT) </w:t>
      </w:r>
      <w:r>
        <w:rPr>
          <w:lang w:eastAsia="ja-JP"/>
        </w:rPr>
        <w:t>limit restricts the volume of water that can be imported into this region, leading to higher prices and a gap between the Murrumbidgee and Murray water price. Nevertheless, in t</w:t>
      </w:r>
      <w:r w:rsidR="00EA3735">
        <w:rPr>
          <w:lang w:eastAsia="ja-JP"/>
        </w:rPr>
        <w:t xml:space="preserve">he </w:t>
      </w:r>
      <w:r w:rsidR="00AC5513" w:rsidRPr="00AC5513">
        <w:rPr>
          <w:i/>
          <w:lang w:eastAsia="ja-JP"/>
        </w:rPr>
        <w:t>wet</w:t>
      </w:r>
      <w:r w:rsidR="00EA3735">
        <w:rPr>
          <w:lang w:eastAsia="ja-JP"/>
        </w:rPr>
        <w:t xml:space="preserve"> scenario</w:t>
      </w:r>
      <w:r>
        <w:rPr>
          <w:lang w:eastAsia="ja-JP"/>
        </w:rPr>
        <w:t>,</w:t>
      </w:r>
      <w:r w:rsidR="00EA3735">
        <w:rPr>
          <w:lang w:eastAsia="ja-JP"/>
        </w:rPr>
        <w:t xml:space="preserve"> the Murrumbidgee shifts to become a net exporter of water, </w:t>
      </w:r>
      <w:r w:rsidR="00B90FC9">
        <w:rPr>
          <w:lang w:eastAsia="ja-JP"/>
        </w:rPr>
        <w:t>equalising</w:t>
      </w:r>
      <w:r w:rsidR="00EA3735">
        <w:rPr>
          <w:lang w:eastAsia="ja-JP"/>
        </w:rPr>
        <w:t xml:space="preserve"> water price</w:t>
      </w:r>
      <w:r>
        <w:rPr>
          <w:lang w:eastAsia="ja-JP"/>
        </w:rPr>
        <w:t>s</w:t>
      </w:r>
      <w:r w:rsidR="00EA3735">
        <w:rPr>
          <w:lang w:eastAsia="ja-JP"/>
        </w:rPr>
        <w:t xml:space="preserve"> across the sMDB. </w:t>
      </w:r>
    </w:p>
    <w:p w:rsidR="001340AE" w:rsidRPr="001340AE" w:rsidRDefault="00CF4380" w:rsidP="001340AE">
      <w:pPr>
        <w:rPr>
          <w:lang w:eastAsia="ja-JP"/>
        </w:rPr>
      </w:pPr>
      <w:r>
        <w:rPr>
          <w:lang w:eastAsia="ja-JP"/>
        </w:rPr>
        <w:t>It is important to note that g</w:t>
      </w:r>
      <w:r w:rsidR="00EA3735">
        <w:rPr>
          <w:lang w:eastAsia="ja-JP"/>
        </w:rPr>
        <w:t xml:space="preserve">iven the outlook for </w:t>
      </w:r>
      <w:r w:rsidR="00AC5513">
        <w:rPr>
          <w:lang w:eastAsia="ja-JP"/>
        </w:rPr>
        <w:t>2019–20</w:t>
      </w:r>
      <w:r w:rsidR="00EA3735">
        <w:rPr>
          <w:lang w:eastAsia="ja-JP"/>
        </w:rPr>
        <w:t xml:space="preserve"> carryover and the IVT trade limits, there remains some upside risk for Murrumbidgee w</w:t>
      </w:r>
      <w:r w:rsidR="00536A10">
        <w:rPr>
          <w:lang w:eastAsia="ja-JP"/>
        </w:rPr>
        <w:t xml:space="preserve">ater allocation prices under a </w:t>
      </w:r>
      <w:r w:rsidR="00AC5513" w:rsidRPr="00AC5513">
        <w:rPr>
          <w:i/>
          <w:lang w:eastAsia="ja-JP"/>
        </w:rPr>
        <w:t>dry</w:t>
      </w:r>
      <w:r>
        <w:rPr>
          <w:lang w:eastAsia="ja-JP"/>
        </w:rPr>
        <w:t xml:space="preserve"> scenario. Particularly since in this region</w:t>
      </w:r>
      <w:r w:rsidR="00EA3735">
        <w:rPr>
          <w:lang w:eastAsia="ja-JP"/>
        </w:rPr>
        <w:t xml:space="preserve">, the </w:t>
      </w:r>
      <w:r w:rsidR="00AC5513">
        <w:rPr>
          <w:lang w:eastAsia="ja-JP"/>
        </w:rPr>
        <w:t>2019–20</w:t>
      </w:r>
      <w:r w:rsidR="00EA3735">
        <w:rPr>
          <w:lang w:eastAsia="ja-JP"/>
        </w:rPr>
        <w:t xml:space="preserve"> </w:t>
      </w:r>
      <w:r w:rsidR="00AC5513" w:rsidRPr="00AC5513">
        <w:rPr>
          <w:i/>
          <w:lang w:eastAsia="ja-JP"/>
        </w:rPr>
        <w:t>dry</w:t>
      </w:r>
      <w:r w:rsidR="00EA3735">
        <w:rPr>
          <w:lang w:eastAsia="ja-JP"/>
        </w:rPr>
        <w:t xml:space="preserve"> scenario would see water availability fall below that recorded during the worst of the Millennium drought.</w:t>
      </w:r>
    </w:p>
    <w:p w:rsidR="0053623B" w:rsidRDefault="001340AE" w:rsidP="001340AE">
      <w:pPr>
        <w:pStyle w:val="Heading2"/>
        <w:numPr>
          <w:ilvl w:val="0"/>
          <w:numId w:val="0"/>
        </w:numPr>
        <w:ind w:left="720" w:hanging="720"/>
      </w:pPr>
      <w:bookmarkStart w:id="20" w:name="_Toc2246933"/>
      <w:r>
        <w:lastRenderedPageBreak/>
        <w:t>Long term water market outlook</w:t>
      </w:r>
      <w:bookmarkEnd w:id="20"/>
    </w:p>
    <w:p w:rsidR="00EA3735" w:rsidRPr="004801D6" w:rsidRDefault="00EA3735" w:rsidP="00EA3735">
      <w:pPr>
        <w:rPr>
          <w:lang w:eastAsia="ja-JP"/>
        </w:rPr>
      </w:pPr>
      <w:r>
        <w:rPr>
          <w:lang w:eastAsia="ja-JP"/>
        </w:rPr>
        <w:t>Over the last decade, the sMDB water market has seen some significant structural changes</w:t>
      </w:r>
      <w:r w:rsidR="00B90FC9">
        <w:rPr>
          <w:lang w:eastAsia="ja-JP"/>
        </w:rPr>
        <w:t>.</w:t>
      </w:r>
      <w:r>
        <w:rPr>
          <w:lang w:eastAsia="ja-JP"/>
        </w:rPr>
        <w:t xml:space="preserve"> </w:t>
      </w:r>
      <w:r w:rsidR="00B90FC9">
        <w:rPr>
          <w:lang w:eastAsia="ja-JP"/>
        </w:rPr>
        <w:t>This includes</w:t>
      </w:r>
      <w:r>
        <w:rPr>
          <w:lang w:eastAsia="ja-JP"/>
        </w:rPr>
        <w:t xml:space="preserve"> growth in water demand </w:t>
      </w:r>
      <w:r w:rsidR="00CC623E">
        <w:rPr>
          <w:lang w:eastAsia="ja-JP"/>
        </w:rPr>
        <w:t xml:space="preserve">for </w:t>
      </w:r>
      <w:r>
        <w:rPr>
          <w:lang w:eastAsia="ja-JP"/>
        </w:rPr>
        <w:t xml:space="preserve">cotton and almonds, reductions in water demand </w:t>
      </w:r>
      <w:r w:rsidR="00CC623E">
        <w:rPr>
          <w:lang w:eastAsia="ja-JP"/>
        </w:rPr>
        <w:t xml:space="preserve">for </w:t>
      </w:r>
      <w:r>
        <w:rPr>
          <w:lang w:eastAsia="ja-JP"/>
        </w:rPr>
        <w:t xml:space="preserve">pasture (dairy) and rice, water recovery activity related to the Murray Darling Basin plan, along with changes in inter-regional trading and carryover limits. The ABARES report </w:t>
      </w:r>
      <w:hyperlink r:id="rId22" w:anchor="download-report" w:history="1">
        <w:r w:rsidRPr="00536A10">
          <w:rPr>
            <w:rStyle w:val="Hyperlink"/>
            <w:i/>
            <w:lang w:eastAsia="ja-JP"/>
          </w:rPr>
          <w:t>Future scenarios for the southern Murray Darling Basin</w:t>
        </w:r>
      </w:hyperlink>
      <w:r>
        <w:rPr>
          <w:i/>
          <w:lang w:eastAsia="ja-JP"/>
        </w:rPr>
        <w:t xml:space="preserve"> </w:t>
      </w:r>
      <w:r w:rsidR="00536A10">
        <w:rPr>
          <w:lang w:eastAsia="ja-JP"/>
        </w:rPr>
        <w:t xml:space="preserve">(Gupta and Hughes 2018) </w:t>
      </w:r>
      <w:r>
        <w:rPr>
          <w:lang w:eastAsia="ja-JP"/>
        </w:rPr>
        <w:t>provides long-term scenarios for the sMDB, which estimate potential future allocation prices, under a repeat of historical climate conditions, but with current (as at 2016</w:t>
      </w:r>
      <w:r w:rsidR="00AC5513">
        <w:rPr>
          <w:lang w:eastAsia="ja-JP"/>
        </w:rPr>
        <w:t>–</w:t>
      </w:r>
      <w:r>
        <w:rPr>
          <w:lang w:eastAsia="ja-JP"/>
        </w:rPr>
        <w:t>17) levels of water demand, water recovery and market rules.</w:t>
      </w:r>
    </w:p>
    <w:p w:rsidR="001340AE" w:rsidRDefault="00A630E5" w:rsidP="001340AE">
      <w:pPr>
        <w:rPr>
          <w:lang w:eastAsia="ja-JP"/>
        </w:rPr>
      </w:pPr>
      <w:r>
        <w:rPr>
          <w:highlight w:val="yellow"/>
          <w:lang w:eastAsia="ja-JP"/>
        </w:rPr>
        <w:fldChar w:fldCharType="begin"/>
      </w:r>
      <w:r>
        <w:rPr>
          <w:lang w:eastAsia="ja-JP"/>
        </w:rPr>
        <w:instrText xml:space="preserve"> REF _Ref1984615 \h </w:instrText>
      </w:r>
      <w:r>
        <w:rPr>
          <w:highlight w:val="yellow"/>
          <w:lang w:eastAsia="ja-JP"/>
        </w:rPr>
      </w:r>
      <w:r>
        <w:rPr>
          <w:highlight w:val="yellow"/>
          <w:lang w:eastAsia="ja-JP"/>
        </w:rPr>
        <w:fldChar w:fldCharType="separate"/>
      </w:r>
      <w:r w:rsidR="002D7E7D">
        <w:t xml:space="preserve">Figure </w:t>
      </w:r>
      <w:r w:rsidR="002D7E7D">
        <w:rPr>
          <w:noProof/>
        </w:rPr>
        <w:t>6</w:t>
      </w:r>
      <w:r>
        <w:rPr>
          <w:highlight w:val="yellow"/>
          <w:lang w:eastAsia="ja-JP"/>
        </w:rPr>
        <w:fldChar w:fldCharType="end"/>
      </w:r>
      <w:r>
        <w:rPr>
          <w:lang w:eastAsia="ja-JP"/>
        </w:rPr>
        <w:t xml:space="preserve"> </w:t>
      </w:r>
      <w:r w:rsidR="001340AE">
        <w:rPr>
          <w:lang w:eastAsia="ja-JP"/>
        </w:rPr>
        <w:t>presents some results from that report, showing the estimated changes in water demand between 2002</w:t>
      </w:r>
      <w:r w:rsidR="00AC5513">
        <w:rPr>
          <w:lang w:eastAsia="ja-JP"/>
        </w:rPr>
        <w:t>–</w:t>
      </w:r>
      <w:r w:rsidR="001340AE">
        <w:rPr>
          <w:lang w:eastAsia="ja-JP"/>
        </w:rPr>
        <w:t>03 and 2016</w:t>
      </w:r>
      <w:r w:rsidR="00AC5513">
        <w:rPr>
          <w:lang w:eastAsia="ja-JP"/>
        </w:rPr>
        <w:t>–</w:t>
      </w:r>
      <w:r w:rsidR="001340AE">
        <w:rPr>
          <w:lang w:eastAsia="ja-JP"/>
        </w:rPr>
        <w:t>17 in the sMDB. Significant growth in water demand has been observed in the Vic. Murray</w:t>
      </w:r>
      <w:r w:rsidR="00EA3735">
        <w:rPr>
          <w:lang w:eastAsia="ja-JP"/>
        </w:rPr>
        <w:t xml:space="preserve"> region due to an expansion of almond plantings</w:t>
      </w:r>
      <w:r w:rsidR="001340AE">
        <w:rPr>
          <w:lang w:eastAsia="ja-JP"/>
        </w:rPr>
        <w:t xml:space="preserve">, </w:t>
      </w:r>
      <w:r w:rsidR="00EA3735">
        <w:rPr>
          <w:lang w:eastAsia="ja-JP"/>
        </w:rPr>
        <w:t xml:space="preserve">while </w:t>
      </w:r>
      <w:r w:rsidR="001340AE">
        <w:rPr>
          <w:lang w:eastAsia="ja-JP"/>
        </w:rPr>
        <w:t>decreases have been observed in other regions including the Murrumbidgee. The report also presents a sensitivity scenario allowing for additional growth in horticultural wat</w:t>
      </w:r>
      <w:r w:rsidR="00536A10">
        <w:rPr>
          <w:lang w:eastAsia="ja-JP"/>
        </w:rPr>
        <w:t>er demand, as recently planted a</w:t>
      </w:r>
      <w:r w:rsidR="001340AE">
        <w:rPr>
          <w:lang w:eastAsia="ja-JP"/>
        </w:rPr>
        <w:t xml:space="preserve">lmond </w:t>
      </w:r>
      <w:r w:rsidR="00536A10">
        <w:rPr>
          <w:lang w:eastAsia="ja-JP"/>
        </w:rPr>
        <w:t>trees</w:t>
      </w:r>
      <w:r w:rsidR="001340AE">
        <w:rPr>
          <w:lang w:eastAsia="ja-JP"/>
        </w:rPr>
        <w:t xml:space="preserve"> mature (</w:t>
      </w:r>
      <w:r>
        <w:rPr>
          <w:highlight w:val="yellow"/>
          <w:lang w:eastAsia="ja-JP"/>
        </w:rPr>
        <w:fldChar w:fldCharType="begin"/>
      </w:r>
      <w:r>
        <w:rPr>
          <w:lang w:eastAsia="ja-JP"/>
        </w:rPr>
        <w:instrText xml:space="preserve"> REF _Ref1984629 \h </w:instrText>
      </w:r>
      <w:r>
        <w:rPr>
          <w:highlight w:val="yellow"/>
          <w:lang w:eastAsia="ja-JP"/>
        </w:rPr>
      </w:r>
      <w:r>
        <w:rPr>
          <w:highlight w:val="yellow"/>
          <w:lang w:eastAsia="ja-JP"/>
        </w:rPr>
        <w:fldChar w:fldCharType="separate"/>
      </w:r>
      <w:r w:rsidR="002D7E7D">
        <w:t xml:space="preserve">Figure </w:t>
      </w:r>
      <w:r w:rsidR="002D7E7D">
        <w:rPr>
          <w:noProof/>
        </w:rPr>
        <w:t>7</w:t>
      </w:r>
      <w:r>
        <w:rPr>
          <w:highlight w:val="yellow"/>
          <w:lang w:eastAsia="ja-JP"/>
        </w:rPr>
        <w:fldChar w:fldCharType="end"/>
      </w:r>
      <w:r w:rsidR="001340AE">
        <w:rPr>
          <w:lang w:eastAsia="ja-JP"/>
        </w:rPr>
        <w:t>).</w:t>
      </w:r>
      <w:r w:rsidR="00B13971">
        <w:rPr>
          <w:lang w:eastAsia="ja-JP"/>
        </w:rPr>
        <w:t xml:space="preserve"> </w:t>
      </w:r>
      <w:r w:rsidR="001340AE">
        <w:rPr>
          <w:lang w:eastAsia="ja-JP"/>
        </w:rPr>
        <w:t xml:space="preserve">ABARES </w:t>
      </w:r>
      <w:r w:rsidR="00DE1E00">
        <w:rPr>
          <w:lang w:eastAsia="ja-JP"/>
        </w:rPr>
        <w:t xml:space="preserve">latest </w:t>
      </w:r>
      <w:r w:rsidR="001340AE">
        <w:rPr>
          <w:lang w:eastAsia="ja-JP"/>
        </w:rPr>
        <w:t>analysis suggests that water demand in the Vic</w:t>
      </w:r>
      <w:r w:rsidR="00ED66F4">
        <w:rPr>
          <w:lang w:eastAsia="ja-JP"/>
        </w:rPr>
        <w:t>.</w:t>
      </w:r>
      <w:r w:rsidR="001340AE">
        <w:rPr>
          <w:lang w:eastAsia="ja-JP"/>
        </w:rPr>
        <w:t xml:space="preserve"> Murray has increased since 2016</w:t>
      </w:r>
      <w:r w:rsidR="00AC5513">
        <w:rPr>
          <w:lang w:eastAsia="ja-JP"/>
        </w:rPr>
        <w:t>–</w:t>
      </w:r>
      <w:r w:rsidR="001340AE">
        <w:rPr>
          <w:lang w:eastAsia="ja-JP"/>
        </w:rPr>
        <w:t xml:space="preserve">17, however this growth appears to be within the bounds of </w:t>
      </w:r>
      <w:r w:rsidR="00EA3735">
        <w:rPr>
          <w:lang w:eastAsia="ja-JP"/>
        </w:rPr>
        <w:t>the previously</w:t>
      </w:r>
      <w:r w:rsidR="001340AE">
        <w:rPr>
          <w:lang w:eastAsia="ja-JP"/>
        </w:rPr>
        <w:t xml:space="preserve"> </w:t>
      </w:r>
      <w:r w:rsidR="00EA3735">
        <w:rPr>
          <w:lang w:eastAsia="ja-JP"/>
        </w:rPr>
        <w:t>reported</w:t>
      </w:r>
      <w:r w:rsidR="001340AE">
        <w:rPr>
          <w:lang w:eastAsia="ja-JP"/>
        </w:rPr>
        <w:t xml:space="preserve"> sensitivity scenario. </w:t>
      </w:r>
    </w:p>
    <w:p w:rsidR="00A630E5" w:rsidRDefault="00A630E5" w:rsidP="00A630E5">
      <w:pPr>
        <w:pStyle w:val="Caption"/>
        <w:rPr>
          <w:lang w:eastAsia="ja-JP"/>
        </w:rPr>
      </w:pPr>
      <w:bookmarkStart w:id="21" w:name="_Ref1984615"/>
      <w:bookmarkStart w:id="22" w:name="_Toc2246927"/>
      <w:r>
        <w:t xml:space="preserve">Figure </w:t>
      </w:r>
      <w:r w:rsidR="00F23E5D">
        <w:rPr>
          <w:noProof/>
        </w:rPr>
        <w:fldChar w:fldCharType="begin"/>
      </w:r>
      <w:r w:rsidR="00F23E5D">
        <w:rPr>
          <w:noProof/>
        </w:rPr>
        <w:instrText xml:space="preserve"> SEQ Figure \* ARABIC </w:instrText>
      </w:r>
      <w:r w:rsidR="00F23E5D">
        <w:rPr>
          <w:noProof/>
        </w:rPr>
        <w:fldChar w:fldCharType="separate"/>
      </w:r>
      <w:r w:rsidR="002D7E7D">
        <w:rPr>
          <w:noProof/>
        </w:rPr>
        <w:t>6</w:t>
      </w:r>
      <w:r w:rsidR="00F23E5D">
        <w:rPr>
          <w:noProof/>
        </w:rPr>
        <w:fldChar w:fldCharType="end"/>
      </w:r>
      <w:bookmarkEnd w:id="21"/>
      <w:r>
        <w:t xml:space="preserve"> Long-run changes in water </w:t>
      </w:r>
      <w:r w:rsidR="0051488C">
        <w:t>use (2002–03 compared w</w:t>
      </w:r>
      <w:r w:rsidR="00CC60E1">
        <w:t xml:space="preserve">ith 2016–17) at a price of $100 per </w:t>
      </w:r>
      <w:r w:rsidR="0051488C">
        <w:t>ML</w:t>
      </w:r>
      <w:r w:rsidR="00CC60E1">
        <w:t xml:space="preserve"> and average seasonal conditions</w:t>
      </w:r>
      <w:r w:rsidR="0051488C">
        <w:t>, by region</w:t>
      </w:r>
      <w:bookmarkEnd w:id="22"/>
    </w:p>
    <w:p w:rsidR="00436FF9" w:rsidRPr="00B90FC9" w:rsidRDefault="00B36CF2" w:rsidP="00B36CF2">
      <w:pPr>
        <w:pStyle w:val="Normalsmall"/>
        <w:rPr>
          <w:lang w:eastAsia="ja-JP"/>
        </w:rPr>
      </w:pPr>
      <w:r w:rsidRPr="00B36CF2">
        <w:rPr>
          <w:noProof/>
          <w:lang w:eastAsia="en-AU"/>
        </w:rPr>
        <w:drawing>
          <wp:inline distT="0" distB="0" distL="0" distR="0">
            <wp:extent cx="5247288" cy="316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20" b="1365"/>
                    <a:stretch/>
                  </pic:blipFill>
                  <pic:spPr bwMode="auto">
                    <a:xfrm>
                      <a:off x="0" y="0"/>
                      <a:ext cx="5247288" cy="3168000"/>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ja-JP"/>
        </w:rPr>
        <w:br/>
      </w:r>
      <w:r w:rsidR="00B90FC9" w:rsidRPr="00DF4714">
        <w:rPr>
          <w:b/>
          <w:lang w:eastAsia="ja-JP"/>
        </w:rPr>
        <w:t>Source:</w:t>
      </w:r>
      <w:r w:rsidR="00B90FC9">
        <w:rPr>
          <w:lang w:eastAsia="ja-JP"/>
        </w:rPr>
        <w:t xml:space="preserve"> Gupta and Hughes 2018</w:t>
      </w:r>
      <w:r w:rsidR="00B90FC9">
        <w:rPr>
          <w:b/>
          <w:lang w:eastAsia="ja-JP"/>
        </w:rPr>
        <w:br/>
      </w:r>
      <w:r w:rsidR="00436FF9" w:rsidRPr="00DF4714">
        <w:rPr>
          <w:b/>
          <w:lang w:eastAsia="ja-JP"/>
        </w:rPr>
        <w:t>Note:</w:t>
      </w:r>
      <w:r w:rsidR="00436FF9">
        <w:rPr>
          <w:lang w:eastAsia="ja-JP"/>
        </w:rPr>
        <w:t xml:space="preserve"> </w:t>
      </w:r>
      <w:r w:rsidR="00436FF9" w:rsidRPr="004B1453">
        <w:rPr>
          <w:b/>
          <w:lang w:eastAsia="ja-JP"/>
        </w:rPr>
        <w:t>a</w:t>
      </w:r>
      <w:r w:rsidR="00436FF9">
        <w:rPr>
          <w:lang w:eastAsia="ja-JP"/>
        </w:rPr>
        <w:t xml:space="preserve"> above</w:t>
      </w:r>
      <w:r w:rsidR="00EA3735">
        <w:rPr>
          <w:lang w:eastAsia="ja-JP"/>
        </w:rPr>
        <w:t xml:space="preserve"> Barmah</w:t>
      </w:r>
      <w:r w:rsidR="00436FF9">
        <w:rPr>
          <w:lang w:eastAsia="ja-JP"/>
        </w:rPr>
        <w:t xml:space="preserve">. </w:t>
      </w:r>
      <w:r w:rsidR="00436FF9" w:rsidRPr="004B1453">
        <w:rPr>
          <w:b/>
          <w:lang w:eastAsia="ja-JP"/>
        </w:rPr>
        <w:t>b</w:t>
      </w:r>
      <w:r w:rsidR="00436FF9">
        <w:rPr>
          <w:lang w:eastAsia="ja-JP"/>
        </w:rPr>
        <w:t xml:space="preserve"> below</w:t>
      </w:r>
      <w:r w:rsidR="00EA3735">
        <w:rPr>
          <w:lang w:eastAsia="ja-JP"/>
        </w:rPr>
        <w:t xml:space="preserve"> Barmah</w:t>
      </w:r>
      <w:r w:rsidR="00436FF9">
        <w:rPr>
          <w:lang w:eastAsia="ja-JP"/>
        </w:rPr>
        <w:t>.</w:t>
      </w:r>
      <w:r w:rsidR="00B90FC9">
        <w:rPr>
          <w:lang w:eastAsia="ja-JP"/>
        </w:rPr>
        <w:t xml:space="preserve"> </w:t>
      </w:r>
    </w:p>
    <w:p w:rsidR="00A630E5" w:rsidRDefault="00A630E5" w:rsidP="00A630E5">
      <w:pPr>
        <w:pStyle w:val="Caption"/>
        <w:rPr>
          <w:lang w:eastAsia="ja-JP"/>
        </w:rPr>
      </w:pPr>
      <w:bookmarkStart w:id="23" w:name="_Ref1984629"/>
      <w:bookmarkStart w:id="24" w:name="_Toc2246928"/>
      <w:r>
        <w:lastRenderedPageBreak/>
        <w:t xml:space="preserve">Figure </w:t>
      </w:r>
      <w:r w:rsidR="00F23E5D">
        <w:rPr>
          <w:noProof/>
        </w:rPr>
        <w:fldChar w:fldCharType="begin"/>
      </w:r>
      <w:r w:rsidR="00F23E5D">
        <w:rPr>
          <w:noProof/>
        </w:rPr>
        <w:instrText xml:space="preserve"> SEQ Figure \* ARABIC </w:instrText>
      </w:r>
      <w:r w:rsidR="00F23E5D">
        <w:rPr>
          <w:noProof/>
        </w:rPr>
        <w:fldChar w:fldCharType="separate"/>
      </w:r>
      <w:r w:rsidR="002D7E7D">
        <w:rPr>
          <w:noProof/>
        </w:rPr>
        <w:t>7</w:t>
      </w:r>
      <w:r w:rsidR="00F23E5D">
        <w:rPr>
          <w:noProof/>
        </w:rPr>
        <w:fldChar w:fldCharType="end"/>
      </w:r>
      <w:bookmarkEnd w:id="23"/>
      <w:r>
        <w:t xml:space="preserve"> </w:t>
      </w:r>
      <w:r w:rsidR="0051488C">
        <w:t>Long-run changes in water use (2002–03 compared w</w:t>
      </w:r>
      <w:r w:rsidR="00CC60E1">
        <w:t xml:space="preserve">ith 2016–17) at a price of $100 per </w:t>
      </w:r>
      <w:r w:rsidR="0051488C">
        <w:t>ML</w:t>
      </w:r>
      <w:r w:rsidR="00CC60E1">
        <w:t xml:space="preserve"> and average seasonal conditions</w:t>
      </w:r>
      <w:r w:rsidR="0051488C">
        <w:t>, by region</w:t>
      </w:r>
      <w:r>
        <w:t>: modelled demand increase</w:t>
      </w:r>
      <w:bookmarkEnd w:id="24"/>
    </w:p>
    <w:p w:rsidR="00EA3735" w:rsidRDefault="00B36CF2" w:rsidP="00181CB8">
      <w:pPr>
        <w:pStyle w:val="Normalsmall"/>
        <w:rPr>
          <w:lang w:eastAsia="ja-JP"/>
        </w:rPr>
      </w:pPr>
      <w:r w:rsidRPr="00B36CF2">
        <w:rPr>
          <w:noProof/>
          <w:lang w:eastAsia="en-AU"/>
        </w:rPr>
        <w:drawing>
          <wp:inline distT="0" distB="0" distL="0" distR="0">
            <wp:extent cx="5220984" cy="3168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79" b="1203"/>
                    <a:stretch/>
                  </pic:blipFill>
                  <pic:spPr bwMode="auto">
                    <a:xfrm>
                      <a:off x="0" y="0"/>
                      <a:ext cx="5220984" cy="3168000"/>
                    </a:xfrm>
                    <a:prstGeom prst="rect">
                      <a:avLst/>
                    </a:prstGeom>
                    <a:noFill/>
                    <a:ln>
                      <a:noFill/>
                    </a:ln>
                    <a:extLst>
                      <a:ext uri="{53640926-AAD7-44D8-BBD7-CCE9431645EC}">
                        <a14:shadowObscured xmlns:a14="http://schemas.microsoft.com/office/drawing/2010/main"/>
                      </a:ext>
                    </a:extLst>
                  </pic:spPr>
                </pic:pic>
              </a:graphicData>
            </a:graphic>
          </wp:inline>
        </w:drawing>
      </w:r>
      <w:r w:rsidR="00181CB8">
        <w:rPr>
          <w:lang w:eastAsia="ja-JP"/>
        </w:rPr>
        <w:br/>
      </w:r>
      <w:r w:rsidR="00B90FC9" w:rsidRPr="00DF4714">
        <w:rPr>
          <w:b/>
          <w:lang w:eastAsia="ja-JP"/>
        </w:rPr>
        <w:t>Source:</w:t>
      </w:r>
      <w:r w:rsidR="00B90FC9">
        <w:rPr>
          <w:lang w:eastAsia="ja-JP"/>
        </w:rPr>
        <w:t xml:space="preserve"> Gupta and Hughes 2018</w:t>
      </w:r>
      <w:r w:rsidR="00B90FC9">
        <w:rPr>
          <w:b/>
          <w:lang w:eastAsia="ja-JP"/>
        </w:rPr>
        <w:br/>
      </w:r>
      <w:r w:rsidR="00EA3735" w:rsidRPr="00DF4714">
        <w:rPr>
          <w:b/>
          <w:lang w:eastAsia="ja-JP"/>
        </w:rPr>
        <w:t>Note:</w:t>
      </w:r>
      <w:r w:rsidR="00EA3735">
        <w:rPr>
          <w:lang w:eastAsia="ja-JP"/>
        </w:rPr>
        <w:t xml:space="preserve"> </w:t>
      </w:r>
      <w:r w:rsidR="00EA3735" w:rsidRPr="004B1453">
        <w:rPr>
          <w:b/>
          <w:lang w:eastAsia="ja-JP"/>
        </w:rPr>
        <w:t>a</w:t>
      </w:r>
      <w:r w:rsidR="00EA3735">
        <w:rPr>
          <w:lang w:eastAsia="ja-JP"/>
        </w:rPr>
        <w:t xml:space="preserve"> above Barmah. </w:t>
      </w:r>
      <w:r w:rsidR="00EA3735" w:rsidRPr="004B1453">
        <w:rPr>
          <w:b/>
          <w:lang w:eastAsia="ja-JP"/>
        </w:rPr>
        <w:t>b</w:t>
      </w:r>
      <w:r w:rsidR="00EA3735">
        <w:rPr>
          <w:lang w:eastAsia="ja-JP"/>
        </w:rPr>
        <w:t xml:space="preserve"> below Barmah.</w:t>
      </w:r>
    </w:p>
    <w:p w:rsidR="00A630E5" w:rsidRDefault="00A630E5" w:rsidP="001340AE">
      <w:pPr>
        <w:rPr>
          <w:lang w:eastAsia="ja-JP"/>
        </w:rPr>
      </w:pPr>
      <w:r>
        <w:rPr>
          <w:highlight w:val="yellow"/>
          <w:lang w:eastAsia="ja-JP"/>
        </w:rPr>
        <w:fldChar w:fldCharType="begin"/>
      </w:r>
      <w:r>
        <w:rPr>
          <w:lang w:eastAsia="ja-JP"/>
        </w:rPr>
        <w:instrText xml:space="preserve"> REF _Ref1984673 \h </w:instrText>
      </w:r>
      <w:r>
        <w:rPr>
          <w:highlight w:val="yellow"/>
          <w:lang w:eastAsia="ja-JP"/>
        </w:rPr>
      </w:r>
      <w:r>
        <w:rPr>
          <w:highlight w:val="yellow"/>
          <w:lang w:eastAsia="ja-JP"/>
        </w:rPr>
        <w:fldChar w:fldCharType="separate"/>
      </w:r>
      <w:r w:rsidR="002D7E7D">
        <w:t xml:space="preserve">Figure </w:t>
      </w:r>
      <w:r w:rsidR="002D7E7D">
        <w:rPr>
          <w:noProof/>
        </w:rPr>
        <w:t>8</w:t>
      </w:r>
      <w:r>
        <w:rPr>
          <w:highlight w:val="yellow"/>
          <w:lang w:eastAsia="ja-JP"/>
        </w:rPr>
        <w:fldChar w:fldCharType="end"/>
      </w:r>
      <w:r w:rsidR="00524CBB">
        <w:rPr>
          <w:lang w:eastAsia="ja-JP"/>
        </w:rPr>
        <w:t xml:space="preserve"> </w:t>
      </w:r>
      <w:r w:rsidR="001340AE">
        <w:rPr>
          <w:lang w:eastAsia="ja-JP"/>
        </w:rPr>
        <w:t xml:space="preserve">compares the historical distribution of water allocation prices in the sMDB </w:t>
      </w:r>
      <w:r w:rsidR="00EA3735">
        <w:rPr>
          <w:lang w:eastAsia="ja-JP"/>
        </w:rPr>
        <w:t xml:space="preserve">with those estimated under current market conditions (but with historical climatic </w:t>
      </w:r>
      <w:r w:rsidR="00EA3735" w:rsidRPr="00536A10">
        <w:rPr>
          <w:lang w:eastAsia="ja-JP"/>
        </w:rPr>
        <w:t>conditions)</w:t>
      </w:r>
      <w:r w:rsidR="001340AE" w:rsidRPr="00536A10">
        <w:rPr>
          <w:lang w:eastAsia="ja-JP"/>
        </w:rPr>
        <w:t xml:space="preserve"> (</w:t>
      </w:r>
      <w:r w:rsidR="00EA3735" w:rsidRPr="00536A10">
        <w:rPr>
          <w:lang w:eastAsia="ja-JP"/>
        </w:rPr>
        <w:t xml:space="preserve">Scenario 4, in </w:t>
      </w:r>
      <w:r w:rsidR="00536A10">
        <w:rPr>
          <w:lang w:eastAsia="ja-JP"/>
        </w:rPr>
        <w:t>Gupta and Hughes 2018</w:t>
      </w:r>
      <w:r w:rsidR="001340AE" w:rsidRPr="00536A10">
        <w:rPr>
          <w:lang w:eastAsia="ja-JP"/>
        </w:rPr>
        <w:t>). These modelling results suggest a shift in the price distribution with fewe</w:t>
      </w:r>
      <w:r w:rsidR="001340AE">
        <w:rPr>
          <w:lang w:eastAsia="ja-JP"/>
        </w:rPr>
        <w:t xml:space="preserve">r years of lower prices, more years with moderate water prices, and a similar frequency of very high prices. However, these results </w:t>
      </w:r>
      <w:r w:rsidR="00EA3735">
        <w:rPr>
          <w:lang w:eastAsia="ja-JP"/>
        </w:rPr>
        <w:t>rely</w:t>
      </w:r>
      <w:r w:rsidR="001340AE">
        <w:rPr>
          <w:lang w:eastAsia="ja-JP"/>
        </w:rPr>
        <w:t xml:space="preserve"> on a limited climate sequence (2002</w:t>
      </w:r>
      <w:r w:rsidR="00F17467">
        <w:rPr>
          <w:lang w:eastAsia="ja-JP"/>
        </w:rPr>
        <w:t>–</w:t>
      </w:r>
      <w:r w:rsidR="001340AE">
        <w:rPr>
          <w:lang w:eastAsia="ja-JP"/>
        </w:rPr>
        <w:t>03 to 2016</w:t>
      </w:r>
      <w:r w:rsidR="00F17467">
        <w:rPr>
          <w:lang w:eastAsia="ja-JP"/>
        </w:rPr>
        <w:t>–</w:t>
      </w:r>
      <w:r w:rsidR="001340AE">
        <w:rPr>
          <w:lang w:eastAsia="ja-JP"/>
        </w:rPr>
        <w:t xml:space="preserve">17) which may not represent the full range of future conditions. </w:t>
      </w:r>
    </w:p>
    <w:p w:rsidR="00A630E5" w:rsidRPr="00A630E5" w:rsidRDefault="00A630E5" w:rsidP="00A630E5">
      <w:pPr>
        <w:pStyle w:val="Caption"/>
        <w:rPr>
          <w:b w:val="0"/>
          <w:lang w:eastAsia="ja-JP"/>
        </w:rPr>
      </w:pPr>
      <w:bookmarkStart w:id="25" w:name="_Ref1984673"/>
      <w:bookmarkStart w:id="26" w:name="_Toc2246929"/>
      <w:r>
        <w:t xml:space="preserve">Figure </w:t>
      </w:r>
      <w:r w:rsidR="00F23E5D">
        <w:rPr>
          <w:noProof/>
        </w:rPr>
        <w:fldChar w:fldCharType="begin"/>
      </w:r>
      <w:r w:rsidR="00F23E5D">
        <w:rPr>
          <w:noProof/>
        </w:rPr>
        <w:instrText xml:space="preserve"> SEQ Figure \* ARABIC </w:instrText>
      </w:r>
      <w:r w:rsidR="00F23E5D">
        <w:rPr>
          <w:noProof/>
        </w:rPr>
        <w:fldChar w:fldCharType="separate"/>
      </w:r>
      <w:r w:rsidR="002D7E7D">
        <w:rPr>
          <w:noProof/>
        </w:rPr>
        <w:t>8</w:t>
      </w:r>
      <w:r w:rsidR="00F23E5D">
        <w:rPr>
          <w:noProof/>
        </w:rPr>
        <w:fldChar w:fldCharType="end"/>
      </w:r>
      <w:bookmarkEnd w:id="25"/>
      <w:r>
        <w:t xml:space="preserve"> Historic versus </w:t>
      </w:r>
      <w:r w:rsidR="001446A7">
        <w:t>modelled</w:t>
      </w:r>
      <w:r w:rsidR="00EA3735">
        <w:t xml:space="preserve"> </w:t>
      </w:r>
      <w:r>
        <w:t xml:space="preserve">future </w:t>
      </w:r>
      <w:r w:rsidR="00EA3735">
        <w:t xml:space="preserve">water allocation </w:t>
      </w:r>
      <w:r>
        <w:t xml:space="preserve">price </w:t>
      </w:r>
      <w:r w:rsidR="00524CBB">
        <w:t>distributions</w:t>
      </w:r>
      <w:bookmarkEnd w:id="26"/>
    </w:p>
    <w:p w:rsidR="004329A2" w:rsidRPr="001340AE" w:rsidRDefault="00AF1CF1" w:rsidP="004329A2">
      <w:pPr>
        <w:pStyle w:val="Normalsmall"/>
        <w:rPr>
          <w:lang w:eastAsia="ja-JP"/>
        </w:rPr>
      </w:pPr>
      <w:r w:rsidRPr="00AF1CF1">
        <w:rPr>
          <w:noProof/>
          <w:lang w:eastAsia="en-AU"/>
        </w:rPr>
        <w:drawing>
          <wp:inline distT="0" distB="0" distL="0" distR="0">
            <wp:extent cx="5227036" cy="316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399" b="1678"/>
                    <a:stretch/>
                  </pic:blipFill>
                  <pic:spPr bwMode="auto">
                    <a:xfrm>
                      <a:off x="0" y="0"/>
                      <a:ext cx="5227036" cy="3168000"/>
                    </a:xfrm>
                    <a:prstGeom prst="rect">
                      <a:avLst/>
                    </a:prstGeom>
                    <a:noFill/>
                    <a:ln>
                      <a:noFill/>
                    </a:ln>
                    <a:extLst>
                      <a:ext uri="{53640926-AAD7-44D8-BBD7-CCE9431645EC}">
                        <a14:shadowObscured xmlns:a14="http://schemas.microsoft.com/office/drawing/2010/main"/>
                      </a:ext>
                    </a:extLst>
                  </pic:spPr>
                </pic:pic>
              </a:graphicData>
            </a:graphic>
          </wp:inline>
        </w:drawing>
      </w:r>
      <w:r w:rsidR="004329A2">
        <w:rPr>
          <w:lang w:eastAsia="ja-JP"/>
        </w:rPr>
        <w:br/>
      </w:r>
      <w:r w:rsidR="004329A2" w:rsidRPr="004329A2">
        <w:rPr>
          <w:b/>
          <w:lang w:eastAsia="ja-JP"/>
        </w:rPr>
        <w:t>Source:</w:t>
      </w:r>
      <w:r w:rsidR="004329A2">
        <w:rPr>
          <w:lang w:eastAsia="ja-JP"/>
        </w:rPr>
        <w:t xml:space="preserve"> ABARES</w:t>
      </w:r>
    </w:p>
    <w:p w:rsidR="0053623B" w:rsidRDefault="00F17467">
      <w:pPr>
        <w:pStyle w:val="Heading2"/>
        <w:numPr>
          <w:ilvl w:val="0"/>
          <w:numId w:val="0"/>
        </w:numPr>
        <w:ind w:left="709" w:hanging="709"/>
      </w:pPr>
      <w:bookmarkStart w:id="27" w:name="_Toc430782162"/>
      <w:bookmarkStart w:id="28" w:name="_Toc2246934"/>
      <w:r>
        <w:lastRenderedPageBreak/>
        <w:t>References</w:t>
      </w:r>
      <w:bookmarkEnd w:id="27"/>
      <w:bookmarkEnd w:id="28"/>
    </w:p>
    <w:p w:rsidR="005F290C" w:rsidRDefault="005F290C" w:rsidP="00F02AF3">
      <w:r>
        <w:t xml:space="preserve">ABARES, </w:t>
      </w:r>
      <w:hyperlink r:id="rId26" w:history="1">
        <w:r w:rsidRPr="005F290C">
          <w:rPr>
            <w:rStyle w:val="Hyperlink"/>
          </w:rPr>
          <w:t>Agricultural commodities: December quarter 2018</w:t>
        </w:r>
      </w:hyperlink>
      <w:r>
        <w:t>, Australian Bureau of Agricultural and Resource Economics and Sciences, accessed 22 February 2019.</w:t>
      </w:r>
    </w:p>
    <w:p w:rsidR="00F02AF3" w:rsidRDefault="00F02AF3" w:rsidP="00F02AF3">
      <w:r w:rsidRPr="00AA69DB">
        <w:t xml:space="preserve">ABS 2019, </w:t>
      </w:r>
      <w:hyperlink r:id="rId27" w:history="1">
        <w:r w:rsidRPr="00AA69DB">
          <w:rPr>
            <w:rStyle w:val="Hyperlink"/>
          </w:rPr>
          <w:t>Consumer price index, Australia, Dec 2018</w:t>
        </w:r>
      </w:hyperlink>
      <w:r w:rsidRPr="00AA69DB">
        <w:t>, cat. No. 6401.0, Australia Bureau of Statistics, Canberra, accessed 18 February 2019.</w:t>
      </w:r>
    </w:p>
    <w:p w:rsidR="00F02AF3" w:rsidRPr="00AA69DB" w:rsidRDefault="00F02AF3" w:rsidP="00F02AF3">
      <w:r w:rsidRPr="00AA69DB">
        <w:t xml:space="preserve">BOM, </w:t>
      </w:r>
      <w:hyperlink r:id="rId28" w:anchor="/water-markets/mdb/at" w:history="1">
        <w:r w:rsidRPr="00AA69DB">
          <w:rPr>
            <w:rStyle w:val="Hyperlink"/>
          </w:rPr>
          <w:t>Water information</w:t>
        </w:r>
      </w:hyperlink>
      <w:r w:rsidRPr="00AA69DB">
        <w:t>, Bureau of Meteorology, Victoria, accessed 14 January 2019.</w:t>
      </w:r>
    </w:p>
    <w:p w:rsidR="00F02AF3" w:rsidRDefault="00F02AF3" w:rsidP="00F02AF3">
      <w:r w:rsidRPr="00AA69DB">
        <w:t xml:space="preserve">GMW, </w:t>
      </w:r>
      <w:hyperlink r:id="rId29" w:history="1">
        <w:r w:rsidRPr="00AA69DB">
          <w:rPr>
            <w:rStyle w:val="Hyperlink"/>
          </w:rPr>
          <w:t>Storage levels</w:t>
        </w:r>
      </w:hyperlink>
      <w:r w:rsidRPr="00AA69DB">
        <w:t>, Goulburn-Murray Water, Victoria, accessed 14 January 2019.</w:t>
      </w:r>
    </w:p>
    <w:p w:rsidR="0037053A" w:rsidRPr="0037053A" w:rsidRDefault="0037053A" w:rsidP="0037053A">
      <w:r w:rsidRPr="0037053A">
        <w:t xml:space="preserve">Gupta, M, Hughes, N &amp; Wakerman Powell, Kai 2018, </w:t>
      </w:r>
      <w:r w:rsidRPr="0037053A">
        <w:rPr>
          <w:i/>
          <w:iCs/>
        </w:rPr>
        <w:t>A model for water trade and irrigation activity in the southern Murray-Darling Basin</w:t>
      </w:r>
      <w:r w:rsidRPr="0037053A">
        <w:t>, ABARES conference paper, Canberra, January.</w:t>
      </w:r>
    </w:p>
    <w:p w:rsidR="00EC2874" w:rsidRDefault="00EC2874">
      <w:r w:rsidRPr="00AA69DB">
        <w:t xml:space="preserve">Gupta, M &amp; Hughes, N 2018, </w:t>
      </w:r>
      <w:hyperlink r:id="rId30" w:anchor="download-report" w:history="1">
        <w:r w:rsidRPr="00AA69DB">
          <w:rPr>
            <w:rStyle w:val="Hyperlink"/>
            <w:i/>
            <w:iCs/>
          </w:rPr>
          <w:t>Future scenarios for the southern Murray–Darling Basin water market</w:t>
        </w:r>
      </w:hyperlink>
      <w:r w:rsidRPr="00AA69DB">
        <w:t>, ABARES research report, Canberra, August. CC BY 4.0.</w:t>
      </w:r>
    </w:p>
    <w:p w:rsidR="008A271F" w:rsidRDefault="008A271F" w:rsidP="008A271F">
      <w:r w:rsidRPr="00AA69DB">
        <w:t>NSW DPI,</w:t>
      </w:r>
      <w:r>
        <w:t xml:space="preserve"> 2018,</w:t>
      </w:r>
      <w:r w:rsidRPr="00AA69DB">
        <w:t xml:space="preserve"> </w:t>
      </w:r>
      <w:hyperlink r:id="rId31" w:history="1">
        <w:r>
          <w:rPr>
            <w:rStyle w:val="Hyperlink"/>
          </w:rPr>
          <w:t>Murrumbidgee valley, w</w:t>
        </w:r>
        <w:r w:rsidRPr="00AA69DB">
          <w:rPr>
            <w:rStyle w:val="Hyperlink"/>
          </w:rPr>
          <w:t xml:space="preserve">ater allocation statement (pdf </w:t>
        </w:r>
        <w:r>
          <w:rPr>
            <w:rStyle w:val="Hyperlink"/>
          </w:rPr>
          <w:t>154</w:t>
        </w:r>
        <w:r w:rsidRPr="00AA69DB">
          <w:rPr>
            <w:rStyle w:val="Hyperlink"/>
          </w:rPr>
          <w:t>kb)</w:t>
        </w:r>
      </w:hyperlink>
      <w:r w:rsidRPr="00AA69DB">
        <w:t>, N</w:t>
      </w:r>
      <w:r>
        <w:t xml:space="preserve">ew </w:t>
      </w:r>
      <w:r w:rsidRPr="00AA69DB">
        <w:t>S</w:t>
      </w:r>
      <w:r>
        <w:t xml:space="preserve">outh </w:t>
      </w:r>
      <w:r w:rsidRPr="00AA69DB">
        <w:t>W</w:t>
      </w:r>
      <w:r>
        <w:t>ales</w:t>
      </w:r>
      <w:r w:rsidRPr="00AA69DB">
        <w:t xml:space="preserve"> Department of Primary Industries, NSW.</w:t>
      </w:r>
    </w:p>
    <w:p w:rsidR="008A271F" w:rsidRDefault="008A271F" w:rsidP="008A271F">
      <w:r w:rsidRPr="00AA69DB">
        <w:t xml:space="preserve">NSW DPI, </w:t>
      </w:r>
      <w:r>
        <w:t xml:space="preserve">2018, </w:t>
      </w:r>
      <w:hyperlink r:id="rId32" w:history="1">
        <w:r>
          <w:rPr>
            <w:rStyle w:val="Hyperlink"/>
          </w:rPr>
          <w:t>NSW Murray and Lower Darling, w</w:t>
        </w:r>
        <w:r w:rsidRPr="00AA69DB">
          <w:rPr>
            <w:rStyle w:val="Hyperlink"/>
          </w:rPr>
          <w:t xml:space="preserve">ater allocation statement (pdf </w:t>
        </w:r>
        <w:r>
          <w:rPr>
            <w:rStyle w:val="Hyperlink"/>
          </w:rPr>
          <w:t>190</w:t>
        </w:r>
        <w:r w:rsidRPr="00AA69DB">
          <w:rPr>
            <w:rStyle w:val="Hyperlink"/>
          </w:rPr>
          <w:t>kb)</w:t>
        </w:r>
      </w:hyperlink>
      <w:r w:rsidRPr="00AA69DB">
        <w:t>, N</w:t>
      </w:r>
      <w:r>
        <w:t xml:space="preserve">ew </w:t>
      </w:r>
      <w:r w:rsidRPr="00AA69DB">
        <w:t>S</w:t>
      </w:r>
      <w:r>
        <w:t xml:space="preserve">outh </w:t>
      </w:r>
      <w:r w:rsidRPr="00AA69DB">
        <w:t>W</w:t>
      </w:r>
      <w:r>
        <w:t>ales</w:t>
      </w:r>
      <w:r w:rsidRPr="00AA69DB">
        <w:t xml:space="preserve"> Department of Primary Industries, NSW.</w:t>
      </w:r>
    </w:p>
    <w:p w:rsidR="008A271F" w:rsidRDefault="008A271F" w:rsidP="008A271F">
      <w:r w:rsidRPr="00AA69DB">
        <w:t>NSW DPI,</w:t>
      </w:r>
      <w:r>
        <w:t xml:space="preserve"> 2019,</w:t>
      </w:r>
      <w:r w:rsidRPr="00AA69DB">
        <w:t xml:space="preserve"> </w:t>
      </w:r>
      <w:hyperlink r:id="rId33" w:history="1">
        <w:r>
          <w:rPr>
            <w:rStyle w:val="Hyperlink"/>
          </w:rPr>
          <w:t>Murrumbidgee valley, w</w:t>
        </w:r>
        <w:r w:rsidRPr="00AA69DB">
          <w:rPr>
            <w:rStyle w:val="Hyperlink"/>
          </w:rPr>
          <w:t xml:space="preserve">ater allocation statement (pdf </w:t>
        </w:r>
        <w:r>
          <w:rPr>
            <w:rStyle w:val="Hyperlink"/>
          </w:rPr>
          <w:t>452</w:t>
        </w:r>
        <w:r w:rsidRPr="00AA69DB">
          <w:rPr>
            <w:rStyle w:val="Hyperlink"/>
          </w:rPr>
          <w:t>kb)</w:t>
        </w:r>
      </w:hyperlink>
      <w:r w:rsidRPr="00AA69DB">
        <w:t>, N</w:t>
      </w:r>
      <w:r>
        <w:t xml:space="preserve">ew </w:t>
      </w:r>
      <w:r w:rsidRPr="00AA69DB">
        <w:t>S</w:t>
      </w:r>
      <w:r>
        <w:t xml:space="preserve">outh </w:t>
      </w:r>
      <w:r w:rsidRPr="00AA69DB">
        <w:t>W</w:t>
      </w:r>
      <w:r>
        <w:t>ales</w:t>
      </w:r>
      <w:r w:rsidRPr="00AA69DB">
        <w:t xml:space="preserve"> Department of Primary Industries, NSW.</w:t>
      </w:r>
    </w:p>
    <w:p w:rsidR="008A271F" w:rsidRDefault="008A271F" w:rsidP="008A271F">
      <w:r w:rsidRPr="00AA69DB">
        <w:t xml:space="preserve">NSW DPI, </w:t>
      </w:r>
      <w:r>
        <w:t xml:space="preserve">2019, </w:t>
      </w:r>
      <w:hyperlink r:id="rId34" w:history="1">
        <w:r>
          <w:rPr>
            <w:rStyle w:val="Hyperlink"/>
          </w:rPr>
          <w:t>NSW Murray and Lower Darling, w</w:t>
        </w:r>
        <w:r w:rsidRPr="00AA69DB">
          <w:rPr>
            <w:rStyle w:val="Hyperlink"/>
          </w:rPr>
          <w:t xml:space="preserve">ater allocation statement (pdf </w:t>
        </w:r>
        <w:r>
          <w:rPr>
            <w:rStyle w:val="Hyperlink"/>
          </w:rPr>
          <w:t>610</w:t>
        </w:r>
        <w:r w:rsidRPr="00AA69DB">
          <w:rPr>
            <w:rStyle w:val="Hyperlink"/>
          </w:rPr>
          <w:t>kb)</w:t>
        </w:r>
      </w:hyperlink>
      <w:r w:rsidRPr="00AA69DB">
        <w:t>, N</w:t>
      </w:r>
      <w:r>
        <w:t xml:space="preserve">ew </w:t>
      </w:r>
      <w:r w:rsidRPr="00AA69DB">
        <w:t>S</w:t>
      </w:r>
      <w:r>
        <w:t xml:space="preserve">outh </w:t>
      </w:r>
      <w:r w:rsidRPr="00AA69DB">
        <w:t>W</w:t>
      </w:r>
      <w:r>
        <w:t>ales</w:t>
      </w:r>
      <w:r w:rsidRPr="00AA69DB">
        <w:t xml:space="preserve"> Department of Primary Industries, NSW.</w:t>
      </w:r>
    </w:p>
    <w:p w:rsidR="00F02AF3" w:rsidRDefault="00F02AF3" w:rsidP="00F02AF3">
      <w:r w:rsidRPr="00AA69DB">
        <w:t xml:space="preserve">NVRM, </w:t>
      </w:r>
      <w:hyperlink r:id="rId35" w:history="1">
        <w:r w:rsidRPr="00AA69DB">
          <w:rPr>
            <w:rStyle w:val="Hyperlink"/>
          </w:rPr>
          <w:t>Current Outlook</w:t>
        </w:r>
      </w:hyperlink>
      <w:r w:rsidRPr="00AA69DB">
        <w:t xml:space="preserve">, Northern Victoria Resource Manager, accessed 15 February 2019. </w:t>
      </w:r>
    </w:p>
    <w:p w:rsidR="00E0631F" w:rsidRDefault="00E0631F" w:rsidP="00F02AF3">
      <w:r>
        <w:t xml:space="preserve">Ruralco water, </w:t>
      </w:r>
      <w:hyperlink r:id="rId36" w:history="1">
        <w:r w:rsidRPr="00E0631F">
          <w:rPr>
            <w:rStyle w:val="Hyperlink"/>
          </w:rPr>
          <w:t>Water markets</w:t>
        </w:r>
      </w:hyperlink>
      <w:r>
        <w:t>, Ruralco water, accessed 25 February 2019.</w:t>
      </w:r>
    </w:p>
    <w:p w:rsidR="00CC60E1" w:rsidRPr="00CC60E1" w:rsidRDefault="00CC60E1" w:rsidP="00CC60E1">
      <w:pPr>
        <w:rPr>
          <w:rFonts w:cs="Times New Roman"/>
        </w:rPr>
      </w:pPr>
      <w:r>
        <w:t xml:space="preserve">SA DEW, </w:t>
      </w:r>
      <w:hyperlink r:id="rId37" w:history="1">
        <w:r>
          <w:rPr>
            <w:rStyle w:val="Hyperlink"/>
          </w:rPr>
          <w:t>Historical water allocations</w:t>
        </w:r>
      </w:hyperlink>
      <w:r>
        <w:t>, Government of South Australia Department for Environment and Water, accessed 14 January 2019.</w:t>
      </w:r>
    </w:p>
    <w:p w:rsidR="00F02AF3" w:rsidRPr="00AA69DB" w:rsidRDefault="00F02AF3" w:rsidP="00F02AF3">
      <w:r w:rsidRPr="00AA69DB">
        <w:t xml:space="preserve">SAWater, </w:t>
      </w:r>
      <w:hyperlink r:id="rId38" w:history="1">
        <w:r w:rsidRPr="00AA69DB">
          <w:rPr>
            <w:rStyle w:val="Hyperlink"/>
          </w:rPr>
          <w:t>Daily flow report</w:t>
        </w:r>
      </w:hyperlink>
      <w:r w:rsidRPr="00AA69DB">
        <w:t>, S</w:t>
      </w:r>
      <w:r w:rsidR="000852D4" w:rsidRPr="00AA69DB">
        <w:t xml:space="preserve">outh </w:t>
      </w:r>
      <w:r w:rsidRPr="00AA69DB">
        <w:t>A</w:t>
      </w:r>
      <w:r w:rsidR="000852D4" w:rsidRPr="00AA69DB">
        <w:t xml:space="preserve">ustralian </w:t>
      </w:r>
      <w:r w:rsidRPr="00AA69DB">
        <w:t>Water, South Australia, accessed 14 January 2019.</w:t>
      </w:r>
    </w:p>
    <w:p w:rsidR="00AA69DB" w:rsidRPr="00AA69DB" w:rsidRDefault="00AA69DB" w:rsidP="00AA69DB">
      <w:r w:rsidRPr="00AA69DB">
        <w:t xml:space="preserve">VWR, </w:t>
      </w:r>
      <w:hyperlink r:id="rId39" w:history="1">
        <w:r w:rsidRPr="00AA69DB">
          <w:rPr>
            <w:rStyle w:val="Hyperlink"/>
          </w:rPr>
          <w:t>Unused water</w:t>
        </w:r>
      </w:hyperlink>
      <w:r w:rsidRPr="00AA69DB">
        <w:t>, Victorian Water Register, Victoria, accessed 13 February 2019.</w:t>
      </w:r>
    </w:p>
    <w:p w:rsidR="00490669" w:rsidRPr="00AA69DB" w:rsidRDefault="00490669" w:rsidP="00EC2874">
      <w:r w:rsidRPr="00AA69DB">
        <w:t xml:space="preserve">WaterNSW, </w:t>
      </w:r>
      <w:hyperlink r:id="rId40" w:history="1">
        <w:r w:rsidRPr="00AA69DB">
          <w:rPr>
            <w:rStyle w:val="Hyperlink"/>
          </w:rPr>
          <w:t>Real-time water data</w:t>
        </w:r>
      </w:hyperlink>
      <w:r w:rsidRPr="00AA69DB">
        <w:t>, Water</w:t>
      </w:r>
      <w:r w:rsidR="000852D4" w:rsidRPr="00AA69DB">
        <w:t xml:space="preserve"> </w:t>
      </w:r>
      <w:r w:rsidRPr="00AA69DB">
        <w:t>N</w:t>
      </w:r>
      <w:r w:rsidR="000852D4" w:rsidRPr="00AA69DB">
        <w:t xml:space="preserve">ew </w:t>
      </w:r>
      <w:r w:rsidRPr="00AA69DB">
        <w:t>S</w:t>
      </w:r>
      <w:r w:rsidR="000852D4" w:rsidRPr="00AA69DB">
        <w:t xml:space="preserve">outh </w:t>
      </w:r>
      <w:r w:rsidRPr="00AA69DB">
        <w:t>W</w:t>
      </w:r>
      <w:r w:rsidR="000852D4" w:rsidRPr="00AA69DB">
        <w:t>ales</w:t>
      </w:r>
      <w:r w:rsidRPr="00AA69DB">
        <w:t>, New South Wales, accessed 14 January 2019.</w:t>
      </w:r>
    </w:p>
    <w:p w:rsidR="00B77E1C" w:rsidRDefault="00B77E1C"/>
    <w:p w:rsidR="00F26BF1" w:rsidRDefault="00F26BF1"/>
    <w:p w:rsidR="00F26BF1" w:rsidRDefault="00F26BF1"/>
    <w:p w:rsidR="00EC2874" w:rsidRDefault="00EC2874"/>
    <w:sectPr w:rsidR="00EC2874">
      <w:headerReference w:type="even" r:id="rId41"/>
      <w:headerReference w:type="default" r:id="rId42"/>
      <w:footerReference w:type="even" r:id="rId43"/>
      <w:footerReference w:type="default" r:id="rId44"/>
      <w:headerReference w:type="first" r:id="rId45"/>
      <w:footerReference w:type="first" r:id="rId46"/>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46A7" w:rsidRDefault="001446A7">
      <w:r>
        <w:separator/>
      </w:r>
    </w:p>
    <w:p w:rsidR="001446A7" w:rsidRDefault="001446A7"/>
    <w:p w:rsidR="001446A7" w:rsidRDefault="001446A7"/>
  </w:endnote>
  <w:endnote w:type="continuationSeparator" w:id="0">
    <w:p w:rsidR="001446A7" w:rsidRDefault="001446A7">
      <w:r>
        <w:continuationSeparator/>
      </w:r>
    </w:p>
    <w:p w:rsidR="001446A7" w:rsidRDefault="001446A7"/>
    <w:p w:rsidR="001446A7" w:rsidRDefault="001446A7"/>
  </w:endnote>
  <w:endnote w:type="continuationNotice" w:id="1">
    <w:p w:rsidR="001446A7" w:rsidRDefault="001446A7">
      <w:pPr>
        <w:pStyle w:val="Footer"/>
      </w:pPr>
    </w:p>
    <w:p w:rsidR="001446A7" w:rsidRDefault="001446A7"/>
    <w:p w:rsidR="001446A7" w:rsidRDefault="001446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82F" w:rsidRDefault="009178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6A7" w:rsidRDefault="001446A7">
    <w:pPr>
      <w:pStyle w:val="Footer"/>
    </w:pPr>
    <w:r>
      <w:t>Department of Agriculture and Water Resources</w:t>
    </w:r>
  </w:p>
  <w:p w:rsidR="001446A7" w:rsidRDefault="001446A7">
    <w:pPr>
      <w:pStyle w:val="Footer"/>
    </w:pPr>
    <w:r>
      <w:fldChar w:fldCharType="begin"/>
    </w:r>
    <w:r>
      <w:instrText xml:space="preserve"> PAGE   \* MERGEFORMAT </w:instrText>
    </w:r>
    <w:r>
      <w:fldChar w:fldCharType="separate"/>
    </w:r>
    <w:r w:rsidR="0091782F">
      <w:rPr>
        <w:noProof/>
      </w:rPr>
      <w:t>4</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82F" w:rsidRDefault="009178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46A7" w:rsidRDefault="001446A7">
      <w:r>
        <w:separator/>
      </w:r>
    </w:p>
    <w:p w:rsidR="001446A7" w:rsidRDefault="001446A7"/>
    <w:p w:rsidR="001446A7" w:rsidRDefault="001446A7"/>
  </w:footnote>
  <w:footnote w:type="continuationSeparator" w:id="0">
    <w:p w:rsidR="001446A7" w:rsidRDefault="001446A7">
      <w:r>
        <w:continuationSeparator/>
      </w:r>
    </w:p>
    <w:p w:rsidR="001446A7" w:rsidRDefault="001446A7"/>
    <w:p w:rsidR="001446A7" w:rsidRDefault="001446A7"/>
  </w:footnote>
  <w:footnote w:type="continuationNotice" w:id="1">
    <w:p w:rsidR="001446A7" w:rsidRDefault="001446A7">
      <w:pPr>
        <w:pStyle w:val="Footer"/>
      </w:pPr>
    </w:p>
    <w:p w:rsidR="001446A7" w:rsidRDefault="001446A7"/>
    <w:p w:rsidR="001446A7" w:rsidRDefault="001446A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6A7" w:rsidRDefault="0091782F">
    <w:pPr>
      <w:pStyle w:val="Header"/>
    </w:pPr>
    <w:r>
      <w:rPr>
        <w:noProof/>
        <w:lang w:val="en-US"/>
      </w:rPr>
      <w:pict w14:anchorId="08070B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2050" type="#_x0000_t136" style="position:absolute;left:0;text-align:left;margin-left:0;margin-top:0;width:548.05pt;height:91.3pt;rotation:315;z-index:-251658752;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6A7" w:rsidRDefault="001446A7">
    <w:pPr>
      <w:pStyle w:val="Header"/>
    </w:pPr>
    <w:r>
      <w:t>ABARES water market outlook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6A7" w:rsidRDefault="001446A7">
    <w:pPr>
      <w:pStyle w:val="Header"/>
      <w:jc w:val="left"/>
    </w:pPr>
    <w:r>
      <w:rPr>
        <w:noProof/>
        <w:lang w:eastAsia="en-AU"/>
      </w:rPr>
      <w:drawing>
        <wp:inline distT="0" distB="0" distL="0" distR="0" wp14:anchorId="16AB000A" wp14:editId="392D3176">
          <wp:extent cx="2520000" cy="1124053"/>
          <wp:effectExtent l="0" t="0" r="0" b="0"/>
          <wp:docPr id="9" name="Picture 9" descr="Department of Agriculture and Water Resources, AB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BARES_Inline-new-logo.jpg"/>
                  <pic:cNvPicPr/>
                </pic:nvPicPr>
                <pic:blipFill>
                  <a:blip r:embed="rId1">
                    <a:extLst>
                      <a:ext uri="{28A0092B-C50C-407E-A947-70E740481C1C}">
                        <a14:useLocalDpi xmlns:a14="http://schemas.microsoft.com/office/drawing/2010/main" val="0"/>
                      </a:ext>
                    </a:extLst>
                  </a:blip>
                  <a:stretch>
                    <a:fillRect/>
                  </a:stretch>
                </pic:blipFill>
                <pic:spPr>
                  <a:xfrm>
                    <a:off x="0" y="0"/>
                    <a:ext cx="2520000" cy="1124053"/>
                  </a:xfrm>
                  <a:prstGeom prst="rect">
                    <a:avLst/>
                  </a:prstGeom>
                </pic:spPr>
              </pic:pic>
            </a:graphicData>
          </a:graphic>
        </wp:inline>
      </w:drawing>
    </w:r>
    <w:r w:rsidR="0091782F">
      <w:rPr>
        <w:noProof/>
        <w:lang w:val="en-US"/>
      </w:rPr>
      <w:pict w14:anchorId="763309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0" o:spid="_x0000_s2049" type="#_x0000_t136" style="position:absolute;margin-left:0;margin-top:0;width:548.05pt;height:91.3pt;rotation:315;z-index:-251659776;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93257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B2316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E2AB68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726A18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6EB2302"/>
    <w:multiLevelType w:val="hybridMultilevel"/>
    <w:tmpl w:val="6A7CB7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EAA3D65"/>
    <w:multiLevelType w:val="hybridMultilevel"/>
    <w:tmpl w:val="77B01718"/>
    <w:lvl w:ilvl="0" w:tplc="2E98EBEC">
      <w:start w:val="1"/>
      <w:numFmt w:val="decimal"/>
      <w:pStyle w:val="BoxTextNumbered"/>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6B606F"/>
    <w:multiLevelType w:val="hybridMultilevel"/>
    <w:tmpl w:val="E0560262"/>
    <w:lvl w:ilvl="0" w:tplc="B9FA63BE">
      <w:start w:val="1"/>
      <w:numFmt w:val="bullet"/>
      <w:pStyle w:val="TableBullet"/>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39F5092"/>
    <w:multiLevelType w:val="hybridMultilevel"/>
    <w:tmpl w:val="DAEC52D6"/>
    <w:lvl w:ilvl="0" w:tplc="5B982B1A">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B103637"/>
    <w:multiLevelType w:val="multilevel"/>
    <w:tmpl w:val="BE78A4F8"/>
    <w:numStyleLink w:val="Numberlist"/>
  </w:abstractNum>
  <w:abstractNum w:abstractNumId="16" w15:restartNumberingAfterBreak="0">
    <w:nsid w:val="2CEE555F"/>
    <w:multiLevelType w:val="hybridMultilevel"/>
    <w:tmpl w:val="AC62A5A2"/>
    <w:lvl w:ilvl="0" w:tplc="3A9E45A8">
      <w:start w:val="2018"/>
      <w:numFmt w:val="bullet"/>
      <w:lvlText w:val="-"/>
      <w:lvlJc w:val="left"/>
      <w:pPr>
        <w:ind w:left="930" w:hanging="360"/>
      </w:pPr>
      <w:rPr>
        <w:rFonts w:ascii="Cambria" w:eastAsia="Calibri" w:hAnsi="Cambria" w:cs="Times New Roman" w:hint="default"/>
      </w:rPr>
    </w:lvl>
    <w:lvl w:ilvl="1" w:tplc="0C090003">
      <w:start w:val="1"/>
      <w:numFmt w:val="bullet"/>
      <w:lvlText w:val="o"/>
      <w:lvlJc w:val="left"/>
      <w:pPr>
        <w:ind w:left="1650" w:hanging="360"/>
      </w:pPr>
      <w:rPr>
        <w:rFonts w:ascii="Courier New" w:hAnsi="Courier New" w:cs="Courier New" w:hint="default"/>
      </w:rPr>
    </w:lvl>
    <w:lvl w:ilvl="2" w:tplc="0C090005" w:tentative="1">
      <w:start w:val="1"/>
      <w:numFmt w:val="bullet"/>
      <w:lvlText w:val=""/>
      <w:lvlJc w:val="left"/>
      <w:pPr>
        <w:ind w:left="2370" w:hanging="360"/>
      </w:pPr>
      <w:rPr>
        <w:rFonts w:ascii="Wingdings" w:hAnsi="Wingdings" w:hint="default"/>
      </w:rPr>
    </w:lvl>
    <w:lvl w:ilvl="3" w:tplc="0C090001" w:tentative="1">
      <w:start w:val="1"/>
      <w:numFmt w:val="bullet"/>
      <w:lvlText w:val=""/>
      <w:lvlJc w:val="left"/>
      <w:pPr>
        <w:ind w:left="3090" w:hanging="360"/>
      </w:pPr>
      <w:rPr>
        <w:rFonts w:ascii="Symbol" w:hAnsi="Symbol" w:hint="default"/>
      </w:rPr>
    </w:lvl>
    <w:lvl w:ilvl="4" w:tplc="0C090003" w:tentative="1">
      <w:start w:val="1"/>
      <w:numFmt w:val="bullet"/>
      <w:lvlText w:val="o"/>
      <w:lvlJc w:val="left"/>
      <w:pPr>
        <w:ind w:left="3810" w:hanging="360"/>
      </w:pPr>
      <w:rPr>
        <w:rFonts w:ascii="Courier New" w:hAnsi="Courier New" w:cs="Courier New" w:hint="default"/>
      </w:rPr>
    </w:lvl>
    <w:lvl w:ilvl="5" w:tplc="0C090005" w:tentative="1">
      <w:start w:val="1"/>
      <w:numFmt w:val="bullet"/>
      <w:lvlText w:val=""/>
      <w:lvlJc w:val="left"/>
      <w:pPr>
        <w:ind w:left="4530" w:hanging="360"/>
      </w:pPr>
      <w:rPr>
        <w:rFonts w:ascii="Wingdings" w:hAnsi="Wingdings" w:hint="default"/>
      </w:rPr>
    </w:lvl>
    <w:lvl w:ilvl="6" w:tplc="0C090001" w:tentative="1">
      <w:start w:val="1"/>
      <w:numFmt w:val="bullet"/>
      <w:lvlText w:val=""/>
      <w:lvlJc w:val="left"/>
      <w:pPr>
        <w:ind w:left="5250" w:hanging="360"/>
      </w:pPr>
      <w:rPr>
        <w:rFonts w:ascii="Symbol" w:hAnsi="Symbol" w:hint="default"/>
      </w:rPr>
    </w:lvl>
    <w:lvl w:ilvl="7" w:tplc="0C090003" w:tentative="1">
      <w:start w:val="1"/>
      <w:numFmt w:val="bullet"/>
      <w:lvlText w:val="o"/>
      <w:lvlJc w:val="left"/>
      <w:pPr>
        <w:ind w:left="5970" w:hanging="360"/>
      </w:pPr>
      <w:rPr>
        <w:rFonts w:ascii="Courier New" w:hAnsi="Courier New" w:cs="Courier New" w:hint="default"/>
      </w:rPr>
    </w:lvl>
    <w:lvl w:ilvl="8" w:tplc="0C090005" w:tentative="1">
      <w:start w:val="1"/>
      <w:numFmt w:val="bullet"/>
      <w:lvlText w:val=""/>
      <w:lvlJc w:val="left"/>
      <w:pPr>
        <w:ind w:left="6690" w:hanging="360"/>
      </w:pPr>
      <w:rPr>
        <w:rFonts w:ascii="Wingdings" w:hAnsi="Wingdings" w:hint="default"/>
      </w:rPr>
    </w:lvl>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CF3A5AC6"/>
    <w:lvl w:ilvl="0" w:tplc="B0AAF35A">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A696878"/>
    <w:multiLevelType w:val="hybridMultilevel"/>
    <w:tmpl w:val="5E6E26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6"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C8C10A1"/>
    <w:multiLevelType w:val="multilevel"/>
    <w:tmpl w:val="BE78A4F8"/>
    <w:numStyleLink w:val="Numberlist"/>
  </w:abstractNum>
  <w:abstractNum w:abstractNumId="28"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0"/>
  </w:num>
  <w:num w:numId="5">
    <w:abstractNumId w:val="24"/>
  </w:num>
  <w:num w:numId="6">
    <w:abstractNumId w:val="25"/>
  </w:num>
  <w:num w:numId="7">
    <w:abstractNumId w:val="8"/>
  </w:num>
  <w:num w:numId="8">
    <w:abstractNumId w:val="13"/>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1"/>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
  </w:num>
  <w:num w:numId="20">
    <w:abstractNumId w:val="0"/>
  </w:num>
  <w:num w:numId="21">
    <w:abstractNumId w:val="15"/>
  </w:num>
  <w:num w:numId="22">
    <w:abstractNumId w:val="21"/>
  </w:num>
  <w:num w:numId="23">
    <w:abstractNumId w:val="27"/>
  </w:num>
  <w:num w:numId="24">
    <w:abstractNumId w:val="12"/>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9"/>
  </w:num>
  <w:num w:numId="29">
    <w:abstractNumId w:val="7"/>
  </w:num>
  <w:num w:numId="30">
    <w:abstractNumId w:val="22"/>
  </w:num>
  <w:num w:numId="31">
    <w:abstractNumId w:val="16"/>
  </w:num>
  <w:num w:numId="32">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removePersonalInformation/>
  <w:removeDateAndTim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formatting="1" w:enforcement="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32f893fe-0eb4-43bc-bcd7-818213e21f4f"/>
  </w:docVars>
  <w:rsids>
    <w:rsidRoot w:val="001340AE"/>
    <w:rsid w:val="00040306"/>
    <w:rsid w:val="00040FCB"/>
    <w:rsid w:val="00065A1D"/>
    <w:rsid w:val="000852D4"/>
    <w:rsid w:val="000A34BC"/>
    <w:rsid w:val="000E46AF"/>
    <w:rsid w:val="000F23D3"/>
    <w:rsid w:val="001008B9"/>
    <w:rsid w:val="00113245"/>
    <w:rsid w:val="001340AE"/>
    <w:rsid w:val="001446A7"/>
    <w:rsid w:val="00161C85"/>
    <w:rsid w:val="00174FB5"/>
    <w:rsid w:val="00181CB8"/>
    <w:rsid w:val="00214802"/>
    <w:rsid w:val="00252C77"/>
    <w:rsid w:val="002749AB"/>
    <w:rsid w:val="002930D6"/>
    <w:rsid w:val="002A07E6"/>
    <w:rsid w:val="002C032F"/>
    <w:rsid w:val="002D66E2"/>
    <w:rsid w:val="002D7E7D"/>
    <w:rsid w:val="00303D6C"/>
    <w:rsid w:val="003104AE"/>
    <w:rsid w:val="00336AAF"/>
    <w:rsid w:val="003468CD"/>
    <w:rsid w:val="0037053A"/>
    <w:rsid w:val="00390AE9"/>
    <w:rsid w:val="00397CA9"/>
    <w:rsid w:val="003E1E47"/>
    <w:rsid w:val="004329A2"/>
    <w:rsid w:val="00434BC1"/>
    <w:rsid w:val="00436FF9"/>
    <w:rsid w:val="00473C2D"/>
    <w:rsid w:val="00490010"/>
    <w:rsid w:val="00490669"/>
    <w:rsid w:val="0049245D"/>
    <w:rsid w:val="00493BE9"/>
    <w:rsid w:val="004A1A27"/>
    <w:rsid w:val="004A45C2"/>
    <w:rsid w:val="004B0719"/>
    <w:rsid w:val="004B1453"/>
    <w:rsid w:val="004D17E6"/>
    <w:rsid w:val="004E5831"/>
    <w:rsid w:val="004F6A77"/>
    <w:rsid w:val="0050316F"/>
    <w:rsid w:val="0051488C"/>
    <w:rsid w:val="00524CBB"/>
    <w:rsid w:val="0053623B"/>
    <w:rsid w:val="00536A10"/>
    <w:rsid w:val="00566CB6"/>
    <w:rsid w:val="0058413F"/>
    <w:rsid w:val="005B082A"/>
    <w:rsid w:val="005F290C"/>
    <w:rsid w:val="006072D6"/>
    <w:rsid w:val="00661D75"/>
    <w:rsid w:val="00666B0A"/>
    <w:rsid w:val="00683A6E"/>
    <w:rsid w:val="006934B3"/>
    <w:rsid w:val="006A383E"/>
    <w:rsid w:val="006E02BF"/>
    <w:rsid w:val="006E3B29"/>
    <w:rsid w:val="00750A2C"/>
    <w:rsid w:val="00753AD6"/>
    <w:rsid w:val="0076613F"/>
    <w:rsid w:val="00792F21"/>
    <w:rsid w:val="007A3E04"/>
    <w:rsid w:val="007C5742"/>
    <w:rsid w:val="007F1154"/>
    <w:rsid w:val="007F6A47"/>
    <w:rsid w:val="00832C58"/>
    <w:rsid w:val="00850824"/>
    <w:rsid w:val="00865241"/>
    <w:rsid w:val="00895D2C"/>
    <w:rsid w:val="008A271F"/>
    <w:rsid w:val="008C0F8E"/>
    <w:rsid w:val="008C4425"/>
    <w:rsid w:val="008C5BE3"/>
    <w:rsid w:val="0091782F"/>
    <w:rsid w:val="00941C79"/>
    <w:rsid w:val="00972196"/>
    <w:rsid w:val="00990F82"/>
    <w:rsid w:val="009B2FF9"/>
    <w:rsid w:val="009D7F46"/>
    <w:rsid w:val="00A06C1E"/>
    <w:rsid w:val="00A14007"/>
    <w:rsid w:val="00A3139B"/>
    <w:rsid w:val="00A630E5"/>
    <w:rsid w:val="00AA69DB"/>
    <w:rsid w:val="00AB7644"/>
    <w:rsid w:val="00AC02DC"/>
    <w:rsid w:val="00AC5513"/>
    <w:rsid w:val="00AF1A4C"/>
    <w:rsid w:val="00AF1CF1"/>
    <w:rsid w:val="00B13971"/>
    <w:rsid w:val="00B36CF2"/>
    <w:rsid w:val="00B67CD5"/>
    <w:rsid w:val="00B70D5B"/>
    <w:rsid w:val="00B77E1C"/>
    <w:rsid w:val="00B90FC9"/>
    <w:rsid w:val="00BA0BC7"/>
    <w:rsid w:val="00BE51CD"/>
    <w:rsid w:val="00BF76C1"/>
    <w:rsid w:val="00C01174"/>
    <w:rsid w:val="00C16E82"/>
    <w:rsid w:val="00C40EDD"/>
    <w:rsid w:val="00CC60E1"/>
    <w:rsid w:val="00CC623E"/>
    <w:rsid w:val="00CF0851"/>
    <w:rsid w:val="00CF4380"/>
    <w:rsid w:val="00D03A7A"/>
    <w:rsid w:val="00D713EA"/>
    <w:rsid w:val="00D7165F"/>
    <w:rsid w:val="00DE1E00"/>
    <w:rsid w:val="00DF4714"/>
    <w:rsid w:val="00E0631F"/>
    <w:rsid w:val="00E26CE4"/>
    <w:rsid w:val="00E469ED"/>
    <w:rsid w:val="00EA3735"/>
    <w:rsid w:val="00EC2868"/>
    <w:rsid w:val="00EC2874"/>
    <w:rsid w:val="00ED66F4"/>
    <w:rsid w:val="00EE4ECB"/>
    <w:rsid w:val="00F007C6"/>
    <w:rsid w:val="00F02AF3"/>
    <w:rsid w:val="00F17467"/>
    <w:rsid w:val="00F23E5D"/>
    <w:rsid w:val="00F26BF1"/>
    <w:rsid w:val="00F5063C"/>
    <w:rsid w:val="00F66B9D"/>
    <w:rsid w:val="00FA4489"/>
    <w:rsid w:val="00FE6B4D"/>
    <w:rsid w:val="00FF61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color w:val="FF7900"/>
      <w:sz w:val="36"/>
      <w:szCs w:val="24"/>
      <w:lang w:eastAsia="en-US"/>
    </w:rPr>
  </w:style>
  <w:style w:type="paragraph" w:styleId="Heading4">
    <w:name w:val="heading 4"/>
    <w:next w:val="Normal"/>
    <w:link w:val="Heading4Char"/>
    <w:uiPriority w:val="5"/>
    <w:qFormat/>
    <w:pPr>
      <w:numPr>
        <w:ilvl w:val="2"/>
        <w:numId w:val="9"/>
      </w:numPr>
      <w:outlineLvl w:val="3"/>
    </w:pPr>
    <w:rPr>
      <w:rFonts w:ascii="Calibri" w:eastAsia="Times New Roman" w:hAnsi="Calibri"/>
      <w:b/>
      <w:bCs/>
      <w:color w:val="DE3831"/>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color w:val="FF7900"/>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color w:val="DE3831"/>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Organisation">
    <w:name w:val="Organisation"/>
    <w:basedOn w:val="Normal"/>
    <w:next w:val="Normal"/>
    <w:uiPriority w:val="25"/>
    <w:qFormat/>
    <w:pPr>
      <w:spacing w:after="120"/>
    </w:pPr>
    <w:rPr>
      <w:rFonts w:asciiTheme="minorHAnsi" w:hAnsiTheme="minorHAnsi"/>
    </w:r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qFormat/>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426" w:hanging="426"/>
      <w:contextualSpacing/>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semiHidden/>
    <w:pPr>
      <w:spacing w:after="60" w:line="264" w:lineRule="auto"/>
    </w:pPr>
    <w:rPr>
      <w:sz w:val="20"/>
      <w:szCs w:val="20"/>
    </w:rPr>
  </w:style>
  <w:style w:type="character" w:customStyle="1" w:styleId="FootnoteTextChar">
    <w:name w:val="Footnote Text Char"/>
    <w:basedOn w:val="DefaultParagraphFont"/>
    <w:link w:val="FootnoteText"/>
    <w:uiPriority w:val="99"/>
    <w:semiHidden/>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pPr>
      <w:spacing w:after="60" w:line="264" w:lineRule="auto"/>
    </w:pPr>
    <w:rPr>
      <w:sz w:val="20"/>
      <w:szCs w:val="20"/>
    </w:rPr>
  </w:style>
  <w:style w:type="character" w:customStyle="1" w:styleId="EndnoteTextChar">
    <w:name w:val="Endnote Text Char"/>
    <w:basedOn w:val="DefaultParagraphFont"/>
    <w:link w:val="EndnoteText"/>
    <w:uiPriority w:val="99"/>
    <w:semiHidden/>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paragraph" w:styleId="Date">
    <w:name w:val="Date"/>
    <w:basedOn w:val="Normal"/>
    <w:next w:val="Normal"/>
    <w:link w:val="DateChar"/>
    <w:uiPriority w:val="99"/>
    <w:unhideWhenUsed/>
  </w:style>
  <w:style w:type="character" w:customStyle="1" w:styleId="DateChar">
    <w:name w:val="Date Char"/>
    <w:basedOn w:val="DefaultParagraphFont"/>
    <w:link w:val="Date"/>
    <w:uiPriority w:val="99"/>
    <w:rPr>
      <w:rFonts w:eastAsiaTheme="minorHAnsi" w:cstheme="minorBidi"/>
      <w:sz w:val="22"/>
      <w:szCs w:val="22"/>
      <w:lang w:eastAsia="en-US"/>
    </w:rPr>
  </w:style>
  <w:style w:type="character" w:styleId="SubtleReference">
    <w:name w:val="Subtle Reference"/>
    <w:uiPriority w:val="31"/>
    <w:qFormat/>
    <w:rPr>
      <w:sz w:val="24"/>
      <w:szCs w:val="24"/>
    </w:rPr>
  </w:style>
  <w:style w:type="paragraph" w:customStyle="1" w:styleId="BoxTextNumbered">
    <w:name w:val="Box Text Numbered"/>
    <w:basedOn w:val="BoxText"/>
    <w:qFormat/>
    <w:pPr>
      <w:numPr>
        <w:numId w:val="28"/>
      </w:numPr>
      <w:shd w:val="clear" w:color="auto" w:fill="FFFFFF" w:themeFill="background1"/>
      <w:contextualSpacing/>
    </w:pPr>
  </w:style>
  <w:style w:type="paragraph" w:customStyle="1" w:styleId="Publicationseries">
    <w:name w:val="Publication series"/>
    <w:basedOn w:val="Normal"/>
    <w:qFormat/>
    <w:pPr>
      <w:spacing w:after="0"/>
    </w:pPr>
  </w:style>
  <w:style w:type="paragraph" w:styleId="ListParagraph">
    <w:name w:val="List Paragraph"/>
    <w:basedOn w:val="Normal"/>
    <w:uiPriority w:val="34"/>
    <w:qFormat/>
    <w:rsid w:val="001340AE"/>
    <w:pPr>
      <w:spacing w:before="120" w:after="0" w:line="240" w:lineRule="auto"/>
      <w:ind w:left="720"/>
      <w:contextualSpacing/>
    </w:pPr>
    <w:rPr>
      <w:rFonts w:eastAsia="Calibri" w:cs="Times New Roman"/>
    </w:rPr>
  </w:style>
  <w:style w:type="paragraph" w:styleId="Revision">
    <w:name w:val="Revision"/>
    <w:hidden/>
    <w:uiPriority w:val="99"/>
    <w:semiHidden/>
    <w:rsid w:val="004B1453"/>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58795">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068522">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19508235">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193873">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775926">
      <w:bodyDiv w:val="1"/>
      <w:marLeft w:val="0"/>
      <w:marRight w:val="0"/>
      <w:marTop w:val="0"/>
      <w:marBottom w:val="0"/>
      <w:divBdr>
        <w:top w:val="none" w:sz="0" w:space="0" w:color="auto"/>
        <w:left w:val="none" w:sz="0" w:space="0" w:color="auto"/>
        <w:bottom w:val="none" w:sz="0" w:space="0" w:color="auto"/>
        <w:right w:val="none" w:sz="0" w:space="0" w:color="auto"/>
      </w:divBdr>
    </w:div>
    <w:div w:id="870143203">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7238252">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710859">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967804">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566959">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55495438">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griculture.gov.au/publications" TargetMode="External"/><Relationship Id="rId18" Type="http://schemas.openxmlformats.org/officeDocument/2006/relationships/image" Target="media/image5.emf"/><Relationship Id="rId26" Type="http://schemas.openxmlformats.org/officeDocument/2006/relationships/hyperlink" Target="http://www.agriculture.gov.au/abares/research-topics/agricultural-commodities/dec-2018" TargetMode="External"/><Relationship Id="rId39" Type="http://schemas.openxmlformats.org/officeDocument/2006/relationships/hyperlink" Target="https://waterregister.vic.gov.au/water-availability-and-use/unused-water" TargetMode="External"/><Relationship Id="rId21" Type="http://schemas.openxmlformats.org/officeDocument/2006/relationships/image" Target="media/image7.emf"/><Relationship Id="rId34" Type="http://schemas.openxmlformats.org/officeDocument/2006/relationships/hyperlink" Target="https://www.industry.nsw.gov.au/__data/assets/pdf_file/0017/216512/WAS-Murray-190215.pdf" TargetMode="External"/><Relationship Id="rId42" Type="http://schemas.openxmlformats.org/officeDocument/2006/relationships/header" Target="header2.xml"/><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hyperlink" Target="https://www.g-mwater.com.au/water-resources/catchments/storage-levels" TargetMode="External"/><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hyperlink" Target="https://www.industry.nsw.gov.au/__data/assets/pdf_file/0009/149832/WAS-NSW-Murray-and-Lower-Darling-180315.pdf" TargetMode="External"/><Relationship Id="rId37" Type="http://schemas.openxmlformats.org/officeDocument/2006/relationships/hyperlink" Target="https://www.environment.sa.gov.au/topics/river-murray/water-allocation-and-carryover/water-allocations-and-announcements/historical-water-allocations" TargetMode="External"/><Relationship Id="rId40" Type="http://schemas.openxmlformats.org/officeDocument/2006/relationships/hyperlink" Target="https://realtimedata.waternsw.com.au/water.stm"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8.emf"/><Relationship Id="rId28" Type="http://schemas.openxmlformats.org/officeDocument/2006/relationships/hyperlink" Target="http://www.bom.gov.au/water/dashboards/" TargetMode="External"/><Relationship Id="rId36" Type="http://schemas.openxmlformats.org/officeDocument/2006/relationships/hyperlink" Target="https://www.ruralcowater.com.au/" TargetMode="External"/><Relationship Id="rId49" Type="http://schemas.openxmlformats.org/officeDocument/2006/relationships/customXml" Target="../customXml/item2.xml"/><Relationship Id="rId10" Type="http://schemas.openxmlformats.org/officeDocument/2006/relationships/hyperlink" Target="mailto:copyright@agriculture.gov.au" TargetMode="External"/><Relationship Id="rId19" Type="http://schemas.openxmlformats.org/officeDocument/2006/relationships/hyperlink" Target="http://www.agriculture.gov.au/abares/research-topics/agricultural-commodities/mar-2019" TargetMode="External"/><Relationship Id="rId31" Type="http://schemas.openxmlformats.org/officeDocument/2006/relationships/hyperlink" Target="https://www.industry.nsw.gov.au/__data/assets/pdf_file/0010/149833/WAS-NSW-Murrumbidgee-Valley-180315.pdf"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4" Type="http://schemas.openxmlformats.org/officeDocument/2006/relationships/hyperlink" Target="http://agriculture.gov.au/" TargetMode="External"/><Relationship Id="rId22" Type="http://schemas.openxmlformats.org/officeDocument/2006/relationships/hyperlink" Target="http://www.agriculture.gov.au/abares/research-topics/water/future-scenarios-smdb" TargetMode="External"/><Relationship Id="rId27" Type="http://schemas.openxmlformats.org/officeDocument/2006/relationships/hyperlink" Target="https://www.abs.gov.au/ausstats/abs@.nsf/mf/6401.0" TargetMode="External"/><Relationship Id="rId30" Type="http://schemas.openxmlformats.org/officeDocument/2006/relationships/hyperlink" Target="http://www.agriculture.gov.au/abares/research-topics/water/future-scenarios-smdb" TargetMode="External"/><Relationship Id="rId35" Type="http://schemas.openxmlformats.org/officeDocument/2006/relationships/hyperlink" Target="https://nvrm.net.au/outlooks/current-outlook"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s://doi.org/10.25814/5c78557baf5b3" TargetMode="External"/><Relationship Id="rId17" Type="http://schemas.openxmlformats.org/officeDocument/2006/relationships/hyperlink" Target="https://nvrm.net.au/outlooks/current-outlook" TargetMode="External"/><Relationship Id="rId25" Type="http://schemas.openxmlformats.org/officeDocument/2006/relationships/image" Target="media/image10.emf"/><Relationship Id="rId33" Type="http://schemas.openxmlformats.org/officeDocument/2006/relationships/hyperlink" Target="https://www.industry.nsw.gov.au/__data/assets/pdf_file/0016/216511/WAS-Murrumbidgee-190215.pdf" TargetMode="External"/><Relationship Id="rId38" Type="http://schemas.openxmlformats.org/officeDocument/2006/relationships/hyperlink" Target="https://www.sawater.com.au/community-and-environment/the-river-murray/river-reports/daily-flow-report" TargetMode="External"/><Relationship Id="rId46" Type="http://schemas.openxmlformats.org/officeDocument/2006/relationships/footer" Target="footer3.xml"/><Relationship Id="rId20" Type="http://schemas.openxmlformats.org/officeDocument/2006/relationships/image" Target="media/image6.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C0442DD74C0844934AEE9D81D269ED" ma:contentTypeVersion="1" ma:contentTypeDescription="Create a new document." ma:contentTypeScope="" ma:versionID="ac9b9e08e8627891613a810d775c67a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43594AD-4013-447B-B2E1-8F006400CD5B}"/>
</file>

<file path=customXml/itemProps2.xml><?xml version="1.0" encoding="utf-8"?>
<ds:datastoreItem xmlns:ds="http://schemas.openxmlformats.org/officeDocument/2006/customXml" ds:itemID="{D4942197-74E1-472E-96B5-E1950596A205}"/>
</file>

<file path=customXml/itemProps3.xml><?xml version="1.0" encoding="utf-8"?>
<ds:datastoreItem xmlns:ds="http://schemas.openxmlformats.org/officeDocument/2006/customXml" ds:itemID="{6750255B-1A39-41BE-ABCD-6DA6DC611B46}"/>
</file>

<file path=customXml/itemProps4.xml><?xml version="1.0" encoding="utf-8"?>
<ds:datastoreItem xmlns:ds="http://schemas.openxmlformats.org/officeDocument/2006/customXml" ds:itemID="{C322FFBE-2E6B-481A-8019-2B0D033DF665}"/>
</file>

<file path=docProps/app.xml><?xml version="1.0" encoding="utf-8"?>
<Properties xmlns="http://schemas.openxmlformats.org/officeDocument/2006/extended-properties" xmlns:vt="http://schemas.openxmlformats.org/officeDocument/2006/docPropsVTypes">
  <Template>Normal.dotm</Template>
  <TotalTime>0</TotalTime>
  <Pages>13</Pages>
  <Words>3528</Words>
  <Characters>20116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2019-03-01T03:14:00Z</dcterms:created>
  <dcterms:modified xsi:type="dcterms:W3CDTF">2019-03-01T03:14:00Z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0x01010050C0442DD74C0844934AEE9D81D269ED</vt:lpwstr>
  </property>
</Properties>
</file>