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A94" w:rsidRPr="002A448E" w:rsidRDefault="00266608" w:rsidP="00E722AC">
      <w:pPr>
        <w:spacing w:before="120" w:after="120"/>
        <w:jc w:val="center"/>
        <w:rPr>
          <w:rFonts w:asciiTheme="minorHAnsi" w:hAnsiTheme="minorHAnsi"/>
          <w:b/>
        </w:rPr>
      </w:pPr>
      <w:r w:rsidRPr="002A448E">
        <w:rPr>
          <w:rFonts w:asciiTheme="minorHAnsi" w:hAnsiTheme="minorHAnsi"/>
          <w:b/>
        </w:rPr>
        <w:t xml:space="preserve">Benefits of </w:t>
      </w:r>
      <w:r w:rsidR="00E96830" w:rsidRPr="002A448E">
        <w:rPr>
          <w:rFonts w:asciiTheme="minorHAnsi" w:hAnsiTheme="minorHAnsi"/>
          <w:b/>
        </w:rPr>
        <w:t xml:space="preserve">producing </w:t>
      </w:r>
      <w:r w:rsidRPr="002A448E">
        <w:rPr>
          <w:rFonts w:asciiTheme="minorHAnsi" w:hAnsiTheme="minorHAnsi"/>
          <w:b/>
        </w:rPr>
        <w:t>Australia’s State of the Forests Reports</w:t>
      </w:r>
    </w:p>
    <w:p w:rsidR="003C4EF3" w:rsidRDefault="00B416EB" w:rsidP="00B416EB">
      <w:pPr>
        <w:spacing w:before="120" w:after="120"/>
        <w:jc w:val="center"/>
        <w:rPr>
          <w:rFonts w:asciiTheme="minorHAnsi" w:hAnsiTheme="minorHAnsi"/>
          <w:sz w:val="20"/>
          <w:szCs w:val="20"/>
        </w:rPr>
      </w:pPr>
      <w:r w:rsidRPr="00E75F75">
        <w:rPr>
          <w:rFonts w:asciiTheme="minorHAnsi" w:hAnsiTheme="minorHAnsi"/>
          <w:sz w:val="20"/>
          <w:szCs w:val="20"/>
        </w:rPr>
        <w:t xml:space="preserve">Prepared by the </w:t>
      </w:r>
      <w:r w:rsidRPr="00E75F75">
        <w:rPr>
          <w:rFonts w:asciiTheme="minorHAnsi" w:hAnsiTheme="minorHAnsi"/>
          <w:i/>
          <w:sz w:val="20"/>
          <w:szCs w:val="20"/>
        </w:rPr>
        <w:t>Australian Bureau of Agricultural and Resource Economics and Sciences</w:t>
      </w:r>
      <w:r w:rsidRPr="00E75F75">
        <w:rPr>
          <w:rFonts w:asciiTheme="minorHAnsi" w:hAnsiTheme="minorHAnsi"/>
          <w:sz w:val="20"/>
          <w:szCs w:val="20"/>
        </w:rPr>
        <w:t xml:space="preserve"> on behalf of the </w:t>
      </w:r>
      <w:r w:rsidRPr="00E75F75">
        <w:rPr>
          <w:rFonts w:asciiTheme="minorHAnsi" w:hAnsiTheme="minorHAnsi"/>
          <w:i/>
          <w:sz w:val="20"/>
          <w:szCs w:val="20"/>
        </w:rPr>
        <w:t>National Forest Inventory Steering Committee</w:t>
      </w:r>
      <w:r w:rsidRPr="00E75F75">
        <w:rPr>
          <w:rFonts w:asciiTheme="minorHAnsi" w:hAnsiTheme="minorHAnsi"/>
          <w:sz w:val="20"/>
          <w:szCs w:val="20"/>
        </w:rPr>
        <w:t xml:space="preserve"> and the </w:t>
      </w:r>
      <w:r w:rsidRPr="00E75F75">
        <w:rPr>
          <w:rFonts w:asciiTheme="minorHAnsi" w:hAnsiTheme="minorHAnsi"/>
          <w:i/>
          <w:sz w:val="20"/>
          <w:szCs w:val="20"/>
        </w:rPr>
        <w:t>Montréal Process Implementation Group for Australia</w:t>
      </w:r>
      <w:r w:rsidRPr="00E75F75">
        <w:rPr>
          <w:rFonts w:asciiTheme="minorHAnsi" w:hAnsiTheme="minorHAnsi"/>
          <w:sz w:val="20"/>
          <w:szCs w:val="20"/>
        </w:rPr>
        <w:t xml:space="preserve">, and endorsed for publication by the </w:t>
      </w:r>
      <w:r w:rsidRPr="00E75F75">
        <w:rPr>
          <w:rFonts w:asciiTheme="minorHAnsi" w:hAnsiTheme="minorHAnsi"/>
          <w:i/>
          <w:sz w:val="20"/>
          <w:szCs w:val="20"/>
        </w:rPr>
        <w:t>Forestry and Forest Products Committee</w:t>
      </w:r>
      <w:r w:rsidRPr="00E75F75">
        <w:rPr>
          <w:rFonts w:asciiTheme="minorHAnsi" w:hAnsiTheme="minorHAnsi"/>
          <w:sz w:val="20"/>
          <w:szCs w:val="20"/>
        </w:rPr>
        <w:t xml:space="preserve"> in November 2015</w:t>
      </w:r>
    </w:p>
    <w:p w:rsidR="00F2736A" w:rsidRPr="00F2736A" w:rsidRDefault="00F2736A" w:rsidP="00F2736A">
      <w:pPr>
        <w:jc w:val="center"/>
        <w:rPr>
          <w:rFonts w:asciiTheme="minorHAnsi" w:hAnsiTheme="minorHAnsi"/>
          <w:sz w:val="16"/>
          <w:szCs w:val="16"/>
        </w:rPr>
      </w:pPr>
    </w:p>
    <w:p w:rsidR="00BF16BF" w:rsidRPr="002A448E" w:rsidRDefault="00BF16BF" w:rsidP="00E722AC">
      <w:pPr>
        <w:spacing w:before="120" w:after="120"/>
        <w:rPr>
          <w:rFonts w:asciiTheme="minorHAnsi" w:hAnsiTheme="minorHAnsi"/>
          <w:sz w:val="22"/>
        </w:rPr>
      </w:pPr>
      <w:r w:rsidRPr="009C1D65">
        <w:rPr>
          <w:rFonts w:asciiTheme="minorHAnsi" w:hAnsiTheme="minorHAnsi"/>
          <w:i/>
          <w:sz w:val="22"/>
        </w:rPr>
        <w:t>Overview</w:t>
      </w:r>
    </w:p>
    <w:p w:rsidR="00BF16BF" w:rsidRPr="009C1D65" w:rsidRDefault="00BF16BF" w:rsidP="00E722AC">
      <w:pPr>
        <w:spacing w:before="120" w:after="120"/>
        <w:rPr>
          <w:rFonts w:asciiTheme="minorHAnsi" w:hAnsiTheme="minorHAnsi"/>
          <w:sz w:val="22"/>
        </w:rPr>
      </w:pPr>
      <w:r w:rsidRPr="009C1D65">
        <w:rPr>
          <w:rFonts w:asciiTheme="minorHAnsi" w:hAnsiTheme="minorHAnsi"/>
          <w:sz w:val="22"/>
        </w:rPr>
        <w:t>The Australia’s State of the Forests Report (SOFR) series is the mechanism by which the state of Australia’s forests, and changes</w:t>
      </w:r>
      <w:r w:rsidR="00980D65">
        <w:rPr>
          <w:rFonts w:asciiTheme="minorHAnsi" w:hAnsiTheme="minorHAnsi"/>
          <w:sz w:val="22"/>
        </w:rPr>
        <w:t xml:space="preserve"> over time</w:t>
      </w:r>
      <w:r w:rsidRPr="009C1D65">
        <w:rPr>
          <w:rFonts w:asciiTheme="minorHAnsi" w:hAnsiTheme="minorHAnsi"/>
          <w:sz w:val="22"/>
        </w:rPr>
        <w:t xml:space="preserve"> in a range of social, economic and environmental forest-related indicators, are reported to </w:t>
      </w:r>
      <w:r>
        <w:rPr>
          <w:rFonts w:asciiTheme="minorHAnsi" w:hAnsiTheme="minorHAnsi"/>
          <w:sz w:val="22"/>
        </w:rPr>
        <w:t xml:space="preserve">government and industry </w:t>
      </w:r>
      <w:r w:rsidRPr="009C1D65">
        <w:rPr>
          <w:rFonts w:asciiTheme="minorHAnsi" w:hAnsiTheme="minorHAnsi"/>
          <w:sz w:val="22"/>
        </w:rPr>
        <w:t xml:space="preserve">stakeholders and the broader community. </w:t>
      </w:r>
      <w:r>
        <w:rPr>
          <w:rFonts w:asciiTheme="minorHAnsi" w:hAnsiTheme="minorHAnsi"/>
          <w:sz w:val="22"/>
        </w:rPr>
        <w:t xml:space="preserve">The </w:t>
      </w:r>
      <w:r w:rsidRPr="009C1D65">
        <w:rPr>
          <w:rFonts w:asciiTheme="minorHAnsi" w:hAnsiTheme="minorHAnsi"/>
          <w:sz w:val="22"/>
        </w:rPr>
        <w:t xml:space="preserve">SOFR </w:t>
      </w:r>
      <w:r>
        <w:rPr>
          <w:rFonts w:asciiTheme="minorHAnsi" w:hAnsiTheme="minorHAnsi"/>
          <w:sz w:val="22"/>
        </w:rPr>
        <w:t xml:space="preserve">series </w:t>
      </w:r>
      <w:r w:rsidRPr="009C1D65">
        <w:rPr>
          <w:rFonts w:asciiTheme="minorHAnsi" w:hAnsiTheme="minorHAnsi"/>
          <w:sz w:val="22"/>
        </w:rPr>
        <w:t xml:space="preserve">meets Australia’s </w:t>
      </w:r>
      <w:r>
        <w:rPr>
          <w:rFonts w:asciiTheme="minorHAnsi" w:hAnsiTheme="minorHAnsi"/>
          <w:sz w:val="22"/>
        </w:rPr>
        <w:t xml:space="preserve">formal </w:t>
      </w:r>
      <w:r w:rsidRPr="009C1D65">
        <w:rPr>
          <w:rFonts w:asciiTheme="minorHAnsi" w:hAnsiTheme="minorHAnsi"/>
          <w:sz w:val="22"/>
        </w:rPr>
        <w:t>national reporting requir</w:t>
      </w:r>
      <w:r>
        <w:rPr>
          <w:rFonts w:asciiTheme="minorHAnsi" w:hAnsiTheme="minorHAnsi"/>
          <w:sz w:val="22"/>
        </w:rPr>
        <w:t>ements for forest information, and t</w:t>
      </w:r>
      <w:r w:rsidRPr="009C1D65">
        <w:rPr>
          <w:rFonts w:asciiTheme="minorHAnsi" w:hAnsiTheme="minorHAnsi"/>
          <w:sz w:val="22"/>
        </w:rPr>
        <w:t>he data assembled for SOFR are also used to meet Australia’s international forest-related reporting requirements.</w:t>
      </w:r>
      <w:r>
        <w:rPr>
          <w:rFonts w:asciiTheme="minorHAnsi" w:hAnsiTheme="minorHAnsi"/>
          <w:sz w:val="22"/>
        </w:rPr>
        <w:t xml:space="preserve"> </w:t>
      </w:r>
    </w:p>
    <w:p w:rsidR="00BF16BF" w:rsidRPr="009C1D65" w:rsidRDefault="00BF16BF" w:rsidP="00E722AC">
      <w:pPr>
        <w:spacing w:before="120" w:after="120"/>
        <w:rPr>
          <w:rFonts w:asciiTheme="minorHAnsi" w:hAnsiTheme="minorHAnsi"/>
          <w:sz w:val="22"/>
        </w:rPr>
      </w:pPr>
    </w:p>
    <w:p w:rsidR="004F4BE2" w:rsidRDefault="004F4BE2" w:rsidP="004F4BE2">
      <w:pPr>
        <w:keepNext/>
        <w:spacing w:before="120" w:after="120"/>
        <w:rPr>
          <w:rFonts w:asciiTheme="minorHAnsi" w:hAnsiTheme="minorHAnsi"/>
          <w:i/>
          <w:sz w:val="22"/>
        </w:rPr>
      </w:pPr>
      <w:r>
        <w:rPr>
          <w:rFonts w:asciiTheme="minorHAnsi" w:hAnsiTheme="minorHAnsi"/>
          <w:i/>
          <w:sz w:val="22"/>
        </w:rPr>
        <w:t>Characteristics of the SOFR series</w:t>
      </w:r>
    </w:p>
    <w:p w:rsidR="004F4BE2" w:rsidRPr="00861842" w:rsidRDefault="00CA6819" w:rsidP="004F4BE2">
      <w:pPr>
        <w:pStyle w:val="ListParagraph"/>
        <w:numPr>
          <w:ilvl w:val="0"/>
          <w:numId w:val="9"/>
        </w:numPr>
        <w:spacing w:before="120" w:after="120"/>
        <w:ind w:left="426" w:hanging="426"/>
        <w:contextualSpacing w:val="0"/>
        <w:rPr>
          <w:rFonts w:asciiTheme="minorHAnsi" w:hAnsiTheme="minorHAnsi"/>
          <w:sz w:val="22"/>
          <w:u w:val="single"/>
        </w:rPr>
      </w:pPr>
      <w:r>
        <w:rPr>
          <w:rFonts w:asciiTheme="minorHAnsi" w:hAnsiTheme="minorHAnsi"/>
          <w:sz w:val="22"/>
          <w:u w:val="single"/>
        </w:rPr>
        <w:t xml:space="preserve">Comprehensive </w:t>
      </w:r>
    </w:p>
    <w:p w:rsidR="004F4BE2" w:rsidRPr="00577F4E" w:rsidRDefault="004F4BE2" w:rsidP="004F4BE2">
      <w:pPr>
        <w:spacing w:before="120" w:after="120"/>
        <w:ind w:left="426"/>
        <w:rPr>
          <w:rFonts w:asciiTheme="minorHAnsi" w:hAnsiTheme="minorHAnsi"/>
          <w:sz w:val="22"/>
        </w:rPr>
      </w:pPr>
      <w:r>
        <w:rPr>
          <w:rFonts w:asciiTheme="minorHAnsi" w:hAnsiTheme="minorHAnsi"/>
          <w:sz w:val="22"/>
        </w:rPr>
        <w:t xml:space="preserve">The </w:t>
      </w:r>
      <w:r w:rsidRPr="00577F4E">
        <w:rPr>
          <w:rFonts w:asciiTheme="minorHAnsi" w:hAnsiTheme="minorHAnsi"/>
          <w:sz w:val="22"/>
        </w:rPr>
        <w:t xml:space="preserve">SOFR </w:t>
      </w:r>
      <w:r>
        <w:rPr>
          <w:rFonts w:asciiTheme="minorHAnsi" w:hAnsiTheme="minorHAnsi"/>
          <w:sz w:val="22"/>
        </w:rPr>
        <w:t xml:space="preserve">series </w:t>
      </w:r>
      <w:r w:rsidRPr="00577F4E">
        <w:rPr>
          <w:rFonts w:asciiTheme="minorHAnsi" w:hAnsiTheme="minorHAnsi"/>
          <w:sz w:val="22"/>
        </w:rPr>
        <w:t>is based on a major nat</w:t>
      </w:r>
      <w:r w:rsidRPr="00500ED6">
        <w:rPr>
          <w:rFonts w:asciiTheme="minorHAnsi" w:hAnsiTheme="minorHAnsi"/>
          <w:sz w:val="22"/>
        </w:rPr>
        <w:t>ional assembly of data on a wide range of indicators of sustainable forest management</w:t>
      </w:r>
      <w:r w:rsidR="0055415C" w:rsidRPr="00500ED6">
        <w:rPr>
          <w:rFonts w:asciiTheme="minorHAnsi" w:hAnsiTheme="minorHAnsi"/>
          <w:sz w:val="22"/>
        </w:rPr>
        <w:t>.</w:t>
      </w:r>
      <w:r w:rsidR="001C056A" w:rsidRPr="00500ED6">
        <w:rPr>
          <w:rFonts w:asciiTheme="minorHAnsi" w:hAnsiTheme="minorHAnsi"/>
          <w:sz w:val="22"/>
        </w:rPr>
        <w:t xml:space="preserve"> </w:t>
      </w:r>
      <w:r w:rsidRPr="00500ED6">
        <w:rPr>
          <w:rFonts w:asciiTheme="minorHAnsi" w:hAnsiTheme="minorHAnsi"/>
          <w:sz w:val="22"/>
        </w:rPr>
        <w:t>SOFR is the only comprehensive compilation of n</w:t>
      </w:r>
      <w:r w:rsidRPr="00577F4E">
        <w:rPr>
          <w:rFonts w:asciiTheme="minorHAnsi" w:hAnsiTheme="minorHAnsi"/>
          <w:sz w:val="22"/>
        </w:rPr>
        <w:t xml:space="preserve">ational data and information on Australia’s forests, and as such </w:t>
      </w:r>
      <w:r w:rsidR="00E308D3">
        <w:rPr>
          <w:rFonts w:asciiTheme="minorHAnsi" w:hAnsiTheme="minorHAnsi"/>
          <w:sz w:val="22"/>
        </w:rPr>
        <w:t>is</w:t>
      </w:r>
      <w:r w:rsidR="00E308D3" w:rsidRPr="00577F4E">
        <w:rPr>
          <w:rFonts w:asciiTheme="minorHAnsi" w:hAnsiTheme="minorHAnsi"/>
          <w:sz w:val="22"/>
        </w:rPr>
        <w:t xml:space="preserve"> </w:t>
      </w:r>
      <w:r w:rsidRPr="00577F4E">
        <w:rPr>
          <w:rFonts w:asciiTheme="minorHAnsi" w:hAnsiTheme="minorHAnsi"/>
          <w:sz w:val="22"/>
        </w:rPr>
        <w:t xml:space="preserve">the best available snapshot of the state of Australia’s forests and the best presentation of trends over time. </w:t>
      </w:r>
    </w:p>
    <w:p w:rsidR="004F4BE2" w:rsidRPr="00861842" w:rsidRDefault="004F4BE2" w:rsidP="004F4BE2">
      <w:pPr>
        <w:pStyle w:val="ListParagraph"/>
        <w:numPr>
          <w:ilvl w:val="0"/>
          <w:numId w:val="9"/>
        </w:numPr>
        <w:spacing w:before="120" w:after="120"/>
        <w:ind w:left="426" w:hanging="426"/>
        <w:contextualSpacing w:val="0"/>
        <w:rPr>
          <w:rFonts w:asciiTheme="minorHAnsi" w:hAnsiTheme="minorHAnsi"/>
          <w:sz w:val="22"/>
          <w:u w:val="single"/>
        </w:rPr>
      </w:pPr>
      <w:r w:rsidRPr="00861842">
        <w:rPr>
          <w:rFonts w:asciiTheme="minorHAnsi" w:hAnsiTheme="minorHAnsi"/>
          <w:sz w:val="22"/>
          <w:u w:val="single"/>
        </w:rPr>
        <w:t>Credible</w:t>
      </w:r>
    </w:p>
    <w:p w:rsidR="004F4BE2" w:rsidRPr="00C64958" w:rsidRDefault="00C36D7D" w:rsidP="004F4BE2">
      <w:pPr>
        <w:spacing w:before="120" w:after="120"/>
        <w:ind w:left="426"/>
        <w:rPr>
          <w:rFonts w:asciiTheme="minorHAnsi" w:hAnsiTheme="minorHAnsi"/>
          <w:sz w:val="22"/>
        </w:rPr>
      </w:pPr>
      <w:r w:rsidRPr="00577F4E">
        <w:rPr>
          <w:rFonts w:asciiTheme="minorHAnsi" w:hAnsiTheme="minorHAnsi"/>
          <w:sz w:val="22"/>
        </w:rPr>
        <w:t xml:space="preserve">The SOFR series </w:t>
      </w:r>
      <w:r w:rsidRPr="00834017">
        <w:rPr>
          <w:rFonts w:asciiTheme="minorHAnsi" w:hAnsiTheme="minorHAnsi"/>
          <w:sz w:val="22"/>
        </w:rPr>
        <w:t>is an authoritative and trusted source of information on Australia’s forests. It</w:t>
      </w:r>
      <w:r w:rsidR="007238C8" w:rsidRPr="00834017">
        <w:rPr>
          <w:rFonts w:asciiTheme="minorHAnsi" w:hAnsiTheme="minorHAnsi"/>
          <w:sz w:val="22"/>
        </w:rPr>
        <w:t xml:space="preserve"> has gained </w:t>
      </w:r>
      <w:r w:rsidRPr="00834017">
        <w:rPr>
          <w:rFonts w:asciiTheme="minorHAnsi" w:hAnsiTheme="minorHAnsi"/>
          <w:sz w:val="22"/>
        </w:rPr>
        <w:t>this</w:t>
      </w:r>
      <w:r w:rsidR="007238C8" w:rsidRPr="00834017">
        <w:rPr>
          <w:rFonts w:asciiTheme="minorHAnsi" w:hAnsiTheme="minorHAnsi"/>
          <w:sz w:val="22"/>
        </w:rPr>
        <w:t xml:space="preserve"> status</w:t>
      </w:r>
      <w:r w:rsidR="004F4BE2" w:rsidRPr="00834017">
        <w:rPr>
          <w:rFonts w:asciiTheme="minorHAnsi" w:hAnsiTheme="minorHAnsi"/>
          <w:sz w:val="22"/>
        </w:rPr>
        <w:t xml:space="preserve"> </w:t>
      </w:r>
      <w:r w:rsidR="007238C8" w:rsidRPr="00834017">
        <w:rPr>
          <w:rFonts w:asciiTheme="minorHAnsi" w:hAnsiTheme="minorHAnsi"/>
          <w:sz w:val="22"/>
        </w:rPr>
        <w:t xml:space="preserve">by </w:t>
      </w:r>
      <w:r w:rsidR="004F4BE2" w:rsidRPr="00834017">
        <w:rPr>
          <w:rFonts w:asciiTheme="minorHAnsi" w:hAnsiTheme="minorHAnsi"/>
          <w:sz w:val="22"/>
        </w:rPr>
        <w:t>present</w:t>
      </w:r>
      <w:r w:rsidR="007238C8" w:rsidRPr="00834017">
        <w:rPr>
          <w:rFonts w:asciiTheme="minorHAnsi" w:hAnsiTheme="minorHAnsi"/>
          <w:sz w:val="22"/>
        </w:rPr>
        <w:t>ing</w:t>
      </w:r>
      <w:r w:rsidR="004F4BE2" w:rsidRPr="00834017">
        <w:rPr>
          <w:rFonts w:asciiTheme="minorHAnsi" w:hAnsiTheme="minorHAnsi"/>
          <w:sz w:val="22"/>
        </w:rPr>
        <w:t xml:space="preserve"> the best available</w:t>
      </w:r>
      <w:r w:rsidR="004F4BE2" w:rsidRPr="009C1D65">
        <w:rPr>
          <w:rFonts w:asciiTheme="minorHAnsi" w:hAnsiTheme="minorHAnsi"/>
          <w:sz w:val="22"/>
        </w:rPr>
        <w:t xml:space="preserve"> data and information</w:t>
      </w:r>
      <w:r w:rsidR="004F4BE2">
        <w:rPr>
          <w:rFonts w:asciiTheme="minorHAnsi" w:hAnsiTheme="minorHAnsi"/>
          <w:sz w:val="22"/>
        </w:rPr>
        <w:t xml:space="preserve"> </w:t>
      </w:r>
      <w:r w:rsidR="007238C8">
        <w:rPr>
          <w:rFonts w:asciiTheme="minorHAnsi" w:hAnsiTheme="minorHAnsi"/>
          <w:sz w:val="22"/>
        </w:rPr>
        <w:t xml:space="preserve">from </w:t>
      </w:r>
      <w:r w:rsidR="004F4BE2">
        <w:rPr>
          <w:rFonts w:asciiTheme="minorHAnsi" w:hAnsiTheme="minorHAnsi"/>
          <w:sz w:val="22"/>
        </w:rPr>
        <w:t>national and state and territor</w:t>
      </w:r>
      <w:r w:rsidR="00B9206D">
        <w:rPr>
          <w:rFonts w:asciiTheme="minorHAnsi" w:hAnsiTheme="minorHAnsi"/>
          <w:sz w:val="22"/>
        </w:rPr>
        <w:t>y sources</w:t>
      </w:r>
      <w:r w:rsidR="00184DCE">
        <w:rPr>
          <w:rFonts w:asciiTheme="minorHAnsi" w:hAnsiTheme="minorHAnsi"/>
          <w:sz w:val="22"/>
        </w:rPr>
        <w:t xml:space="preserve">. </w:t>
      </w:r>
      <w:r w:rsidR="004F4BE2">
        <w:rPr>
          <w:rFonts w:asciiTheme="minorHAnsi" w:hAnsiTheme="minorHAnsi"/>
          <w:sz w:val="22"/>
        </w:rPr>
        <w:t xml:space="preserve">SOFR is authored by two committees </w:t>
      </w:r>
      <w:r w:rsidR="00573669">
        <w:rPr>
          <w:rFonts w:asciiTheme="minorHAnsi" w:hAnsiTheme="minorHAnsi"/>
          <w:sz w:val="22"/>
        </w:rPr>
        <w:t>(the Montr</w:t>
      </w:r>
      <w:r w:rsidR="00234815" w:rsidRPr="009C1D65">
        <w:rPr>
          <w:rFonts w:asciiTheme="minorHAnsi" w:hAnsiTheme="minorHAnsi"/>
          <w:sz w:val="22"/>
        </w:rPr>
        <w:t>é</w:t>
      </w:r>
      <w:r w:rsidR="00573669">
        <w:rPr>
          <w:rFonts w:asciiTheme="minorHAnsi" w:hAnsiTheme="minorHAnsi"/>
          <w:sz w:val="22"/>
        </w:rPr>
        <w:t xml:space="preserve">al Process Implementation Group for Australia, and the National Forest Inventory Steering Committee) </w:t>
      </w:r>
      <w:r w:rsidR="004F4BE2">
        <w:rPr>
          <w:rFonts w:asciiTheme="minorHAnsi" w:hAnsiTheme="minorHAnsi"/>
          <w:sz w:val="22"/>
        </w:rPr>
        <w:t xml:space="preserve">each containing national and state and territory representatives, and published by ABARES, the research bureau of the </w:t>
      </w:r>
      <w:r w:rsidR="007238C8">
        <w:rPr>
          <w:rFonts w:asciiTheme="minorHAnsi" w:hAnsiTheme="minorHAnsi"/>
          <w:sz w:val="22"/>
        </w:rPr>
        <w:t xml:space="preserve">Australian Government </w:t>
      </w:r>
      <w:r w:rsidR="004F4BE2">
        <w:rPr>
          <w:rFonts w:asciiTheme="minorHAnsi" w:hAnsiTheme="minorHAnsi"/>
          <w:sz w:val="22"/>
        </w:rPr>
        <w:t>Department of Agriculture.</w:t>
      </w:r>
      <w:r w:rsidR="00861E97">
        <w:rPr>
          <w:rFonts w:asciiTheme="minorHAnsi" w:hAnsiTheme="minorHAnsi"/>
          <w:sz w:val="22"/>
        </w:rPr>
        <w:t xml:space="preserve"> The framework of criteria and indicators</w:t>
      </w:r>
      <w:r w:rsidR="00861E97" w:rsidRPr="008B4C69">
        <w:rPr>
          <w:rFonts w:asciiTheme="minorHAnsi" w:hAnsiTheme="minorHAnsi"/>
          <w:sz w:val="22"/>
        </w:rPr>
        <w:t xml:space="preserve"> </w:t>
      </w:r>
      <w:r w:rsidR="00861E97">
        <w:rPr>
          <w:rFonts w:asciiTheme="minorHAnsi" w:hAnsiTheme="minorHAnsi"/>
          <w:sz w:val="22"/>
        </w:rPr>
        <w:t>used in the SOFR series was developed under the international</w:t>
      </w:r>
      <w:r w:rsidR="00861E97" w:rsidRPr="008B4C69">
        <w:rPr>
          <w:rFonts w:asciiTheme="minorHAnsi" w:hAnsiTheme="minorHAnsi"/>
          <w:sz w:val="22"/>
        </w:rPr>
        <w:t xml:space="preserve"> </w:t>
      </w:r>
      <w:r w:rsidR="00861E97" w:rsidRPr="009C1D65">
        <w:rPr>
          <w:rFonts w:asciiTheme="minorHAnsi" w:hAnsiTheme="minorHAnsi"/>
          <w:sz w:val="22"/>
        </w:rPr>
        <w:t xml:space="preserve">Montréal </w:t>
      </w:r>
      <w:r w:rsidR="00861E97">
        <w:rPr>
          <w:rFonts w:asciiTheme="minorHAnsi" w:hAnsiTheme="minorHAnsi"/>
          <w:sz w:val="22"/>
        </w:rPr>
        <w:t>Process.</w:t>
      </w:r>
    </w:p>
    <w:p w:rsidR="004F4BE2" w:rsidRPr="00861842" w:rsidRDefault="00834017" w:rsidP="004F4BE2">
      <w:pPr>
        <w:pStyle w:val="ListParagraph"/>
        <w:numPr>
          <w:ilvl w:val="0"/>
          <w:numId w:val="9"/>
        </w:numPr>
        <w:spacing w:before="120" w:after="120"/>
        <w:ind w:left="426" w:hanging="426"/>
        <w:contextualSpacing w:val="0"/>
        <w:rPr>
          <w:rFonts w:asciiTheme="minorHAnsi" w:hAnsiTheme="minorHAnsi"/>
          <w:sz w:val="22"/>
          <w:u w:val="single"/>
        </w:rPr>
      </w:pPr>
      <w:r>
        <w:rPr>
          <w:rFonts w:asciiTheme="minorHAnsi" w:hAnsiTheme="minorHAnsi"/>
          <w:sz w:val="22"/>
          <w:u w:val="single"/>
        </w:rPr>
        <w:t>Consistent</w:t>
      </w:r>
    </w:p>
    <w:p w:rsidR="004F4BE2" w:rsidRPr="008B4C69" w:rsidRDefault="00834017" w:rsidP="004F4BE2">
      <w:pPr>
        <w:spacing w:before="120" w:after="120"/>
        <w:ind w:left="426"/>
        <w:rPr>
          <w:rFonts w:asciiTheme="minorHAnsi" w:hAnsiTheme="minorHAnsi"/>
          <w:sz w:val="22"/>
        </w:rPr>
      </w:pPr>
      <w:r>
        <w:rPr>
          <w:rFonts w:asciiTheme="minorHAnsi" w:hAnsiTheme="minorHAnsi"/>
          <w:sz w:val="22"/>
        </w:rPr>
        <w:t>SOFR is</w:t>
      </w:r>
      <w:r w:rsidRPr="00577F4E">
        <w:rPr>
          <w:rFonts w:asciiTheme="minorHAnsi" w:hAnsiTheme="minorHAnsi"/>
          <w:sz w:val="22"/>
        </w:rPr>
        <w:t xml:space="preserve"> </w:t>
      </w:r>
      <w:r>
        <w:rPr>
          <w:rFonts w:asciiTheme="minorHAnsi" w:hAnsiTheme="minorHAnsi"/>
          <w:sz w:val="22"/>
        </w:rPr>
        <w:t>s</w:t>
      </w:r>
      <w:r w:rsidRPr="008B4C69">
        <w:rPr>
          <w:rFonts w:asciiTheme="minorHAnsi" w:hAnsiTheme="minorHAnsi"/>
          <w:sz w:val="22"/>
        </w:rPr>
        <w:t xml:space="preserve">tructured </w:t>
      </w:r>
      <w:r>
        <w:rPr>
          <w:rFonts w:asciiTheme="minorHAnsi" w:hAnsiTheme="minorHAnsi"/>
          <w:sz w:val="22"/>
        </w:rPr>
        <w:t>according to</w:t>
      </w:r>
      <w:r w:rsidRPr="008B4C69">
        <w:rPr>
          <w:rFonts w:asciiTheme="minorHAnsi" w:hAnsiTheme="minorHAnsi"/>
          <w:sz w:val="22"/>
        </w:rPr>
        <w:t xml:space="preserve"> a consistent and systematic format</w:t>
      </w:r>
      <w:r w:rsidRPr="00577F4E">
        <w:rPr>
          <w:rFonts w:asciiTheme="minorHAnsi" w:hAnsiTheme="minorHAnsi"/>
          <w:sz w:val="22"/>
        </w:rPr>
        <w:t xml:space="preserve"> under seven separate criteria </w:t>
      </w:r>
      <w:r w:rsidRPr="00983335">
        <w:rPr>
          <w:rFonts w:asciiTheme="minorHAnsi" w:hAnsiTheme="minorHAnsi"/>
          <w:sz w:val="22"/>
          <w:szCs w:val="22"/>
        </w:rPr>
        <w:t>of sustainable forest management</w:t>
      </w:r>
      <w:r>
        <w:rPr>
          <w:rFonts w:asciiTheme="minorHAnsi" w:hAnsiTheme="minorHAnsi"/>
          <w:sz w:val="22"/>
          <w:szCs w:val="22"/>
        </w:rPr>
        <w:t xml:space="preserve">, </w:t>
      </w:r>
      <w:r w:rsidRPr="00577F4E">
        <w:rPr>
          <w:rFonts w:asciiTheme="minorHAnsi" w:hAnsiTheme="minorHAnsi"/>
          <w:sz w:val="22"/>
        </w:rPr>
        <w:t xml:space="preserve">covering </w:t>
      </w:r>
      <w:r>
        <w:rPr>
          <w:rFonts w:asciiTheme="minorHAnsi" w:hAnsiTheme="minorHAnsi"/>
          <w:sz w:val="22"/>
        </w:rPr>
        <w:t xml:space="preserve">the </w:t>
      </w:r>
      <w:r w:rsidRPr="00577F4E">
        <w:rPr>
          <w:rFonts w:asciiTheme="minorHAnsi" w:hAnsiTheme="minorHAnsi"/>
          <w:sz w:val="22"/>
        </w:rPr>
        <w:t>biophysical, social, economic and policy aspects</w:t>
      </w:r>
      <w:r>
        <w:rPr>
          <w:rFonts w:asciiTheme="minorHAnsi" w:hAnsiTheme="minorHAnsi"/>
          <w:sz w:val="22"/>
        </w:rPr>
        <w:t xml:space="preserve"> of forests</w:t>
      </w:r>
      <w:r w:rsidRPr="00577F4E">
        <w:rPr>
          <w:rFonts w:asciiTheme="minorHAnsi" w:hAnsiTheme="minorHAnsi"/>
          <w:sz w:val="22"/>
        </w:rPr>
        <w:t xml:space="preserve">. </w:t>
      </w:r>
      <w:r w:rsidRPr="00983335">
        <w:rPr>
          <w:rFonts w:asciiTheme="minorHAnsi" w:hAnsiTheme="minorHAnsi" w:cs="AGaramond"/>
          <w:color w:val="000000"/>
          <w:sz w:val="22"/>
          <w:szCs w:val="22"/>
        </w:rPr>
        <w:t xml:space="preserve">Within each </w:t>
      </w:r>
      <w:r>
        <w:rPr>
          <w:rFonts w:asciiTheme="minorHAnsi" w:hAnsiTheme="minorHAnsi" w:cs="AGaramond"/>
          <w:color w:val="000000"/>
          <w:sz w:val="22"/>
          <w:szCs w:val="22"/>
        </w:rPr>
        <w:t>of the seven criteria</w:t>
      </w:r>
      <w:r w:rsidRPr="00983335">
        <w:rPr>
          <w:rFonts w:asciiTheme="minorHAnsi" w:hAnsiTheme="minorHAnsi" w:cs="AGaramond"/>
          <w:color w:val="000000"/>
          <w:sz w:val="22"/>
          <w:szCs w:val="22"/>
        </w:rPr>
        <w:t xml:space="preserve">, various indicators (44 in total) address specific forest parameters and values. </w:t>
      </w:r>
      <w:r w:rsidR="00861E97">
        <w:rPr>
          <w:rFonts w:asciiTheme="minorHAnsi" w:hAnsiTheme="minorHAnsi" w:cs="AGaramond"/>
          <w:color w:val="000000"/>
          <w:sz w:val="22"/>
          <w:szCs w:val="22"/>
        </w:rPr>
        <w:t>This framework</w:t>
      </w:r>
      <w:r>
        <w:rPr>
          <w:rFonts w:asciiTheme="minorHAnsi" w:hAnsiTheme="minorHAnsi"/>
          <w:sz w:val="22"/>
        </w:rPr>
        <w:t xml:space="preserve"> remained unchanged between SOFR</w:t>
      </w:r>
      <w:r w:rsidR="00184DCE">
        <w:rPr>
          <w:rFonts w:asciiTheme="minorHAnsi" w:hAnsiTheme="minorHAnsi"/>
          <w:sz w:val="22"/>
        </w:rPr>
        <w:t> </w:t>
      </w:r>
      <w:r>
        <w:rPr>
          <w:rFonts w:asciiTheme="minorHAnsi" w:hAnsiTheme="minorHAnsi"/>
          <w:sz w:val="22"/>
        </w:rPr>
        <w:t>2008 and SOFR</w:t>
      </w:r>
      <w:r w:rsidR="00184DCE">
        <w:rPr>
          <w:rFonts w:asciiTheme="minorHAnsi" w:hAnsiTheme="minorHAnsi"/>
          <w:sz w:val="22"/>
        </w:rPr>
        <w:t> </w:t>
      </w:r>
      <w:r>
        <w:rPr>
          <w:rFonts w:asciiTheme="minorHAnsi" w:hAnsiTheme="minorHAnsi"/>
          <w:sz w:val="22"/>
        </w:rPr>
        <w:t xml:space="preserve">2013, </w:t>
      </w:r>
      <w:r w:rsidR="00861E97">
        <w:rPr>
          <w:rFonts w:asciiTheme="minorHAnsi" w:hAnsiTheme="minorHAnsi"/>
          <w:sz w:val="22"/>
        </w:rPr>
        <w:t xml:space="preserve">and </w:t>
      </w:r>
      <w:r>
        <w:rPr>
          <w:rFonts w:asciiTheme="minorHAnsi" w:hAnsiTheme="minorHAnsi"/>
          <w:sz w:val="22"/>
        </w:rPr>
        <w:t>giv</w:t>
      </w:r>
      <w:r w:rsidR="00861E97">
        <w:rPr>
          <w:rFonts w:asciiTheme="minorHAnsi" w:hAnsiTheme="minorHAnsi"/>
          <w:sz w:val="22"/>
        </w:rPr>
        <w:t>es</w:t>
      </w:r>
      <w:r>
        <w:rPr>
          <w:rFonts w:asciiTheme="minorHAnsi" w:hAnsiTheme="minorHAnsi"/>
          <w:sz w:val="22"/>
        </w:rPr>
        <w:t xml:space="preserve"> </w:t>
      </w:r>
      <w:r w:rsidR="004F4BE2" w:rsidRPr="008B4C69">
        <w:rPr>
          <w:rFonts w:asciiTheme="minorHAnsi" w:hAnsiTheme="minorHAnsi"/>
          <w:sz w:val="22"/>
        </w:rPr>
        <w:t xml:space="preserve">a familiar and easily navigated layout </w:t>
      </w:r>
      <w:r w:rsidR="001C056A">
        <w:rPr>
          <w:rFonts w:asciiTheme="minorHAnsi" w:hAnsiTheme="minorHAnsi"/>
          <w:sz w:val="22"/>
        </w:rPr>
        <w:t xml:space="preserve">for </w:t>
      </w:r>
      <w:r w:rsidR="004F4BE2" w:rsidRPr="008B4C69">
        <w:rPr>
          <w:rFonts w:asciiTheme="minorHAnsi" w:hAnsiTheme="minorHAnsi"/>
          <w:sz w:val="22"/>
        </w:rPr>
        <w:t xml:space="preserve">the complex </w:t>
      </w:r>
      <w:r w:rsidR="004F4BE2" w:rsidRPr="00983335">
        <w:rPr>
          <w:rFonts w:asciiTheme="minorHAnsi" w:hAnsiTheme="minorHAnsi"/>
          <w:sz w:val="22"/>
          <w:szCs w:val="22"/>
        </w:rPr>
        <w:t>range of information and data</w:t>
      </w:r>
      <w:r w:rsidR="001C056A">
        <w:rPr>
          <w:rFonts w:asciiTheme="minorHAnsi" w:hAnsiTheme="minorHAnsi"/>
          <w:sz w:val="22"/>
          <w:szCs w:val="22"/>
        </w:rPr>
        <w:t xml:space="preserve"> presented.</w:t>
      </w:r>
      <w:r w:rsidR="004F4BE2" w:rsidRPr="00983335">
        <w:rPr>
          <w:rFonts w:asciiTheme="minorHAnsi" w:hAnsiTheme="minorHAnsi"/>
          <w:sz w:val="22"/>
          <w:szCs w:val="22"/>
        </w:rPr>
        <w:t xml:space="preserve"> Repeated reporting against th</w:t>
      </w:r>
      <w:r w:rsidR="004F4BE2" w:rsidRPr="00834017">
        <w:rPr>
          <w:rFonts w:asciiTheme="minorHAnsi" w:hAnsiTheme="minorHAnsi"/>
          <w:sz w:val="22"/>
          <w:szCs w:val="22"/>
        </w:rPr>
        <w:t>is consistent struc</w:t>
      </w:r>
      <w:r w:rsidR="004F4BE2" w:rsidRPr="00983335">
        <w:rPr>
          <w:rFonts w:asciiTheme="minorHAnsi" w:hAnsiTheme="minorHAnsi"/>
          <w:sz w:val="22"/>
          <w:szCs w:val="22"/>
        </w:rPr>
        <w:t>ture enables patterns and trends</w:t>
      </w:r>
      <w:r w:rsidR="001015F0">
        <w:rPr>
          <w:rFonts w:asciiTheme="minorHAnsi" w:hAnsiTheme="minorHAnsi"/>
          <w:sz w:val="22"/>
          <w:szCs w:val="22"/>
        </w:rPr>
        <w:t xml:space="preserve"> over time</w:t>
      </w:r>
      <w:r w:rsidR="004F4BE2" w:rsidRPr="008B4C69">
        <w:rPr>
          <w:rFonts w:asciiTheme="minorHAnsi" w:hAnsiTheme="minorHAnsi"/>
          <w:sz w:val="22"/>
        </w:rPr>
        <w:t xml:space="preserve"> to be revealed. </w:t>
      </w:r>
    </w:p>
    <w:p w:rsidR="004F4BE2" w:rsidRPr="00861842" w:rsidRDefault="00834017" w:rsidP="004F4BE2">
      <w:pPr>
        <w:pStyle w:val="ListParagraph"/>
        <w:numPr>
          <w:ilvl w:val="0"/>
          <w:numId w:val="9"/>
        </w:numPr>
        <w:spacing w:before="120" w:after="120"/>
        <w:ind w:left="426" w:hanging="426"/>
        <w:contextualSpacing w:val="0"/>
        <w:rPr>
          <w:rFonts w:asciiTheme="minorHAnsi" w:hAnsiTheme="minorHAnsi"/>
          <w:sz w:val="22"/>
          <w:u w:val="single"/>
        </w:rPr>
      </w:pPr>
      <w:r>
        <w:rPr>
          <w:rFonts w:asciiTheme="minorHAnsi" w:hAnsiTheme="minorHAnsi"/>
          <w:sz w:val="22"/>
          <w:u w:val="single"/>
        </w:rPr>
        <w:t>Accessible</w:t>
      </w:r>
    </w:p>
    <w:p w:rsidR="004F4BE2" w:rsidRPr="001100C9" w:rsidRDefault="004F4BE2" w:rsidP="004F4BE2">
      <w:pPr>
        <w:spacing w:before="120" w:after="120"/>
        <w:ind w:left="426"/>
        <w:rPr>
          <w:rFonts w:asciiTheme="minorHAnsi" w:hAnsiTheme="minorHAnsi"/>
          <w:sz w:val="22"/>
          <w:szCs w:val="22"/>
        </w:rPr>
      </w:pPr>
      <w:r>
        <w:rPr>
          <w:rFonts w:asciiTheme="minorHAnsi" w:hAnsiTheme="minorHAnsi"/>
          <w:sz w:val="22"/>
        </w:rPr>
        <w:t>Each</w:t>
      </w:r>
      <w:r w:rsidRPr="001100C9">
        <w:rPr>
          <w:rFonts w:asciiTheme="minorHAnsi" w:hAnsiTheme="minorHAnsi"/>
          <w:sz w:val="22"/>
          <w:szCs w:val="22"/>
        </w:rPr>
        <w:t xml:space="preserve"> SOFR </w:t>
      </w:r>
      <w:r w:rsidR="00FF2D5B">
        <w:rPr>
          <w:rFonts w:asciiTheme="minorHAnsi" w:hAnsiTheme="minorHAnsi"/>
          <w:sz w:val="22"/>
          <w:szCs w:val="22"/>
        </w:rPr>
        <w:t xml:space="preserve">indicator </w:t>
      </w:r>
      <w:r w:rsidRPr="001100C9">
        <w:rPr>
          <w:rFonts w:asciiTheme="minorHAnsi" w:hAnsiTheme="minorHAnsi"/>
          <w:sz w:val="22"/>
          <w:szCs w:val="22"/>
        </w:rPr>
        <w:t>contains sufficient explanatory narrative to allow the reader to unders</w:t>
      </w:r>
      <w:r w:rsidR="00184DCE">
        <w:rPr>
          <w:rFonts w:asciiTheme="minorHAnsi" w:hAnsiTheme="minorHAnsi"/>
          <w:sz w:val="22"/>
          <w:szCs w:val="22"/>
        </w:rPr>
        <w:t xml:space="preserve">tand the data being presented. </w:t>
      </w:r>
      <w:r w:rsidRPr="001100C9">
        <w:rPr>
          <w:rFonts w:asciiTheme="minorHAnsi" w:hAnsiTheme="minorHAnsi"/>
          <w:sz w:val="22"/>
          <w:szCs w:val="22"/>
        </w:rPr>
        <w:t>The data and narrative</w:t>
      </w:r>
      <w:r w:rsidR="00FF2D5B">
        <w:rPr>
          <w:rFonts w:asciiTheme="minorHAnsi" w:hAnsiTheme="minorHAnsi"/>
          <w:sz w:val="22"/>
          <w:szCs w:val="22"/>
        </w:rPr>
        <w:t>s</w:t>
      </w:r>
      <w:r w:rsidRPr="001100C9">
        <w:rPr>
          <w:rFonts w:asciiTheme="minorHAnsi" w:hAnsiTheme="minorHAnsi"/>
          <w:sz w:val="22"/>
          <w:szCs w:val="22"/>
        </w:rPr>
        <w:t xml:space="preserve"> </w:t>
      </w:r>
      <w:r w:rsidR="00FF2D5B">
        <w:rPr>
          <w:rFonts w:asciiTheme="minorHAnsi" w:hAnsiTheme="minorHAnsi"/>
          <w:sz w:val="22"/>
          <w:szCs w:val="22"/>
        </w:rPr>
        <w:t>are</w:t>
      </w:r>
      <w:r w:rsidRPr="001100C9">
        <w:rPr>
          <w:rFonts w:asciiTheme="minorHAnsi" w:hAnsiTheme="minorHAnsi"/>
          <w:sz w:val="22"/>
          <w:szCs w:val="22"/>
        </w:rPr>
        <w:t xml:space="preserve"> </w:t>
      </w:r>
      <w:r w:rsidR="00FF2D5B">
        <w:rPr>
          <w:rFonts w:asciiTheme="minorHAnsi" w:hAnsiTheme="minorHAnsi"/>
          <w:sz w:val="22"/>
          <w:szCs w:val="22"/>
        </w:rPr>
        <w:t xml:space="preserve">also </w:t>
      </w:r>
      <w:r w:rsidRPr="001100C9">
        <w:rPr>
          <w:rFonts w:asciiTheme="minorHAnsi" w:hAnsiTheme="minorHAnsi"/>
          <w:sz w:val="22"/>
          <w:szCs w:val="22"/>
        </w:rPr>
        <w:t xml:space="preserve">summarised </w:t>
      </w:r>
      <w:r>
        <w:rPr>
          <w:rFonts w:asciiTheme="minorHAnsi" w:hAnsiTheme="minorHAnsi"/>
          <w:sz w:val="22"/>
          <w:szCs w:val="22"/>
        </w:rPr>
        <w:t xml:space="preserve">and synthesised </w:t>
      </w:r>
      <w:r w:rsidRPr="001100C9">
        <w:rPr>
          <w:rFonts w:asciiTheme="minorHAnsi" w:hAnsiTheme="minorHAnsi"/>
          <w:sz w:val="22"/>
          <w:szCs w:val="22"/>
        </w:rPr>
        <w:t>into Key Points (for each indicator), Key Findings (for each criterion), and an Executive Summary.</w:t>
      </w:r>
      <w:r w:rsidRPr="001100C9">
        <w:rPr>
          <w:rFonts w:asciiTheme="minorHAnsi" w:hAnsiTheme="minorHAnsi" w:cs="AGaramond"/>
          <w:color w:val="000000"/>
          <w:sz w:val="22"/>
          <w:szCs w:val="22"/>
        </w:rPr>
        <w:t xml:space="preserve"> References, a glossary and an index are included at the end of the report.</w:t>
      </w:r>
    </w:p>
    <w:p w:rsidR="004F4BE2" w:rsidRPr="00861842" w:rsidRDefault="00834017" w:rsidP="004F4BE2">
      <w:pPr>
        <w:pStyle w:val="ListParagraph"/>
        <w:keepNext/>
        <w:numPr>
          <w:ilvl w:val="0"/>
          <w:numId w:val="9"/>
        </w:numPr>
        <w:spacing w:before="120" w:after="120"/>
        <w:ind w:left="425" w:hanging="425"/>
        <w:contextualSpacing w:val="0"/>
        <w:rPr>
          <w:rFonts w:asciiTheme="minorHAnsi" w:hAnsiTheme="minorHAnsi"/>
          <w:sz w:val="22"/>
          <w:szCs w:val="22"/>
          <w:u w:val="single"/>
        </w:rPr>
      </w:pPr>
      <w:r>
        <w:rPr>
          <w:rFonts w:asciiTheme="minorHAnsi" w:hAnsiTheme="minorHAnsi"/>
          <w:sz w:val="22"/>
          <w:szCs w:val="22"/>
          <w:u w:val="single"/>
        </w:rPr>
        <w:t>Available</w:t>
      </w:r>
    </w:p>
    <w:p w:rsidR="004F4BE2" w:rsidRPr="001100C9" w:rsidRDefault="004F4BE2" w:rsidP="004F4BE2">
      <w:pPr>
        <w:spacing w:before="120" w:after="120"/>
        <w:ind w:left="426"/>
        <w:rPr>
          <w:rFonts w:asciiTheme="minorHAnsi" w:hAnsiTheme="minorHAnsi"/>
          <w:sz w:val="22"/>
          <w:szCs w:val="22"/>
        </w:rPr>
      </w:pPr>
      <w:r w:rsidRPr="001100C9">
        <w:rPr>
          <w:rFonts w:asciiTheme="minorHAnsi" w:hAnsiTheme="minorHAnsi"/>
          <w:sz w:val="22"/>
          <w:szCs w:val="22"/>
        </w:rPr>
        <w:t>SOFR</w:t>
      </w:r>
      <w:r w:rsidR="00184DCE">
        <w:rPr>
          <w:rFonts w:asciiTheme="minorHAnsi" w:hAnsiTheme="minorHAnsi"/>
          <w:sz w:val="22"/>
          <w:szCs w:val="22"/>
        </w:rPr>
        <w:t> </w:t>
      </w:r>
      <w:r w:rsidRPr="001100C9">
        <w:rPr>
          <w:rFonts w:asciiTheme="minorHAnsi" w:hAnsiTheme="minorHAnsi"/>
          <w:sz w:val="22"/>
          <w:szCs w:val="22"/>
        </w:rPr>
        <w:t>1998, SOFR</w:t>
      </w:r>
      <w:r w:rsidR="00184DCE">
        <w:rPr>
          <w:rFonts w:asciiTheme="minorHAnsi" w:hAnsiTheme="minorHAnsi"/>
          <w:sz w:val="22"/>
          <w:szCs w:val="22"/>
        </w:rPr>
        <w:t> </w:t>
      </w:r>
      <w:r w:rsidRPr="001100C9">
        <w:rPr>
          <w:rFonts w:asciiTheme="minorHAnsi" w:hAnsiTheme="minorHAnsi"/>
          <w:sz w:val="22"/>
          <w:szCs w:val="22"/>
        </w:rPr>
        <w:t>2003, SOFR</w:t>
      </w:r>
      <w:r w:rsidR="00184DCE">
        <w:rPr>
          <w:rFonts w:asciiTheme="minorHAnsi" w:hAnsiTheme="minorHAnsi"/>
          <w:sz w:val="22"/>
          <w:szCs w:val="22"/>
        </w:rPr>
        <w:t> </w:t>
      </w:r>
      <w:r w:rsidRPr="001100C9">
        <w:rPr>
          <w:rFonts w:asciiTheme="minorHAnsi" w:hAnsiTheme="minorHAnsi"/>
          <w:sz w:val="22"/>
          <w:szCs w:val="22"/>
        </w:rPr>
        <w:t>2008 and SOFR</w:t>
      </w:r>
      <w:r w:rsidR="00184DCE">
        <w:rPr>
          <w:rFonts w:asciiTheme="minorHAnsi" w:hAnsiTheme="minorHAnsi"/>
          <w:sz w:val="22"/>
          <w:szCs w:val="22"/>
        </w:rPr>
        <w:t> </w:t>
      </w:r>
      <w:r w:rsidRPr="001100C9">
        <w:rPr>
          <w:rFonts w:asciiTheme="minorHAnsi" w:hAnsiTheme="minorHAnsi"/>
          <w:sz w:val="22"/>
          <w:szCs w:val="22"/>
        </w:rPr>
        <w:t xml:space="preserve">2013 are </w:t>
      </w:r>
      <w:r w:rsidRPr="001100C9">
        <w:rPr>
          <w:rFonts w:asciiTheme="minorHAnsi" w:hAnsiTheme="minorHAnsi" w:cs="AGaramond"/>
          <w:color w:val="000000"/>
          <w:sz w:val="22"/>
          <w:szCs w:val="22"/>
        </w:rPr>
        <w:t>available at the Forests Australia website (</w:t>
      </w:r>
      <w:hyperlink r:id="rId8" w:history="1">
        <w:r w:rsidRPr="00100CCE">
          <w:rPr>
            <w:rStyle w:val="Hyperlink"/>
            <w:rFonts w:asciiTheme="minorHAnsi" w:hAnsiTheme="minorHAnsi" w:cs="AGaramond"/>
            <w:sz w:val="22"/>
            <w:szCs w:val="22"/>
          </w:rPr>
          <w:t>www.daff.gov.au/forestsaustralia</w:t>
        </w:r>
      </w:hyperlink>
      <w:r w:rsidRPr="001100C9">
        <w:rPr>
          <w:rFonts w:asciiTheme="minorHAnsi" w:hAnsiTheme="minorHAnsi" w:cs="AGaramond"/>
          <w:color w:val="000000"/>
          <w:sz w:val="22"/>
          <w:szCs w:val="22"/>
        </w:rPr>
        <w:t>) and the ABARES publications website (</w:t>
      </w:r>
      <w:hyperlink r:id="rId9" w:history="1">
        <w:r w:rsidRPr="00100CCE">
          <w:rPr>
            <w:rStyle w:val="Hyperlink"/>
            <w:rFonts w:asciiTheme="minorHAnsi" w:hAnsiTheme="minorHAnsi" w:cs="AGaramond"/>
            <w:sz w:val="22"/>
            <w:szCs w:val="22"/>
          </w:rPr>
          <w:t>www.daff.gov.au/abares/publications</w:t>
        </w:r>
      </w:hyperlink>
      <w:r w:rsidRPr="001100C9">
        <w:rPr>
          <w:rFonts w:asciiTheme="minorHAnsi" w:hAnsiTheme="minorHAnsi" w:cs="AGaramond"/>
          <w:color w:val="000000"/>
          <w:sz w:val="22"/>
          <w:szCs w:val="22"/>
        </w:rPr>
        <w:t>).</w:t>
      </w:r>
      <w:r w:rsidR="00184DCE">
        <w:rPr>
          <w:rFonts w:asciiTheme="minorHAnsi" w:hAnsiTheme="minorHAnsi" w:cs="AGaramond"/>
          <w:color w:val="000000"/>
          <w:sz w:val="22"/>
          <w:szCs w:val="22"/>
        </w:rPr>
        <w:t xml:space="preserve"> </w:t>
      </w:r>
      <w:r>
        <w:rPr>
          <w:rFonts w:asciiTheme="minorHAnsi" w:hAnsiTheme="minorHAnsi" w:cs="AGaramond"/>
          <w:color w:val="000000"/>
          <w:sz w:val="22"/>
          <w:szCs w:val="22"/>
        </w:rPr>
        <w:t>SOFR</w:t>
      </w:r>
      <w:r w:rsidR="00F41E0F">
        <w:rPr>
          <w:rFonts w:asciiTheme="minorHAnsi" w:hAnsiTheme="minorHAnsi" w:cs="AGaramond"/>
          <w:color w:val="000000"/>
          <w:sz w:val="22"/>
          <w:szCs w:val="22"/>
        </w:rPr>
        <w:t> </w:t>
      </w:r>
      <w:r>
        <w:rPr>
          <w:rFonts w:asciiTheme="minorHAnsi" w:hAnsiTheme="minorHAnsi" w:cs="AGaramond"/>
          <w:color w:val="000000"/>
          <w:sz w:val="22"/>
          <w:szCs w:val="22"/>
        </w:rPr>
        <w:t xml:space="preserve">2013 </w:t>
      </w:r>
      <w:r w:rsidR="00DA26E9">
        <w:rPr>
          <w:rFonts w:asciiTheme="minorHAnsi" w:hAnsiTheme="minorHAnsi" w:cs="AGaramond"/>
          <w:color w:val="000000"/>
          <w:sz w:val="22"/>
          <w:szCs w:val="22"/>
        </w:rPr>
        <w:t>and a separate Executive Summary are</w:t>
      </w:r>
      <w:r>
        <w:rPr>
          <w:rFonts w:asciiTheme="minorHAnsi" w:hAnsiTheme="minorHAnsi" w:cs="AGaramond"/>
          <w:color w:val="000000"/>
          <w:sz w:val="22"/>
          <w:szCs w:val="22"/>
        </w:rPr>
        <w:t xml:space="preserve"> available in both pdf and accessible M</w:t>
      </w:r>
      <w:r w:rsidR="00184DCE">
        <w:rPr>
          <w:rFonts w:asciiTheme="minorHAnsi" w:hAnsiTheme="minorHAnsi" w:cs="AGaramond"/>
          <w:color w:val="000000"/>
          <w:sz w:val="22"/>
          <w:szCs w:val="22"/>
        </w:rPr>
        <w:t>s</w:t>
      </w:r>
      <w:r>
        <w:rPr>
          <w:rFonts w:asciiTheme="minorHAnsi" w:hAnsiTheme="minorHAnsi" w:cs="AGaramond"/>
          <w:color w:val="000000"/>
          <w:sz w:val="22"/>
          <w:szCs w:val="22"/>
        </w:rPr>
        <w:t xml:space="preserve">Word formats, as individual chapters as well as single </w:t>
      </w:r>
      <w:r>
        <w:rPr>
          <w:rFonts w:asciiTheme="minorHAnsi" w:hAnsiTheme="minorHAnsi" w:cs="AGaramond"/>
          <w:color w:val="000000"/>
          <w:sz w:val="22"/>
          <w:szCs w:val="22"/>
        </w:rPr>
        <w:lastRenderedPageBreak/>
        <w:t>document</w:t>
      </w:r>
      <w:r w:rsidR="00DA26E9">
        <w:rPr>
          <w:rFonts w:asciiTheme="minorHAnsi" w:hAnsiTheme="minorHAnsi" w:cs="AGaramond"/>
          <w:color w:val="000000"/>
          <w:sz w:val="22"/>
          <w:szCs w:val="22"/>
        </w:rPr>
        <w:t>s</w:t>
      </w:r>
      <w:r>
        <w:rPr>
          <w:rFonts w:asciiTheme="minorHAnsi" w:hAnsiTheme="minorHAnsi" w:cs="AGaramond"/>
          <w:color w:val="000000"/>
          <w:sz w:val="22"/>
          <w:szCs w:val="22"/>
        </w:rPr>
        <w:t xml:space="preserve">, and </w:t>
      </w:r>
      <w:r w:rsidR="00DA26E9">
        <w:rPr>
          <w:rFonts w:asciiTheme="minorHAnsi" w:hAnsiTheme="minorHAnsi" w:cs="AGaramond"/>
          <w:color w:val="000000"/>
          <w:sz w:val="22"/>
          <w:szCs w:val="22"/>
        </w:rPr>
        <w:t>are also available in hard copy</w:t>
      </w:r>
      <w:r>
        <w:rPr>
          <w:rFonts w:asciiTheme="minorHAnsi" w:hAnsiTheme="minorHAnsi" w:cs="AGaramond"/>
          <w:color w:val="000000"/>
          <w:sz w:val="22"/>
          <w:szCs w:val="22"/>
        </w:rPr>
        <w:t>.</w:t>
      </w:r>
      <w:r w:rsidR="00681DE9">
        <w:rPr>
          <w:rFonts w:asciiTheme="minorHAnsi" w:hAnsiTheme="minorHAnsi" w:cs="AGaramond"/>
          <w:color w:val="000000"/>
          <w:sz w:val="22"/>
          <w:szCs w:val="22"/>
        </w:rPr>
        <w:t xml:space="preserve"> Key </w:t>
      </w:r>
      <w:r w:rsidR="00C112AB">
        <w:rPr>
          <w:rFonts w:asciiTheme="minorHAnsi" w:hAnsiTheme="minorHAnsi" w:cs="AGaramond"/>
          <w:color w:val="000000"/>
          <w:sz w:val="22"/>
          <w:szCs w:val="22"/>
        </w:rPr>
        <w:t xml:space="preserve">spatial </w:t>
      </w:r>
      <w:r w:rsidR="00681DE9">
        <w:rPr>
          <w:rFonts w:asciiTheme="minorHAnsi" w:hAnsiTheme="minorHAnsi" w:cs="AGaramond"/>
          <w:color w:val="000000"/>
          <w:sz w:val="22"/>
          <w:szCs w:val="22"/>
        </w:rPr>
        <w:t>datasets</w:t>
      </w:r>
      <w:r w:rsidR="00C112AB">
        <w:rPr>
          <w:rFonts w:asciiTheme="minorHAnsi" w:hAnsiTheme="minorHAnsi" w:cs="AGaramond"/>
          <w:color w:val="000000"/>
          <w:sz w:val="22"/>
          <w:szCs w:val="22"/>
        </w:rPr>
        <w:t>,</w:t>
      </w:r>
      <w:r w:rsidR="00681DE9">
        <w:rPr>
          <w:rFonts w:asciiTheme="minorHAnsi" w:hAnsiTheme="minorHAnsi" w:cs="AGaramond"/>
          <w:color w:val="000000"/>
          <w:sz w:val="22"/>
          <w:szCs w:val="22"/>
        </w:rPr>
        <w:t xml:space="preserve"> including forest cover, </w:t>
      </w:r>
      <w:r w:rsidR="00C112AB">
        <w:rPr>
          <w:rFonts w:asciiTheme="minorHAnsi" w:hAnsiTheme="minorHAnsi" w:cs="AGaramond"/>
          <w:color w:val="000000"/>
          <w:sz w:val="22"/>
          <w:szCs w:val="22"/>
        </w:rPr>
        <w:t xml:space="preserve">forest type, </w:t>
      </w:r>
      <w:r w:rsidR="00681DE9">
        <w:rPr>
          <w:rFonts w:asciiTheme="minorHAnsi" w:hAnsiTheme="minorHAnsi" w:cs="AGaramond"/>
          <w:color w:val="000000"/>
          <w:sz w:val="22"/>
          <w:szCs w:val="22"/>
        </w:rPr>
        <w:t>forest tenure and Indigenous managed forests</w:t>
      </w:r>
      <w:r w:rsidR="00C112AB">
        <w:rPr>
          <w:rFonts w:asciiTheme="minorHAnsi" w:hAnsiTheme="minorHAnsi" w:cs="AGaramond"/>
          <w:color w:val="000000"/>
          <w:sz w:val="22"/>
          <w:szCs w:val="22"/>
        </w:rPr>
        <w:t xml:space="preserve">, have </w:t>
      </w:r>
      <w:r w:rsidR="00681DE9">
        <w:rPr>
          <w:rFonts w:asciiTheme="minorHAnsi" w:hAnsiTheme="minorHAnsi" w:cs="AGaramond"/>
          <w:color w:val="000000"/>
          <w:sz w:val="22"/>
          <w:szCs w:val="22"/>
        </w:rPr>
        <w:t xml:space="preserve">also </w:t>
      </w:r>
      <w:r w:rsidR="00C112AB">
        <w:rPr>
          <w:rFonts w:asciiTheme="minorHAnsi" w:hAnsiTheme="minorHAnsi" w:cs="AGaramond"/>
          <w:color w:val="000000"/>
          <w:sz w:val="22"/>
          <w:szCs w:val="22"/>
        </w:rPr>
        <w:t>been published</w:t>
      </w:r>
      <w:r w:rsidR="00681DE9">
        <w:rPr>
          <w:rFonts w:asciiTheme="minorHAnsi" w:hAnsiTheme="minorHAnsi" w:cs="AGaramond"/>
          <w:color w:val="000000"/>
          <w:sz w:val="22"/>
          <w:szCs w:val="22"/>
        </w:rPr>
        <w:t>.</w:t>
      </w:r>
    </w:p>
    <w:p w:rsidR="004F4BE2" w:rsidRPr="008D2369" w:rsidRDefault="004F4BE2" w:rsidP="004F4BE2">
      <w:pPr>
        <w:spacing w:before="120" w:after="120"/>
        <w:rPr>
          <w:rFonts w:asciiTheme="minorHAnsi" w:hAnsiTheme="minorHAnsi"/>
          <w:sz w:val="22"/>
          <w:szCs w:val="22"/>
        </w:rPr>
      </w:pPr>
    </w:p>
    <w:p w:rsidR="00520076" w:rsidRDefault="003C6D37" w:rsidP="00E722AC">
      <w:pPr>
        <w:spacing w:before="120" w:after="120"/>
        <w:rPr>
          <w:rFonts w:asciiTheme="minorHAnsi" w:hAnsiTheme="minorHAnsi"/>
          <w:i/>
          <w:sz w:val="22"/>
        </w:rPr>
      </w:pPr>
      <w:r>
        <w:rPr>
          <w:rFonts w:asciiTheme="minorHAnsi" w:hAnsiTheme="minorHAnsi"/>
          <w:i/>
          <w:sz w:val="22"/>
        </w:rPr>
        <w:t xml:space="preserve">Usage of </w:t>
      </w:r>
      <w:r w:rsidR="00070D08">
        <w:rPr>
          <w:rFonts w:asciiTheme="minorHAnsi" w:hAnsiTheme="minorHAnsi"/>
          <w:i/>
          <w:sz w:val="22"/>
        </w:rPr>
        <w:t>the SOFR series</w:t>
      </w:r>
    </w:p>
    <w:p w:rsidR="00511AAF" w:rsidRPr="00511AAF" w:rsidRDefault="00980D65" w:rsidP="00E722AC">
      <w:pPr>
        <w:spacing w:before="120" w:after="120"/>
        <w:rPr>
          <w:rFonts w:asciiTheme="minorHAnsi" w:hAnsiTheme="minorHAnsi"/>
          <w:sz w:val="22"/>
          <w:szCs w:val="22"/>
        </w:rPr>
      </w:pPr>
      <w:r>
        <w:rPr>
          <w:rFonts w:asciiTheme="minorHAnsi" w:hAnsiTheme="minorHAnsi"/>
          <w:sz w:val="22"/>
        </w:rPr>
        <w:t xml:space="preserve">The </w:t>
      </w:r>
      <w:r w:rsidR="00132D27">
        <w:rPr>
          <w:rFonts w:asciiTheme="minorHAnsi" w:hAnsiTheme="minorHAnsi"/>
          <w:sz w:val="22"/>
        </w:rPr>
        <w:t>SOFR</w:t>
      </w:r>
      <w:r w:rsidR="00132D27" w:rsidRPr="009C1D65">
        <w:rPr>
          <w:rFonts w:asciiTheme="minorHAnsi" w:hAnsiTheme="minorHAnsi"/>
          <w:sz w:val="22"/>
        </w:rPr>
        <w:t xml:space="preserve"> </w:t>
      </w:r>
      <w:r>
        <w:rPr>
          <w:rFonts w:asciiTheme="minorHAnsi" w:hAnsiTheme="minorHAnsi"/>
          <w:sz w:val="22"/>
        </w:rPr>
        <w:t xml:space="preserve">series </w:t>
      </w:r>
      <w:r w:rsidR="00177C41">
        <w:rPr>
          <w:rFonts w:asciiTheme="minorHAnsi" w:hAnsiTheme="minorHAnsi"/>
          <w:sz w:val="22"/>
        </w:rPr>
        <w:t>i</w:t>
      </w:r>
      <w:r w:rsidR="00177C41" w:rsidRPr="005168E1">
        <w:rPr>
          <w:rFonts w:asciiTheme="minorHAnsi" w:hAnsiTheme="minorHAnsi"/>
          <w:sz w:val="22"/>
        </w:rPr>
        <w:t xml:space="preserve">s a widely used resource for </w:t>
      </w:r>
      <w:r w:rsidR="00263C89">
        <w:rPr>
          <w:rFonts w:asciiTheme="minorHAnsi" w:hAnsiTheme="minorHAnsi"/>
          <w:sz w:val="22"/>
        </w:rPr>
        <w:t>understanding the multiple values of Australia’s forests</w:t>
      </w:r>
      <w:r w:rsidR="00147713">
        <w:rPr>
          <w:rFonts w:asciiTheme="minorHAnsi" w:hAnsiTheme="minorHAnsi"/>
          <w:sz w:val="22"/>
        </w:rPr>
        <w:t>,</w:t>
      </w:r>
      <w:r w:rsidR="00263C89">
        <w:rPr>
          <w:rFonts w:asciiTheme="minorHAnsi" w:hAnsiTheme="minorHAnsi"/>
          <w:sz w:val="22"/>
        </w:rPr>
        <w:t xml:space="preserve"> </w:t>
      </w:r>
      <w:r w:rsidR="00E174B6">
        <w:rPr>
          <w:rFonts w:asciiTheme="minorHAnsi" w:hAnsiTheme="minorHAnsi"/>
          <w:sz w:val="22"/>
        </w:rPr>
        <w:t>as well as</w:t>
      </w:r>
      <w:r w:rsidR="00263C89">
        <w:rPr>
          <w:rFonts w:asciiTheme="minorHAnsi" w:hAnsiTheme="minorHAnsi"/>
          <w:sz w:val="22"/>
        </w:rPr>
        <w:t xml:space="preserve"> the state of these values</w:t>
      </w:r>
      <w:r w:rsidR="005168E1" w:rsidRPr="005168E1">
        <w:rPr>
          <w:rFonts w:asciiTheme="minorHAnsi" w:hAnsiTheme="minorHAnsi"/>
          <w:sz w:val="22"/>
        </w:rPr>
        <w:t xml:space="preserve">, and </w:t>
      </w:r>
      <w:r w:rsidR="005168E1">
        <w:rPr>
          <w:rFonts w:asciiTheme="minorHAnsi" w:hAnsiTheme="minorHAnsi"/>
          <w:sz w:val="22"/>
        </w:rPr>
        <w:t>demonstrating</w:t>
      </w:r>
      <w:r w:rsidR="00132D27" w:rsidRPr="009C1D65">
        <w:rPr>
          <w:rFonts w:asciiTheme="minorHAnsi" w:hAnsiTheme="minorHAnsi"/>
          <w:sz w:val="22"/>
        </w:rPr>
        <w:t xml:space="preserve"> </w:t>
      </w:r>
      <w:r w:rsidR="00263C89">
        <w:rPr>
          <w:rFonts w:asciiTheme="minorHAnsi" w:hAnsiTheme="minorHAnsi"/>
          <w:sz w:val="22"/>
        </w:rPr>
        <w:t>progress</w:t>
      </w:r>
      <w:r w:rsidR="00263C89" w:rsidRPr="00511AAF">
        <w:rPr>
          <w:rFonts w:asciiTheme="minorHAnsi" w:hAnsiTheme="minorHAnsi"/>
          <w:sz w:val="22"/>
        </w:rPr>
        <w:t xml:space="preserve"> </w:t>
      </w:r>
      <w:r w:rsidRPr="00511AAF">
        <w:rPr>
          <w:rFonts w:asciiTheme="minorHAnsi" w:hAnsiTheme="minorHAnsi"/>
          <w:sz w:val="22"/>
        </w:rPr>
        <w:t>in</w:t>
      </w:r>
      <w:r w:rsidR="00263C89">
        <w:rPr>
          <w:rFonts w:asciiTheme="minorHAnsi" w:hAnsiTheme="minorHAnsi"/>
          <w:sz w:val="22"/>
        </w:rPr>
        <w:t xml:space="preserve"> sustainable</w:t>
      </w:r>
      <w:r w:rsidRPr="00511AAF">
        <w:rPr>
          <w:rFonts w:asciiTheme="minorHAnsi" w:hAnsiTheme="minorHAnsi"/>
          <w:sz w:val="22"/>
        </w:rPr>
        <w:t xml:space="preserve"> forest management</w:t>
      </w:r>
      <w:r w:rsidR="00132D27" w:rsidRPr="00511AAF">
        <w:rPr>
          <w:rFonts w:asciiTheme="minorHAnsi" w:hAnsiTheme="minorHAnsi"/>
          <w:sz w:val="22"/>
        </w:rPr>
        <w:t xml:space="preserve">. </w:t>
      </w:r>
      <w:r w:rsidR="00177C41" w:rsidRPr="00511AAF">
        <w:rPr>
          <w:rFonts w:asciiTheme="minorHAnsi" w:hAnsiTheme="minorHAnsi"/>
          <w:sz w:val="22"/>
        </w:rPr>
        <w:t xml:space="preserve">SOFR is of </w:t>
      </w:r>
      <w:r w:rsidR="00263C89" w:rsidRPr="00511AAF">
        <w:rPr>
          <w:rFonts w:asciiTheme="minorHAnsi" w:hAnsiTheme="minorHAnsi"/>
          <w:sz w:val="22"/>
        </w:rPr>
        <w:t>importance</w:t>
      </w:r>
      <w:r w:rsidR="00177C41" w:rsidRPr="00511AAF">
        <w:rPr>
          <w:rFonts w:asciiTheme="minorHAnsi" w:hAnsiTheme="minorHAnsi"/>
          <w:sz w:val="22"/>
        </w:rPr>
        <w:t xml:space="preserve"> to, and serves the d</w:t>
      </w:r>
      <w:r w:rsidR="00177C41" w:rsidRPr="00511AAF">
        <w:rPr>
          <w:rFonts w:asciiTheme="minorHAnsi" w:hAnsiTheme="minorHAnsi"/>
          <w:sz w:val="22"/>
          <w:szCs w:val="22"/>
        </w:rPr>
        <w:t>iverse purposes of, many different people and organisations</w:t>
      </w:r>
      <w:r w:rsidR="00511AAF" w:rsidRPr="00511AAF">
        <w:rPr>
          <w:rFonts w:asciiTheme="minorHAnsi" w:hAnsiTheme="minorHAnsi"/>
          <w:sz w:val="22"/>
          <w:szCs w:val="22"/>
        </w:rPr>
        <w:t xml:space="preserve"> throughout Australia and overseas</w:t>
      </w:r>
      <w:r w:rsidR="00177C41" w:rsidRPr="00511AAF">
        <w:rPr>
          <w:rFonts w:asciiTheme="minorHAnsi" w:hAnsiTheme="minorHAnsi"/>
          <w:sz w:val="22"/>
          <w:szCs w:val="22"/>
        </w:rPr>
        <w:t>, such as</w:t>
      </w:r>
      <w:r w:rsidR="00511AAF" w:rsidRPr="00511AAF">
        <w:rPr>
          <w:rFonts w:asciiTheme="minorHAnsi" w:hAnsiTheme="minorHAnsi"/>
          <w:sz w:val="22"/>
          <w:szCs w:val="22"/>
        </w:rPr>
        <w:t>:</w:t>
      </w:r>
      <w:r w:rsidR="00177C41" w:rsidRPr="00511AAF">
        <w:rPr>
          <w:rFonts w:asciiTheme="minorHAnsi" w:hAnsiTheme="minorHAnsi"/>
          <w:sz w:val="22"/>
          <w:szCs w:val="22"/>
        </w:rPr>
        <w:t xml:space="preserve"> </w:t>
      </w:r>
    </w:p>
    <w:p w:rsidR="00511AAF" w:rsidRPr="00511AAF" w:rsidRDefault="00933BC5" w:rsidP="00511AAF">
      <w:pPr>
        <w:pStyle w:val="ListParagraph"/>
        <w:numPr>
          <w:ilvl w:val="0"/>
          <w:numId w:val="5"/>
        </w:numPr>
        <w:spacing w:before="120" w:after="120"/>
        <w:ind w:left="426" w:hanging="426"/>
        <w:contextualSpacing w:val="0"/>
        <w:rPr>
          <w:rFonts w:asciiTheme="minorHAnsi" w:hAnsiTheme="minorHAnsi"/>
          <w:sz w:val="22"/>
          <w:szCs w:val="22"/>
        </w:rPr>
      </w:pPr>
      <w:r>
        <w:rPr>
          <w:rFonts w:asciiTheme="minorHAnsi" w:hAnsiTheme="minorHAnsi"/>
          <w:sz w:val="22"/>
          <w:szCs w:val="22"/>
        </w:rPr>
        <w:t>Australian</w:t>
      </w:r>
      <w:r w:rsidR="00511AAF" w:rsidRPr="00511AAF">
        <w:rPr>
          <w:rFonts w:asciiTheme="minorHAnsi" w:hAnsiTheme="minorHAnsi"/>
          <w:sz w:val="22"/>
          <w:szCs w:val="22"/>
        </w:rPr>
        <w:t>, state and territory government ministers</w:t>
      </w:r>
    </w:p>
    <w:p w:rsidR="00511AAF" w:rsidRPr="00511AAF" w:rsidRDefault="00933BC5" w:rsidP="00511AAF">
      <w:pPr>
        <w:pStyle w:val="ListParagraph"/>
        <w:numPr>
          <w:ilvl w:val="0"/>
          <w:numId w:val="5"/>
        </w:numPr>
        <w:spacing w:before="120" w:after="120"/>
        <w:ind w:left="426" w:hanging="426"/>
        <w:contextualSpacing w:val="0"/>
        <w:rPr>
          <w:rFonts w:asciiTheme="minorHAnsi" w:hAnsiTheme="minorHAnsi"/>
          <w:sz w:val="22"/>
          <w:szCs w:val="22"/>
        </w:rPr>
      </w:pPr>
      <w:r>
        <w:rPr>
          <w:rFonts w:asciiTheme="minorHAnsi" w:hAnsiTheme="minorHAnsi"/>
          <w:sz w:val="22"/>
          <w:szCs w:val="22"/>
        </w:rPr>
        <w:t>Australian</w:t>
      </w:r>
      <w:r w:rsidR="00511AAF" w:rsidRPr="00511AAF">
        <w:rPr>
          <w:rFonts w:asciiTheme="minorHAnsi" w:hAnsiTheme="minorHAnsi"/>
          <w:sz w:val="22"/>
          <w:szCs w:val="22"/>
        </w:rPr>
        <w:t xml:space="preserve">, state and territory </w:t>
      </w:r>
      <w:r>
        <w:rPr>
          <w:rFonts w:asciiTheme="minorHAnsi" w:hAnsiTheme="minorHAnsi"/>
          <w:sz w:val="22"/>
          <w:szCs w:val="22"/>
        </w:rPr>
        <w:t xml:space="preserve">government </w:t>
      </w:r>
      <w:r w:rsidR="00511AAF" w:rsidRPr="00511AAF">
        <w:rPr>
          <w:rFonts w:asciiTheme="minorHAnsi" w:hAnsiTheme="minorHAnsi"/>
          <w:sz w:val="22"/>
          <w:szCs w:val="22"/>
        </w:rPr>
        <w:t>agencies, inclu</w:t>
      </w:r>
      <w:r w:rsidR="00302A7C">
        <w:rPr>
          <w:rFonts w:asciiTheme="minorHAnsi" w:hAnsiTheme="minorHAnsi"/>
          <w:sz w:val="22"/>
          <w:szCs w:val="22"/>
        </w:rPr>
        <w:t>d</w:t>
      </w:r>
      <w:r w:rsidR="00511AAF" w:rsidRPr="00511AAF">
        <w:rPr>
          <w:rFonts w:asciiTheme="minorHAnsi" w:hAnsiTheme="minorHAnsi"/>
          <w:sz w:val="22"/>
          <w:szCs w:val="22"/>
        </w:rPr>
        <w:t>ing regional development organisations</w:t>
      </w:r>
    </w:p>
    <w:p w:rsidR="00511AAF" w:rsidRPr="00302A7C" w:rsidRDefault="00511AAF" w:rsidP="00302A7C">
      <w:pPr>
        <w:pStyle w:val="ListParagraph"/>
        <w:numPr>
          <w:ilvl w:val="0"/>
          <w:numId w:val="5"/>
        </w:numPr>
        <w:spacing w:before="120" w:after="120"/>
        <w:ind w:left="426" w:hanging="426"/>
        <w:contextualSpacing w:val="0"/>
        <w:rPr>
          <w:rFonts w:asciiTheme="minorHAnsi" w:hAnsiTheme="minorHAnsi"/>
          <w:sz w:val="22"/>
          <w:szCs w:val="22"/>
        </w:rPr>
      </w:pPr>
      <w:r w:rsidRPr="00511AAF">
        <w:rPr>
          <w:rFonts w:asciiTheme="minorHAnsi" w:hAnsiTheme="minorHAnsi"/>
          <w:sz w:val="22"/>
          <w:szCs w:val="22"/>
        </w:rPr>
        <w:t>parliamentary and other enquiries</w:t>
      </w:r>
      <w:r w:rsidR="00302A7C">
        <w:rPr>
          <w:rFonts w:asciiTheme="minorHAnsi" w:hAnsiTheme="minorHAnsi"/>
          <w:sz w:val="22"/>
          <w:szCs w:val="22"/>
        </w:rPr>
        <w:t xml:space="preserve"> (</w:t>
      </w:r>
      <w:r w:rsidRPr="00302A7C">
        <w:rPr>
          <w:rFonts w:asciiTheme="minorHAnsi" w:hAnsiTheme="minorHAnsi"/>
          <w:sz w:val="22"/>
          <w:szCs w:val="22"/>
        </w:rPr>
        <w:t>SOFR</w:t>
      </w:r>
      <w:r w:rsidR="00184DCE">
        <w:rPr>
          <w:rFonts w:asciiTheme="minorHAnsi" w:hAnsiTheme="minorHAnsi"/>
          <w:sz w:val="22"/>
          <w:szCs w:val="22"/>
        </w:rPr>
        <w:t> </w:t>
      </w:r>
      <w:r w:rsidRPr="00302A7C">
        <w:rPr>
          <w:rFonts w:asciiTheme="minorHAnsi" w:hAnsiTheme="minorHAnsi"/>
          <w:sz w:val="22"/>
          <w:szCs w:val="22"/>
        </w:rPr>
        <w:t xml:space="preserve">2008 was widely cited in a number of </w:t>
      </w:r>
      <w:r w:rsidR="001D073B">
        <w:rPr>
          <w:rFonts w:asciiTheme="minorHAnsi" w:hAnsiTheme="minorHAnsi"/>
          <w:sz w:val="22"/>
          <w:szCs w:val="22"/>
        </w:rPr>
        <w:t>s</w:t>
      </w:r>
      <w:r w:rsidR="001D073B" w:rsidRPr="00302A7C">
        <w:rPr>
          <w:rFonts w:asciiTheme="minorHAnsi" w:hAnsiTheme="minorHAnsi"/>
          <w:sz w:val="22"/>
          <w:szCs w:val="22"/>
        </w:rPr>
        <w:t xml:space="preserve">tate </w:t>
      </w:r>
      <w:r w:rsidRPr="00302A7C">
        <w:rPr>
          <w:rFonts w:asciiTheme="minorHAnsi" w:hAnsiTheme="minorHAnsi"/>
          <w:sz w:val="22"/>
          <w:szCs w:val="22"/>
        </w:rPr>
        <w:t xml:space="preserve">and </w:t>
      </w:r>
      <w:r w:rsidR="00933BC5">
        <w:rPr>
          <w:rFonts w:asciiTheme="minorHAnsi" w:hAnsiTheme="minorHAnsi"/>
          <w:sz w:val="22"/>
          <w:szCs w:val="22"/>
        </w:rPr>
        <w:t>Australian Government</w:t>
      </w:r>
      <w:r w:rsidR="00933BC5" w:rsidRPr="00302A7C">
        <w:rPr>
          <w:rFonts w:asciiTheme="minorHAnsi" w:hAnsiTheme="minorHAnsi"/>
          <w:sz w:val="22"/>
          <w:szCs w:val="22"/>
        </w:rPr>
        <w:t xml:space="preserve"> </w:t>
      </w:r>
      <w:r w:rsidRPr="00302A7C">
        <w:rPr>
          <w:rFonts w:asciiTheme="minorHAnsi" w:hAnsiTheme="minorHAnsi"/>
          <w:sz w:val="22"/>
          <w:szCs w:val="22"/>
        </w:rPr>
        <w:t>parliamentary inquiries into forests and forest industries</w:t>
      </w:r>
      <w:r w:rsidR="00302A7C">
        <w:rPr>
          <w:rFonts w:asciiTheme="minorHAnsi" w:hAnsiTheme="minorHAnsi"/>
          <w:sz w:val="22"/>
          <w:szCs w:val="22"/>
        </w:rPr>
        <w:t>)</w:t>
      </w:r>
    </w:p>
    <w:p w:rsidR="00511AAF" w:rsidRPr="00511AAF" w:rsidRDefault="00511AAF" w:rsidP="00511AAF">
      <w:pPr>
        <w:pStyle w:val="ListParagraph"/>
        <w:numPr>
          <w:ilvl w:val="0"/>
          <w:numId w:val="5"/>
        </w:numPr>
        <w:spacing w:before="120" w:after="120"/>
        <w:ind w:left="426" w:hanging="426"/>
        <w:contextualSpacing w:val="0"/>
        <w:rPr>
          <w:rFonts w:asciiTheme="minorHAnsi" w:hAnsiTheme="minorHAnsi"/>
          <w:sz w:val="22"/>
          <w:szCs w:val="22"/>
        </w:rPr>
      </w:pPr>
      <w:r w:rsidRPr="00511AAF">
        <w:rPr>
          <w:rFonts w:asciiTheme="minorHAnsi" w:hAnsiTheme="minorHAnsi"/>
          <w:sz w:val="22"/>
          <w:szCs w:val="22"/>
        </w:rPr>
        <w:t>policy-makers</w:t>
      </w:r>
    </w:p>
    <w:p w:rsidR="00511AAF" w:rsidRPr="00511AAF" w:rsidRDefault="00425B9F" w:rsidP="00511AAF">
      <w:pPr>
        <w:pStyle w:val="ListParagraph"/>
        <w:numPr>
          <w:ilvl w:val="0"/>
          <w:numId w:val="5"/>
        </w:numPr>
        <w:spacing w:before="120" w:after="120"/>
        <w:ind w:left="426" w:hanging="426"/>
        <w:contextualSpacing w:val="0"/>
        <w:rPr>
          <w:rFonts w:asciiTheme="minorHAnsi" w:hAnsiTheme="minorHAnsi"/>
          <w:sz w:val="22"/>
          <w:szCs w:val="22"/>
        </w:rPr>
      </w:pPr>
      <w:r>
        <w:rPr>
          <w:rFonts w:asciiTheme="minorHAnsi" w:hAnsiTheme="minorHAnsi"/>
          <w:sz w:val="22"/>
          <w:szCs w:val="22"/>
        </w:rPr>
        <w:t xml:space="preserve">forest planners and </w:t>
      </w:r>
      <w:r w:rsidR="00263C89">
        <w:rPr>
          <w:rFonts w:asciiTheme="minorHAnsi" w:hAnsiTheme="minorHAnsi"/>
          <w:sz w:val="22"/>
          <w:szCs w:val="22"/>
        </w:rPr>
        <w:t xml:space="preserve">natural resource management </w:t>
      </w:r>
      <w:r w:rsidR="00511AAF" w:rsidRPr="00511AAF">
        <w:rPr>
          <w:rFonts w:asciiTheme="minorHAnsi" w:hAnsiTheme="minorHAnsi"/>
          <w:sz w:val="22"/>
          <w:szCs w:val="22"/>
        </w:rPr>
        <w:t>planners</w:t>
      </w:r>
    </w:p>
    <w:p w:rsidR="00511AAF" w:rsidRPr="00511AAF" w:rsidRDefault="00511AAF" w:rsidP="00511AAF">
      <w:pPr>
        <w:pStyle w:val="ListParagraph"/>
        <w:numPr>
          <w:ilvl w:val="0"/>
          <w:numId w:val="5"/>
        </w:numPr>
        <w:spacing w:before="120" w:after="120"/>
        <w:ind w:left="426" w:hanging="426"/>
        <w:contextualSpacing w:val="0"/>
        <w:rPr>
          <w:rFonts w:asciiTheme="minorHAnsi" w:hAnsiTheme="minorHAnsi"/>
          <w:sz w:val="22"/>
          <w:szCs w:val="22"/>
        </w:rPr>
      </w:pPr>
      <w:r w:rsidRPr="00511AAF">
        <w:rPr>
          <w:rFonts w:asciiTheme="minorHAnsi" w:hAnsiTheme="minorHAnsi"/>
          <w:sz w:val="22"/>
          <w:szCs w:val="22"/>
        </w:rPr>
        <w:t>forest growers and managers</w:t>
      </w:r>
    </w:p>
    <w:p w:rsidR="00511AAF" w:rsidRPr="00511AAF" w:rsidRDefault="00511AAF" w:rsidP="00511AAF">
      <w:pPr>
        <w:pStyle w:val="ListParagraph"/>
        <w:numPr>
          <w:ilvl w:val="0"/>
          <w:numId w:val="5"/>
        </w:numPr>
        <w:spacing w:before="120" w:after="120"/>
        <w:ind w:left="426" w:hanging="426"/>
        <w:contextualSpacing w:val="0"/>
        <w:rPr>
          <w:rFonts w:asciiTheme="minorHAnsi" w:hAnsiTheme="minorHAnsi"/>
          <w:sz w:val="22"/>
          <w:szCs w:val="22"/>
        </w:rPr>
      </w:pPr>
      <w:r w:rsidRPr="00511AAF">
        <w:rPr>
          <w:rFonts w:asciiTheme="minorHAnsi" w:hAnsiTheme="minorHAnsi"/>
          <w:sz w:val="22"/>
          <w:szCs w:val="22"/>
        </w:rPr>
        <w:t>forest industry and business</w:t>
      </w:r>
      <w:r w:rsidR="008B134A">
        <w:rPr>
          <w:rFonts w:asciiTheme="minorHAnsi" w:hAnsiTheme="minorHAnsi"/>
          <w:sz w:val="22"/>
          <w:szCs w:val="22"/>
        </w:rPr>
        <w:t xml:space="preserve"> managers</w:t>
      </w:r>
      <w:r w:rsidRPr="00511AAF">
        <w:rPr>
          <w:rFonts w:asciiTheme="minorHAnsi" w:hAnsiTheme="minorHAnsi"/>
          <w:sz w:val="22"/>
          <w:szCs w:val="22"/>
        </w:rPr>
        <w:t>, including in the processing, manufacturing and importing sectors, often during the preparation of proposals and business cases</w:t>
      </w:r>
    </w:p>
    <w:p w:rsidR="00511AAF" w:rsidRPr="00511AAF" w:rsidRDefault="00511AAF" w:rsidP="00511AAF">
      <w:pPr>
        <w:pStyle w:val="ListParagraph"/>
        <w:numPr>
          <w:ilvl w:val="0"/>
          <w:numId w:val="5"/>
        </w:numPr>
        <w:spacing w:before="120" w:after="120"/>
        <w:ind w:left="426" w:hanging="426"/>
        <w:contextualSpacing w:val="0"/>
        <w:rPr>
          <w:rFonts w:asciiTheme="minorHAnsi" w:hAnsiTheme="minorHAnsi"/>
          <w:sz w:val="22"/>
          <w:szCs w:val="22"/>
        </w:rPr>
      </w:pPr>
      <w:r w:rsidRPr="00511AAF">
        <w:rPr>
          <w:rFonts w:asciiTheme="minorHAnsi" w:hAnsiTheme="minorHAnsi"/>
          <w:sz w:val="22"/>
          <w:szCs w:val="22"/>
        </w:rPr>
        <w:t>academia, researchers, consultants and forest industry analysts</w:t>
      </w:r>
    </w:p>
    <w:p w:rsidR="00511AAF" w:rsidRPr="00511AAF" w:rsidRDefault="00511AAF" w:rsidP="00511AAF">
      <w:pPr>
        <w:pStyle w:val="ListParagraph"/>
        <w:numPr>
          <w:ilvl w:val="0"/>
          <w:numId w:val="5"/>
        </w:numPr>
        <w:spacing w:before="120" w:after="120"/>
        <w:ind w:left="426" w:hanging="426"/>
        <w:contextualSpacing w:val="0"/>
        <w:rPr>
          <w:rFonts w:asciiTheme="minorHAnsi" w:hAnsiTheme="minorHAnsi"/>
          <w:sz w:val="22"/>
          <w:szCs w:val="22"/>
        </w:rPr>
      </w:pPr>
      <w:r w:rsidRPr="00511AAF">
        <w:rPr>
          <w:rFonts w:asciiTheme="minorHAnsi" w:hAnsiTheme="minorHAnsi"/>
          <w:sz w:val="22"/>
          <w:szCs w:val="22"/>
        </w:rPr>
        <w:t>non-governmental organisations</w:t>
      </w:r>
    </w:p>
    <w:p w:rsidR="00511AAF" w:rsidRDefault="00511AAF" w:rsidP="00E722AC">
      <w:pPr>
        <w:pStyle w:val="ListParagraph"/>
        <w:numPr>
          <w:ilvl w:val="0"/>
          <w:numId w:val="5"/>
        </w:numPr>
        <w:spacing w:before="120" w:after="120"/>
        <w:ind w:left="426" w:hanging="426"/>
        <w:contextualSpacing w:val="0"/>
        <w:rPr>
          <w:rFonts w:asciiTheme="minorHAnsi" w:hAnsiTheme="minorHAnsi"/>
          <w:sz w:val="22"/>
          <w:szCs w:val="22"/>
        </w:rPr>
      </w:pPr>
      <w:r w:rsidRPr="00511AAF">
        <w:rPr>
          <w:rFonts w:asciiTheme="minorHAnsi" w:hAnsiTheme="minorHAnsi"/>
          <w:sz w:val="22"/>
          <w:szCs w:val="22"/>
        </w:rPr>
        <w:t>professional societies.</w:t>
      </w:r>
    </w:p>
    <w:p w:rsidR="00302A7C" w:rsidRPr="00302A7C" w:rsidRDefault="00302A7C" w:rsidP="00302A7C">
      <w:pPr>
        <w:spacing w:before="120" w:after="120"/>
        <w:rPr>
          <w:rFonts w:asciiTheme="minorHAnsi" w:hAnsiTheme="minorHAnsi"/>
          <w:sz w:val="22"/>
          <w:szCs w:val="22"/>
        </w:rPr>
      </w:pPr>
    </w:p>
    <w:p w:rsidR="003C6D37" w:rsidRDefault="003C6D37" w:rsidP="003C6D37">
      <w:pPr>
        <w:spacing w:before="120" w:after="120"/>
        <w:rPr>
          <w:rFonts w:asciiTheme="minorHAnsi" w:hAnsiTheme="minorHAnsi"/>
          <w:i/>
          <w:sz w:val="22"/>
        </w:rPr>
      </w:pPr>
      <w:r>
        <w:rPr>
          <w:rFonts w:asciiTheme="minorHAnsi" w:hAnsiTheme="minorHAnsi"/>
          <w:i/>
          <w:sz w:val="22"/>
        </w:rPr>
        <w:t>Benefits of producing the SOFR series</w:t>
      </w:r>
    </w:p>
    <w:p w:rsidR="00132D27" w:rsidRPr="009C477E" w:rsidRDefault="009C477E" w:rsidP="00E722AC">
      <w:pPr>
        <w:spacing w:before="120" w:after="120"/>
        <w:rPr>
          <w:rFonts w:asciiTheme="minorHAnsi" w:hAnsiTheme="minorHAnsi"/>
          <w:sz w:val="20"/>
        </w:rPr>
      </w:pPr>
      <w:r w:rsidRPr="009C477E">
        <w:rPr>
          <w:rFonts w:asciiTheme="minorHAnsi" w:hAnsiTheme="minorHAnsi"/>
          <w:sz w:val="22"/>
        </w:rPr>
        <w:t>The comprehensive and consistent nature of the SOFR series described above, and the above wide range of users, leads to the following benefits of producing the SOFR series</w:t>
      </w:r>
      <w:r w:rsidR="00132D27" w:rsidRPr="009C477E">
        <w:rPr>
          <w:rFonts w:asciiTheme="minorHAnsi" w:hAnsiTheme="minorHAnsi"/>
          <w:sz w:val="20"/>
        </w:rPr>
        <w:t>:</w:t>
      </w:r>
    </w:p>
    <w:p w:rsidR="00980D65" w:rsidRPr="00C57E2D" w:rsidRDefault="00980D65" w:rsidP="00E722AC">
      <w:pPr>
        <w:pStyle w:val="ListParagraph"/>
        <w:numPr>
          <w:ilvl w:val="0"/>
          <w:numId w:val="11"/>
        </w:numPr>
        <w:spacing w:before="120" w:after="120"/>
        <w:ind w:left="426" w:hanging="426"/>
        <w:contextualSpacing w:val="0"/>
        <w:rPr>
          <w:rFonts w:asciiTheme="minorHAnsi" w:hAnsiTheme="minorHAnsi"/>
          <w:sz w:val="22"/>
          <w:u w:val="single"/>
        </w:rPr>
      </w:pPr>
      <w:r w:rsidRPr="00C57E2D">
        <w:rPr>
          <w:rFonts w:asciiTheme="minorHAnsi" w:hAnsiTheme="minorHAnsi"/>
          <w:sz w:val="22"/>
          <w:u w:val="single"/>
        </w:rPr>
        <w:t xml:space="preserve">Informed policy and </w:t>
      </w:r>
      <w:r w:rsidR="00FF2D5B">
        <w:rPr>
          <w:rFonts w:asciiTheme="minorHAnsi" w:hAnsiTheme="minorHAnsi"/>
          <w:sz w:val="22"/>
          <w:u w:val="single"/>
        </w:rPr>
        <w:t>informed</w:t>
      </w:r>
      <w:r w:rsidRPr="00C57E2D">
        <w:rPr>
          <w:rFonts w:asciiTheme="minorHAnsi" w:hAnsiTheme="minorHAnsi"/>
          <w:sz w:val="22"/>
          <w:u w:val="single"/>
        </w:rPr>
        <w:t xml:space="preserve"> decision-making</w:t>
      </w:r>
    </w:p>
    <w:p w:rsidR="00A6163E" w:rsidRPr="00A6163E" w:rsidRDefault="00A6163E" w:rsidP="00E722AC">
      <w:pPr>
        <w:spacing w:before="120" w:after="120"/>
        <w:ind w:left="426"/>
        <w:rPr>
          <w:rFonts w:asciiTheme="minorHAnsi" w:hAnsiTheme="minorHAnsi"/>
          <w:sz w:val="22"/>
        </w:rPr>
      </w:pPr>
      <w:r>
        <w:rPr>
          <w:rFonts w:asciiTheme="minorHAnsi" w:hAnsiTheme="minorHAnsi"/>
          <w:sz w:val="22"/>
        </w:rPr>
        <w:t xml:space="preserve">SOFR </w:t>
      </w:r>
      <w:r w:rsidRPr="00A6163E">
        <w:rPr>
          <w:rFonts w:asciiTheme="minorHAnsi" w:hAnsiTheme="minorHAnsi"/>
          <w:sz w:val="22"/>
        </w:rPr>
        <w:t xml:space="preserve">directly assists policy-makers to develop sound future policies and programs in relation to </w:t>
      </w:r>
      <w:r>
        <w:rPr>
          <w:rFonts w:asciiTheme="minorHAnsi" w:hAnsiTheme="minorHAnsi"/>
          <w:sz w:val="22"/>
        </w:rPr>
        <w:t xml:space="preserve">sustainable forest management, </w:t>
      </w:r>
      <w:r w:rsidRPr="00A6163E">
        <w:rPr>
          <w:rFonts w:asciiTheme="minorHAnsi" w:hAnsiTheme="minorHAnsi"/>
          <w:sz w:val="22"/>
        </w:rPr>
        <w:t>access to forest resources</w:t>
      </w:r>
      <w:r>
        <w:rPr>
          <w:rFonts w:asciiTheme="minorHAnsi" w:hAnsiTheme="minorHAnsi"/>
          <w:sz w:val="22"/>
        </w:rPr>
        <w:t>,</w:t>
      </w:r>
      <w:r w:rsidRPr="00A6163E">
        <w:rPr>
          <w:rFonts w:asciiTheme="minorHAnsi" w:hAnsiTheme="minorHAnsi"/>
          <w:sz w:val="22"/>
        </w:rPr>
        <w:t xml:space="preserve"> meeting market demand for forest products, </w:t>
      </w:r>
      <w:r w:rsidR="001A564D" w:rsidRPr="00A6163E">
        <w:rPr>
          <w:rFonts w:asciiTheme="minorHAnsi" w:hAnsiTheme="minorHAnsi"/>
          <w:sz w:val="22"/>
        </w:rPr>
        <w:t>effective forest conservation strategies</w:t>
      </w:r>
      <w:r w:rsidR="001A564D">
        <w:rPr>
          <w:rFonts w:asciiTheme="minorHAnsi" w:hAnsiTheme="minorHAnsi"/>
          <w:sz w:val="22"/>
        </w:rPr>
        <w:t xml:space="preserve">, </w:t>
      </w:r>
      <w:r w:rsidRPr="00A6163E">
        <w:rPr>
          <w:rFonts w:asciiTheme="minorHAnsi" w:hAnsiTheme="minorHAnsi"/>
          <w:sz w:val="22"/>
        </w:rPr>
        <w:t>and community concerns with forest management</w:t>
      </w:r>
      <w:r w:rsidR="001D073B">
        <w:rPr>
          <w:rFonts w:asciiTheme="minorHAnsi" w:hAnsiTheme="minorHAnsi"/>
          <w:sz w:val="22"/>
        </w:rPr>
        <w:t>.</w:t>
      </w:r>
      <w:r w:rsidRPr="00A6163E">
        <w:rPr>
          <w:rFonts w:asciiTheme="minorHAnsi" w:hAnsiTheme="minorHAnsi"/>
          <w:sz w:val="22"/>
        </w:rPr>
        <w:t xml:space="preserve">  </w:t>
      </w:r>
    </w:p>
    <w:p w:rsidR="00980D65" w:rsidRPr="00C57E2D" w:rsidRDefault="00980D65" w:rsidP="00E722AC">
      <w:pPr>
        <w:pStyle w:val="ListParagraph"/>
        <w:numPr>
          <w:ilvl w:val="0"/>
          <w:numId w:val="11"/>
        </w:numPr>
        <w:spacing w:before="120" w:after="120"/>
        <w:ind w:left="426" w:hanging="426"/>
        <w:contextualSpacing w:val="0"/>
        <w:rPr>
          <w:rFonts w:asciiTheme="minorHAnsi" w:hAnsiTheme="minorHAnsi"/>
          <w:sz w:val="22"/>
          <w:u w:val="single"/>
        </w:rPr>
      </w:pPr>
      <w:r w:rsidRPr="00C57E2D">
        <w:rPr>
          <w:rFonts w:asciiTheme="minorHAnsi" w:hAnsiTheme="minorHAnsi"/>
          <w:sz w:val="22"/>
          <w:u w:val="single"/>
        </w:rPr>
        <w:t>Informed industry development and decision-making, regionally, nationally and internationally</w:t>
      </w:r>
    </w:p>
    <w:p w:rsidR="00A6163E" w:rsidRPr="00A6163E" w:rsidRDefault="001A564D" w:rsidP="00E722AC">
      <w:pPr>
        <w:spacing w:before="120" w:after="120"/>
        <w:ind w:left="426"/>
        <w:rPr>
          <w:rFonts w:asciiTheme="minorHAnsi" w:hAnsiTheme="minorHAnsi"/>
          <w:sz w:val="22"/>
        </w:rPr>
      </w:pPr>
      <w:r>
        <w:rPr>
          <w:rFonts w:asciiTheme="minorHAnsi" w:hAnsiTheme="minorHAnsi"/>
          <w:sz w:val="22"/>
        </w:rPr>
        <w:t>The data and analyses presented in SOFR support</w:t>
      </w:r>
      <w:r w:rsidR="00A6163E" w:rsidRPr="00A6163E">
        <w:rPr>
          <w:rFonts w:asciiTheme="minorHAnsi" w:hAnsiTheme="minorHAnsi"/>
          <w:sz w:val="22"/>
        </w:rPr>
        <w:t xml:space="preserve"> the development of </w:t>
      </w:r>
      <w:r>
        <w:rPr>
          <w:rFonts w:asciiTheme="minorHAnsi" w:hAnsiTheme="minorHAnsi"/>
          <w:sz w:val="22"/>
        </w:rPr>
        <w:t>viable forest industries</w:t>
      </w:r>
      <w:r w:rsidR="00A6163E" w:rsidRPr="00A6163E">
        <w:rPr>
          <w:rFonts w:asciiTheme="minorHAnsi" w:hAnsiTheme="minorHAnsi"/>
          <w:sz w:val="22"/>
        </w:rPr>
        <w:t>,</w:t>
      </w:r>
      <w:r w:rsidR="00A6163E" w:rsidRPr="00A6163E">
        <w:rPr>
          <w:rFonts w:asciiTheme="minorHAnsi" w:hAnsiTheme="minorHAnsi"/>
          <w:i/>
          <w:sz w:val="22"/>
        </w:rPr>
        <w:t xml:space="preserve"> </w:t>
      </w:r>
      <w:r w:rsidR="00A6163E" w:rsidRPr="00A6163E">
        <w:rPr>
          <w:rFonts w:asciiTheme="minorHAnsi" w:hAnsiTheme="minorHAnsi"/>
          <w:sz w:val="22"/>
        </w:rPr>
        <w:t>and significantly improves the capacity to inform decision-makers about forest management in Australia.</w:t>
      </w:r>
    </w:p>
    <w:p w:rsidR="00980D65" w:rsidRPr="00C57E2D" w:rsidRDefault="00980D65" w:rsidP="00E722AC">
      <w:pPr>
        <w:pStyle w:val="ListParagraph"/>
        <w:numPr>
          <w:ilvl w:val="0"/>
          <w:numId w:val="11"/>
        </w:numPr>
        <w:spacing w:before="120" w:after="120"/>
        <w:ind w:left="426" w:hanging="426"/>
        <w:contextualSpacing w:val="0"/>
        <w:rPr>
          <w:rFonts w:asciiTheme="minorHAnsi" w:hAnsiTheme="minorHAnsi"/>
          <w:sz w:val="22"/>
          <w:u w:val="single"/>
        </w:rPr>
      </w:pPr>
      <w:r w:rsidRPr="00C57E2D">
        <w:rPr>
          <w:rFonts w:asciiTheme="minorHAnsi" w:hAnsiTheme="minorHAnsi"/>
          <w:sz w:val="22"/>
          <w:u w:val="single"/>
        </w:rPr>
        <w:t>Improved trade and market access</w:t>
      </w:r>
    </w:p>
    <w:p w:rsidR="00A6163E" w:rsidRPr="00A6163E" w:rsidRDefault="000B193C" w:rsidP="00E722AC">
      <w:pPr>
        <w:spacing w:before="120" w:after="120"/>
        <w:ind w:left="426"/>
        <w:rPr>
          <w:rFonts w:asciiTheme="minorHAnsi" w:hAnsiTheme="minorHAnsi"/>
          <w:sz w:val="22"/>
        </w:rPr>
      </w:pPr>
      <w:r>
        <w:rPr>
          <w:rFonts w:asciiTheme="minorHAnsi" w:hAnsiTheme="minorHAnsi"/>
          <w:sz w:val="22"/>
        </w:rPr>
        <w:t xml:space="preserve">The publication of SOFR </w:t>
      </w:r>
      <w:r w:rsidRPr="000B193C">
        <w:rPr>
          <w:rFonts w:asciiTheme="minorHAnsi" w:hAnsiTheme="minorHAnsi"/>
          <w:sz w:val="22"/>
        </w:rPr>
        <w:t xml:space="preserve">provides reassurance and confidence to local, national and international communities about the management of Australia’s forests, and so builds support for continued </w:t>
      </w:r>
      <w:r>
        <w:rPr>
          <w:rFonts w:asciiTheme="minorHAnsi" w:hAnsiTheme="minorHAnsi"/>
          <w:sz w:val="22"/>
        </w:rPr>
        <w:t xml:space="preserve">access to forest resources and continued active forest </w:t>
      </w:r>
      <w:r w:rsidRPr="000B193C">
        <w:rPr>
          <w:rFonts w:asciiTheme="minorHAnsi" w:hAnsiTheme="minorHAnsi"/>
          <w:sz w:val="22"/>
        </w:rPr>
        <w:t>management.</w:t>
      </w:r>
    </w:p>
    <w:p w:rsidR="00980D65" w:rsidRPr="00C57E2D" w:rsidRDefault="00980D65" w:rsidP="00E722AC">
      <w:pPr>
        <w:pStyle w:val="ListParagraph"/>
        <w:numPr>
          <w:ilvl w:val="0"/>
          <w:numId w:val="11"/>
        </w:numPr>
        <w:spacing w:before="120" w:after="120"/>
        <w:ind w:left="426" w:hanging="426"/>
        <w:contextualSpacing w:val="0"/>
        <w:rPr>
          <w:rFonts w:asciiTheme="minorHAnsi" w:hAnsiTheme="minorHAnsi"/>
          <w:sz w:val="22"/>
          <w:u w:val="single"/>
        </w:rPr>
      </w:pPr>
      <w:r w:rsidRPr="00C57E2D">
        <w:rPr>
          <w:rFonts w:asciiTheme="minorHAnsi" w:hAnsiTheme="minorHAnsi"/>
          <w:sz w:val="22"/>
          <w:u w:val="single"/>
        </w:rPr>
        <w:t>Informed research and analysis by consultants and academics</w:t>
      </w:r>
    </w:p>
    <w:p w:rsidR="00A6163E" w:rsidRPr="00A6163E" w:rsidRDefault="00FD6CDF" w:rsidP="00E722AC">
      <w:pPr>
        <w:spacing w:before="120" w:after="120"/>
        <w:ind w:left="426"/>
        <w:rPr>
          <w:rFonts w:asciiTheme="minorHAnsi" w:hAnsiTheme="minorHAnsi"/>
          <w:sz w:val="22"/>
        </w:rPr>
      </w:pPr>
      <w:r>
        <w:rPr>
          <w:rFonts w:asciiTheme="minorHAnsi" w:hAnsiTheme="minorHAnsi"/>
          <w:sz w:val="22"/>
        </w:rPr>
        <w:t>SOFR provides a consistent</w:t>
      </w:r>
      <w:r w:rsidR="00FF2D5B">
        <w:rPr>
          <w:rFonts w:asciiTheme="minorHAnsi" w:hAnsiTheme="minorHAnsi"/>
          <w:sz w:val="22"/>
        </w:rPr>
        <w:t>,</w:t>
      </w:r>
      <w:r>
        <w:rPr>
          <w:rFonts w:asciiTheme="minorHAnsi" w:hAnsiTheme="minorHAnsi"/>
          <w:sz w:val="22"/>
        </w:rPr>
        <w:t xml:space="preserve"> </w:t>
      </w:r>
      <w:r w:rsidR="000B299F">
        <w:rPr>
          <w:rFonts w:asciiTheme="minorHAnsi" w:hAnsiTheme="minorHAnsi"/>
          <w:sz w:val="22"/>
        </w:rPr>
        <w:t>authoritative</w:t>
      </w:r>
      <w:r>
        <w:rPr>
          <w:rFonts w:asciiTheme="minorHAnsi" w:hAnsiTheme="minorHAnsi"/>
          <w:sz w:val="22"/>
        </w:rPr>
        <w:t xml:space="preserve"> </w:t>
      </w:r>
      <w:r w:rsidR="00FF2D5B">
        <w:rPr>
          <w:rFonts w:asciiTheme="minorHAnsi" w:hAnsiTheme="minorHAnsi"/>
          <w:sz w:val="22"/>
        </w:rPr>
        <w:t xml:space="preserve">and </w:t>
      </w:r>
      <w:r w:rsidR="008B134A">
        <w:rPr>
          <w:rFonts w:asciiTheme="minorHAnsi" w:hAnsiTheme="minorHAnsi"/>
          <w:sz w:val="22"/>
        </w:rPr>
        <w:t xml:space="preserve">comprehensive </w:t>
      </w:r>
      <w:r>
        <w:rPr>
          <w:rFonts w:asciiTheme="minorHAnsi" w:hAnsiTheme="minorHAnsi"/>
          <w:sz w:val="22"/>
        </w:rPr>
        <w:t>source of national forest</w:t>
      </w:r>
      <w:r w:rsidR="00C70774">
        <w:rPr>
          <w:rFonts w:asciiTheme="minorHAnsi" w:hAnsiTheme="minorHAnsi"/>
          <w:sz w:val="22"/>
        </w:rPr>
        <w:t>-related</w:t>
      </w:r>
      <w:r>
        <w:rPr>
          <w:rFonts w:asciiTheme="minorHAnsi" w:hAnsiTheme="minorHAnsi"/>
          <w:sz w:val="22"/>
        </w:rPr>
        <w:t xml:space="preserve"> data suitable for use in a wide variety of analyses</w:t>
      </w:r>
      <w:r w:rsidR="00C70774">
        <w:rPr>
          <w:rFonts w:asciiTheme="minorHAnsi" w:hAnsiTheme="minorHAnsi"/>
          <w:sz w:val="22"/>
        </w:rPr>
        <w:t xml:space="preserve"> for a wide range of purposes</w:t>
      </w:r>
      <w:r w:rsidR="000B299F">
        <w:rPr>
          <w:rFonts w:asciiTheme="minorHAnsi" w:hAnsiTheme="minorHAnsi"/>
          <w:sz w:val="22"/>
        </w:rPr>
        <w:t>.</w:t>
      </w:r>
    </w:p>
    <w:p w:rsidR="00980D65" w:rsidRPr="00C57E2D" w:rsidRDefault="00980D65" w:rsidP="00470259">
      <w:pPr>
        <w:pStyle w:val="ListParagraph"/>
        <w:keepNext/>
        <w:numPr>
          <w:ilvl w:val="0"/>
          <w:numId w:val="11"/>
        </w:numPr>
        <w:spacing w:before="120" w:after="120"/>
        <w:ind w:left="425" w:hanging="425"/>
        <w:contextualSpacing w:val="0"/>
        <w:rPr>
          <w:rFonts w:asciiTheme="minorHAnsi" w:hAnsiTheme="minorHAnsi"/>
          <w:sz w:val="22"/>
          <w:u w:val="single"/>
        </w:rPr>
      </w:pPr>
      <w:r w:rsidRPr="00C57E2D">
        <w:rPr>
          <w:rFonts w:asciiTheme="minorHAnsi" w:hAnsiTheme="minorHAnsi"/>
          <w:sz w:val="22"/>
          <w:u w:val="single"/>
        </w:rPr>
        <w:lastRenderedPageBreak/>
        <w:t>An informed community</w:t>
      </w:r>
    </w:p>
    <w:p w:rsidR="00EC59EA" w:rsidRDefault="00C57E2D" w:rsidP="00E722AC">
      <w:pPr>
        <w:spacing w:before="120" w:after="120"/>
        <w:ind w:left="426"/>
        <w:rPr>
          <w:rFonts w:asciiTheme="minorHAnsi" w:hAnsiTheme="minorHAnsi"/>
          <w:sz w:val="22"/>
        </w:rPr>
      </w:pPr>
      <w:r w:rsidRPr="00C57E2D">
        <w:rPr>
          <w:rFonts w:asciiTheme="minorHAnsi" w:hAnsiTheme="minorHAnsi"/>
          <w:sz w:val="22"/>
        </w:rPr>
        <w:t xml:space="preserve">Informing the broader community about the state of Australia’s forests is the main legislative driver for preparing SOFR. </w:t>
      </w:r>
      <w:r w:rsidR="00EC59EA">
        <w:rPr>
          <w:rFonts w:asciiTheme="minorHAnsi" w:hAnsiTheme="minorHAnsi"/>
          <w:sz w:val="22"/>
        </w:rPr>
        <w:t xml:space="preserve">The publication of SOFR ensures that </w:t>
      </w:r>
      <w:r w:rsidR="00132D27" w:rsidRPr="00EC59EA">
        <w:rPr>
          <w:rFonts w:asciiTheme="minorHAnsi" w:hAnsiTheme="minorHAnsi"/>
          <w:sz w:val="22"/>
        </w:rPr>
        <w:t>community debate about the role and management of Australia’s forests</w:t>
      </w:r>
      <w:r w:rsidR="00EC59EA">
        <w:rPr>
          <w:rFonts w:asciiTheme="minorHAnsi" w:hAnsiTheme="minorHAnsi"/>
          <w:sz w:val="22"/>
        </w:rPr>
        <w:t xml:space="preserve"> </w:t>
      </w:r>
      <w:r w:rsidR="00070D08">
        <w:rPr>
          <w:rFonts w:asciiTheme="minorHAnsi" w:hAnsiTheme="minorHAnsi"/>
          <w:sz w:val="22"/>
        </w:rPr>
        <w:t>can be based on</w:t>
      </w:r>
      <w:r w:rsidR="00EC59EA">
        <w:rPr>
          <w:rFonts w:asciiTheme="minorHAnsi" w:hAnsiTheme="minorHAnsi"/>
          <w:sz w:val="22"/>
        </w:rPr>
        <w:t xml:space="preserve"> appropriate data</w:t>
      </w:r>
      <w:r w:rsidR="00132D27" w:rsidRPr="00EC59EA">
        <w:rPr>
          <w:rFonts w:asciiTheme="minorHAnsi" w:hAnsiTheme="minorHAnsi"/>
          <w:sz w:val="22"/>
        </w:rPr>
        <w:t xml:space="preserve">, </w:t>
      </w:r>
      <w:r w:rsidR="00034F38" w:rsidRPr="00EC59EA">
        <w:rPr>
          <w:rFonts w:asciiTheme="minorHAnsi" w:hAnsiTheme="minorHAnsi"/>
          <w:sz w:val="22"/>
        </w:rPr>
        <w:t>and raises community confidence in forest management</w:t>
      </w:r>
      <w:r w:rsidR="00EC59EA">
        <w:rPr>
          <w:rFonts w:asciiTheme="minorHAnsi" w:hAnsiTheme="minorHAnsi"/>
          <w:sz w:val="22"/>
        </w:rPr>
        <w:t>.</w:t>
      </w:r>
      <w:r w:rsidR="000B299F">
        <w:rPr>
          <w:rFonts w:asciiTheme="minorHAnsi" w:hAnsiTheme="minorHAnsi"/>
          <w:sz w:val="22"/>
        </w:rPr>
        <w:t xml:space="preserve"> </w:t>
      </w:r>
      <w:r w:rsidR="00385CCB">
        <w:rPr>
          <w:rFonts w:asciiTheme="minorHAnsi" w:hAnsiTheme="minorHAnsi"/>
          <w:sz w:val="22"/>
        </w:rPr>
        <w:t xml:space="preserve">The general acceptance of the content of the SOFR series suggests </w:t>
      </w:r>
      <w:r w:rsidR="000B299F">
        <w:rPr>
          <w:rFonts w:asciiTheme="minorHAnsi" w:hAnsiTheme="minorHAnsi"/>
          <w:sz w:val="22"/>
        </w:rPr>
        <w:t xml:space="preserve">that this </w:t>
      </w:r>
      <w:r w:rsidR="00F60F83">
        <w:rPr>
          <w:rFonts w:asciiTheme="minorHAnsi" w:hAnsiTheme="minorHAnsi"/>
          <w:sz w:val="22"/>
        </w:rPr>
        <w:t xml:space="preserve">has been </w:t>
      </w:r>
      <w:r w:rsidR="000B299F">
        <w:rPr>
          <w:rFonts w:asciiTheme="minorHAnsi" w:hAnsiTheme="minorHAnsi"/>
          <w:sz w:val="22"/>
        </w:rPr>
        <w:t>achieved.</w:t>
      </w:r>
    </w:p>
    <w:p w:rsidR="00534816" w:rsidRPr="00EC59EA" w:rsidRDefault="00534816" w:rsidP="00E722AC">
      <w:pPr>
        <w:spacing w:before="120" w:after="120"/>
        <w:ind w:left="426"/>
        <w:rPr>
          <w:rFonts w:asciiTheme="minorHAnsi" w:hAnsiTheme="minorHAnsi"/>
          <w:sz w:val="22"/>
          <w:szCs w:val="22"/>
        </w:rPr>
      </w:pPr>
      <w:r w:rsidRPr="00EC59EA">
        <w:rPr>
          <w:rFonts w:asciiTheme="minorHAnsi" w:hAnsiTheme="minorHAnsi"/>
          <w:sz w:val="22"/>
          <w:szCs w:val="22"/>
        </w:rPr>
        <w:t xml:space="preserve">The broad range of forest values on which information is collected and reported in </w:t>
      </w:r>
      <w:r w:rsidR="00EC59EA" w:rsidRPr="00EC59EA">
        <w:rPr>
          <w:rFonts w:asciiTheme="minorHAnsi" w:hAnsiTheme="minorHAnsi"/>
          <w:sz w:val="22"/>
          <w:szCs w:val="22"/>
        </w:rPr>
        <w:t xml:space="preserve">SOFR in </w:t>
      </w:r>
      <w:r w:rsidRPr="00EC59EA">
        <w:rPr>
          <w:rFonts w:asciiTheme="minorHAnsi" w:hAnsiTheme="minorHAnsi"/>
          <w:sz w:val="22"/>
          <w:szCs w:val="22"/>
        </w:rPr>
        <w:t>an integrated fashion ensures that stakeholders, forest managers and decision-makers are aware of the connected nature of the ecological, biophysical, social and economic a</w:t>
      </w:r>
      <w:r w:rsidR="00184DCE">
        <w:rPr>
          <w:rFonts w:asciiTheme="minorHAnsi" w:hAnsiTheme="minorHAnsi"/>
          <w:sz w:val="22"/>
          <w:szCs w:val="22"/>
        </w:rPr>
        <w:t xml:space="preserve">spects of Australia’s forests. </w:t>
      </w:r>
      <w:r w:rsidRPr="00EC59EA">
        <w:rPr>
          <w:rFonts w:asciiTheme="minorHAnsi" w:hAnsiTheme="minorHAnsi"/>
          <w:sz w:val="22"/>
          <w:szCs w:val="22"/>
        </w:rPr>
        <w:t>Building this awareness</w:t>
      </w:r>
      <w:r w:rsidR="00EC59EA" w:rsidRPr="00EC59EA">
        <w:rPr>
          <w:rFonts w:asciiTheme="minorHAnsi" w:hAnsiTheme="minorHAnsi"/>
          <w:sz w:val="22"/>
          <w:szCs w:val="22"/>
        </w:rPr>
        <w:t xml:space="preserve"> of the diversity of values of Australia’s forests </w:t>
      </w:r>
      <w:r w:rsidRPr="00EC59EA">
        <w:rPr>
          <w:rFonts w:asciiTheme="minorHAnsi" w:hAnsiTheme="minorHAnsi"/>
          <w:sz w:val="22"/>
          <w:szCs w:val="22"/>
        </w:rPr>
        <w:t>improves the communication of the state of Australia’s forests to the broader community</w:t>
      </w:r>
      <w:r w:rsidR="00BC5B66">
        <w:rPr>
          <w:rFonts w:asciiTheme="minorHAnsi" w:hAnsiTheme="minorHAnsi"/>
          <w:sz w:val="22"/>
          <w:szCs w:val="22"/>
        </w:rPr>
        <w:t xml:space="preserve">, and </w:t>
      </w:r>
      <w:r w:rsidR="00CB27AF">
        <w:rPr>
          <w:rFonts w:asciiTheme="minorHAnsi" w:hAnsiTheme="minorHAnsi"/>
          <w:sz w:val="22"/>
          <w:szCs w:val="22"/>
        </w:rPr>
        <w:t xml:space="preserve">informs </w:t>
      </w:r>
      <w:r w:rsidR="00D97B71">
        <w:rPr>
          <w:rFonts w:asciiTheme="minorHAnsi" w:hAnsiTheme="minorHAnsi"/>
          <w:sz w:val="22"/>
          <w:szCs w:val="22"/>
        </w:rPr>
        <w:t>the wider community debate</w:t>
      </w:r>
      <w:r w:rsidRPr="00EC59EA">
        <w:rPr>
          <w:rFonts w:asciiTheme="minorHAnsi" w:hAnsiTheme="minorHAnsi"/>
          <w:sz w:val="22"/>
          <w:szCs w:val="22"/>
        </w:rPr>
        <w:t>.</w:t>
      </w:r>
    </w:p>
    <w:p w:rsidR="00132D27" w:rsidRPr="00132D27" w:rsidRDefault="00132D27" w:rsidP="00E722AC">
      <w:pPr>
        <w:rPr>
          <w:rFonts w:asciiTheme="minorHAnsi" w:hAnsiTheme="minorHAnsi"/>
          <w:sz w:val="22"/>
        </w:rPr>
      </w:pPr>
    </w:p>
    <w:p w:rsidR="00CF20F7" w:rsidRPr="001100C9" w:rsidRDefault="001A77FD" w:rsidP="00E722AC">
      <w:pPr>
        <w:spacing w:before="120" w:after="120"/>
        <w:rPr>
          <w:rFonts w:asciiTheme="minorHAnsi" w:hAnsiTheme="minorHAnsi"/>
          <w:i/>
          <w:sz w:val="22"/>
          <w:szCs w:val="22"/>
        </w:rPr>
      </w:pPr>
      <w:r w:rsidRPr="001100C9">
        <w:rPr>
          <w:rFonts w:asciiTheme="minorHAnsi" w:hAnsiTheme="minorHAnsi"/>
          <w:i/>
          <w:sz w:val="22"/>
          <w:szCs w:val="22"/>
        </w:rPr>
        <w:t xml:space="preserve">Other </w:t>
      </w:r>
      <w:r w:rsidR="006572BE">
        <w:rPr>
          <w:rFonts w:asciiTheme="minorHAnsi" w:hAnsiTheme="minorHAnsi"/>
          <w:i/>
          <w:sz w:val="22"/>
          <w:szCs w:val="22"/>
        </w:rPr>
        <w:t xml:space="preserve">outcomes from preparation </w:t>
      </w:r>
      <w:r w:rsidR="004F4BE2">
        <w:rPr>
          <w:rFonts w:asciiTheme="minorHAnsi" w:hAnsiTheme="minorHAnsi"/>
          <w:i/>
          <w:sz w:val="22"/>
          <w:szCs w:val="22"/>
        </w:rPr>
        <w:t xml:space="preserve">and production </w:t>
      </w:r>
      <w:r w:rsidR="006572BE">
        <w:rPr>
          <w:rFonts w:asciiTheme="minorHAnsi" w:hAnsiTheme="minorHAnsi"/>
          <w:i/>
          <w:sz w:val="22"/>
          <w:szCs w:val="22"/>
        </w:rPr>
        <w:t xml:space="preserve">of </w:t>
      </w:r>
      <w:r w:rsidR="004F4BE2">
        <w:rPr>
          <w:rFonts w:asciiTheme="minorHAnsi" w:hAnsiTheme="minorHAnsi"/>
          <w:i/>
          <w:sz w:val="22"/>
          <w:szCs w:val="22"/>
        </w:rPr>
        <w:t xml:space="preserve">the </w:t>
      </w:r>
      <w:r w:rsidR="00FC5EAF">
        <w:rPr>
          <w:rFonts w:asciiTheme="minorHAnsi" w:hAnsiTheme="minorHAnsi"/>
          <w:i/>
          <w:sz w:val="22"/>
          <w:szCs w:val="22"/>
        </w:rPr>
        <w:t>SOFR</w:t>
      </w:r>
      <w:r w:rsidR="004F4BE2">
        <w:rPr>
          <w:rFonts w:asciiTheme="minorHAnsi" w:hAnsiTheme="minorHAnsi"/>
          <w:i/>
          <w:sz w:val="22"/>
          <w:szCs w:val="22"/>
        </w:rPr>
        <w:t xml:space="preserve"> series</w:t>
      </w:r>
    </w:p>
    <w:p w:rsidR="00791EA4" w:rsidRPr="00CA37B2" w:rsidRDefault="00791EA4" w:rsidP="00791EA4">
      <w:pPr>
        <w:pStyle w:val="ListParagraph"/>
        <w:numPr>
          <w:ilvl w:val="0"/>
          <w:numId w:val="10"/>
        </w:numPr>
        <w:spacing w:before="120" w:after="120"/>
        <w:ind w:left="426" w:hanging="426"/>
        <w:contextualSpacing w:val="0"/>
        <w:rPr>
          <w:rFonts w:asciiTheme="minorHAnsi" w:hAnsiTheme="minorHAnsi"/>
          <w:sz w:val="22"/>
          <w:u w:val="single"/>
        </w:rPr>
      </w:pPr>
      <w:r w:rsidRPr="00CA37B2">
        <w:rPr>
          <w:rFonts w:asciiTheme="minorHAnsi" w:hAnsiTheme="minorHAnsi"/>
          <w:sz w:val="22"/>
          <w:u w:val="single"/>
        </w:rPr>
        <w:t>Fulfils national legislative and policy obligations</w:t>
      </w:r>
    </w:p>
    <w:p w:rsidR="00791EA4" w:rsidRPr="009C1D65" w:rsidRDefault="00791EA4" w:rsidP="00791EA4">
      <w:pPr>
        <w:spacing w:before="120" w:after="120"/>
        <w:ind w:left="426"/>
        <w:rPr>
          <w:rFonts w:asciiTheme="minorHAnsi" w:hAnsiTheme="minorHAnsi"/>
          <w:sz w:val="22"/>
        </w:rPr>
      </w:pPr>
      <w:r w:rsidRPr="009C1D65">
        <w:rPr>
          <w:rFonts w:asciiTheme="minorHAnsi" w:hAnsiTheme="minorHAnsi"/>
          <w:sz w:val="22"/>
        </w:rPr>
        <w:t xml:space="preserve">The five-yearly SOFR series fulfils commitments under the Commonwealth </w:t>
      </w:r>
      <w:r w:rsidRPr="009C1D65">
        <w:rPr>
          <w:rFonts w:asciiTheme="minorHAnsi" w:hAnsiTheme="minorHAnsi"/>
          <w:i/>
          <w:sz w:val="22"/>
        </w:rPr>
        <w:t>Regional Forest Agreements Act 2002</w:t>
      </w:r>
      <w:r w:rsidRPr="009C1D65">
        <w:rPr>
          <w:rFonts w:asciiTheme="minorHAnsi" w:hAnsiTheme="minorHAnsi"/>
          <w:sz w:val="22"/>
        </w:rPr>
        <w:t xml:space="preserve"> (RFA Act) and the</w:t>
      </w:r>
      <w:r w:rsidRPr="009C1D65">
        <w:rPr>
          <w:rFonts w:asciiTheme="minorHAnsi" w:hAnsiTheme="minorHAnsi"/>
          <w:i/>
          <w:sz w:val="22"/>
        </w:rPr>
        <w:t xml:space="preserve"> National Forest Policy Statement </w:t>
      </w:r>
      <w:r w:rsidRPr="009C1D65">
        <w:rPr>
          <w:rFonts w:asciiTheme="minorHAnsi" w:hAnsiTheme="minorHAnsi"/>
          <w:sz w:val="22"/>
        </w:rPr>
        <w:t>(NFPS)</w:t>
      </w:r>
      <w:r w:rsidR="00D73093">
        <w:rPr>
          <w:rFonts w:asciiTheme="minorHAnsi" w:hAnsiTheme="minorHAnsi"/>
          <w:sz w:val="22"/>
        </w:rPr>
        <w:t>.</w:t>
      </w:r>
    </w:p>
    <w:p w:rsidR="00791EA4" w:rsidRPr="009C1D65" w:rsidRDefault="00791EA4" w:rsidP="00791EA4">
      <w:pPr>
        <w:spacing w:before="120" w:after="120"/>
        <w:ind w:left="426"/>
        <w:rPr>
          <w:rFonts w:asciiTheme="minorHAnsi" w:hAnsiTheme="minorHAnsi"/>
          <w:sz w:val="22"/>
        </w:rPr>
      </w:pPr>
      <w:r w:rsidRPr="009C1D65">
        <w:rPr>
          <w:rFonts w:asciiTheme="minorHAnsi" w:hAnsiTheme="minorHAnsi"/>
          <w:sz w:val="22"/>
        </w:rPr>
        <w:t>The RFA Act commits the Commonwealth Minister for forestry “to establish a comprehensive and publicly available source of information for national and regional monitoring and reporting in relation to all of Australia’s forests; and to support decision-making in relation to all of Australia’s forests”.</w:t>
      </w:r>
    </w:p>
    <w:p w:rsidR="00791EA4" w:rsidRPr="00791EA4" w:rsidRDefault="00791EA4" w:rsidP="00CA37B2">
      <w:pPr>
        <w:spacing w:before="120" w:after="120"/>
        <w:ind w:left="426"/>
        <w:rPr>
          <w:rFonts w:asciiTheme="minorHAnsi" w:hAnsiTheme="minorHAnsi"/>
          <w:sz w:val="22"/>
        </w:rPr>
      </w:pPr>
      <w:r w:rsidRPr="009C1D65">
        <w:rPr>
          <w:rFonts w:asciiTheme="minorHAnsi" w:hAnsiTheme="minorHAnsi"/>
          <w:sz w:val="22"/>
        </w:rPr>
        <w:t xml:space="preserve">The NFPS commits the nine signatory governments to provide through their forest management agencies “appropriate information from which to produce and publish a ‘state of the forests’ review every five years”. The ‘reviews’ are to provide accountability to the community on the stewardship of forests and demonstrate ecologically sustainable forest management. </w:t>
      </w:r>
    </w:p>
    <w:p w:rsidR="00047241" w:rsidRPr="00232EF3" w:rsidRDefault="00232EF3" w:rsidP="00047241">
      <w:pPr>
        <w:pStyle w:val="ListParagraph"/>
        <w:numPr>
          <w:ilvl w:val="0"/>
          <w:numId w:val="10"/>
        </w:numPr>
        <w:spacing w:before="120" w:after="120"/>
        <w:ind w:left="426" w:hanging="426"/>
        <w:contextualSpacing w:val="0"/>
        <w:rPr>
          <w:rFonts w:asciiTheme="minorHAnsi" w:hAnsiTheme="minorHAnsi"/>
          <w:sz w:val="22"/>
          <w:u w:val="single"/>
        </w:rPr>
      </w:pPr>
      <w:r>
        <w:rPr>
          <w:rFonts w:asciiTheme="minorHAnsi" w:hAnsiTheme="minorHAnsi"/>
          <w:sz w:val="22"/>
          <w:u w:val="single"/>
        </w:rPr>
        <w:t>Efficient</w:t>
      </w:r>
      <w:r w:rsidR="00047241" w:rsidRPr="00232EF3">
        <w:rPr>
          <w:rFonts w:asciiTheme="minorHAnsi" w:hAnsiTheme="minorHAnsi"/>
          <w:sz w:val="22"/>
          <w:u w:val="single"/>
        </w:rPr>
        <w:t xml:space="preserve"> </w:t>
      </w:r>
      <w:r w:rsidR="007C42FB">
        <w:rPr>
          <w:rFonts w:asciiTheme="minorHAnsi" w:hAnsiTheme="minorHAnsi"/>
          <w:sz w:val="22"/>
          <w:u w:val="single"/>
        </w:rPr>
        <w:t xml:space="preserve">compilation </w:t>
      </w:r>
      <w:r>
        <w:rPr>
          <w:rFonts w:asciiTheme="minorHAnsi" w:hAnsiTheme="minorHAnsi"/>
          <w:sz w:val="22"/>
          <w:u w:val="single"/>
        </w:rPr>
        <w:t xml:space="preserve">of </w:t>
      </w:r>
      <w:r w:rsidR="00047241" w:rsidRPr="00232EF3">
        <w:rPr>
          <w:rFonts w:asciiTheme="minorHAnsi" w:hAnsiTheme="minorHAnsi"/>
          <w:sz w:val="22"/>
          <w:u w:val="single"/>
        </w:rPr>
        <w:t>data</w:t>
      </w:r>
    </w:p>
    <w:p w:rsidR="0045458C" w:rsidRPr="009C1D65" w:rsidRDefault="0045458C" w:rsidP="00232EF3">
      <w:pPr>
        <w:spacing w:before="120" w:after="120"/>
        <w:ind w:left="426"/>
        <w:rPr>
          <w:rFonts w:asciiTheme="minorHAnsi" w:hAnsiTheme="minorHAnsi"/>
          <w:sz w:val="22"/>
        </w:rPr>
      </w:pPr>
      <w:r w:rsidRPr="009C1D65">
        <w:rPr>
          <w:rFonts w:asciiTheme="minorHAnsi" w:hAnsiTheme="minorHAnsi"/>
          <w:sz w:val="22"/>
        </w:rPr>
        <w:t xml:space="preserve">The formal structure of the Montréal </w:t>
      </w:r>
      <w:r w:rsidR="00E17C2C">
        <w:rPr>
          <w:rFonts w:asciiTheme="minorHAnsi" w:hAnsiTheme="minorHAnsi"/>
          <w:sz w:val="22"/>
        </w:rPr>
        <w:t xml:space="preserve">Process framework of criteria and </w:t>
      </w:r>
      <w:r w:rsidRPr="009C1D65">
        <w:rPr>
          <w:rFonts w:asciiTheme="minorHAnsi" w:hAnsiTheme="minorHAnsi"/>
          <w:sz w:val="22"/>
        </w:rPr>
        <w:t xml:space="preserve">indicators facilitates collection and supply of data by the </w:t>
      </w:r>
      <w:r w:rsidR="00D73093">
        <w:rPr>
          <w:rFonts w:asciiTheme="minorHAnsi" w:hAnsiTheme="minorHAnsi"/>
          <w:sz w:val="22"/>
        </w:rPr>
        <w:t>Australian</w:t>
      </w:r>
      <w:r w:rsidRPr="009C1D65">
        <w:rPr>
          <w:rFonts w:asciiTheme="minorHAnsi" w:hAnsiTheme="minorHAnsi"/>
          <w:sz w:val="22"/>
        </w:rPr>
        <w:t>, state and territ</w:t>
      </w:r>
      <w:r w:rsidR="00BE3235" w:rsidRPr="009C1D65">
        <w:rPr>
          <w:rFonts w:asciiTheme="minorHAnsi" w:hAnsiTheme="minorHAnsi"/>
          <w:sz w:val="22"/>
        </w:rPr>
        <w:t>o</w:t>
      </w:r>
      <w:r w:rsidRPr="009C1D65">
        <w:rPr>
          <w:rFonts w:asciiTheme="minorHAnsi" w:hAnsiTheme="minorHAnsi"/>
          <w:sz w:val="22"/>
        </w:rPr>
        <w:t xml:space="preserve">ry </w:t>
      </w:r>
      <w:r w:rsidR="00D73093">
        <w:rPr>
          <w:rFonts w:asciiTheme="minorHAnsi" w:hAnsiTheme="minorHAnsi"/>
          <w:sz w:val="22"/>
        </w:rPr>
        <w:t xml:space="preserve">government </w:t>
      </w:r>
      <w:r w:rsidRPr="009C1D65">
        <w:rPr>
          <w:rFonts w:asciiTheme="minorHAnsi" w:hAnsiTheme="minorHAnsi"/>
          <w:sz w:val="22"/>
        </w:rPr>
        <w:t>agencies</w:t>
      </w:r>
      <w:r w:rsidR="00184DCE">
        <w:rPr>
          <w:rFonts w:asciiTheme="minorHAnsi" w:hAnsiTheme="minorHAnsi"/>
          <w:sz w:val="22"/>
        </w:rPr>
        <w:t xml:space="preserve">. </w:t>
      </w:r>
      <w:r w:rsidR="00BE3235" w:rsidRPr="009C1D65">
        <w:rPr>
          <w:rFonts w:asciiTheme="minorHAnsi" w:hAnsiTheme="minorHAnsi"/>
          <w:sz w:val="22"/>
        </w:rPr>
        <w:t xml:space="preserve">The resultant national compilation of data leads to a greater understanding within jurisdictions of the purpose and importance of </w:t>
      </w:r>
      <w:r w:rsidR="00AE36F4" w:rsidRPr="009C1D65">
        <w:rPr>
          <w:rFonts w:asciiTheme="minorHAnsi" w:hAnsiTheme="minorHAnsi"/>
          <w:sz w:val="22"/>
        </w:rPr>
        <w:t>forest monitoring and reporting.</w:t>
      </w:r>
    </w:p>
    <w:p w:rsidR="006F752B" w:rsidRPr="00232EF3" w:rsidRDefault="00232EF3" w:rsidP="00791EA4">
      <w:pPr>
        <w:pStyle w:val="ListParagraph"/>
        <w:keepNext/>
        <w:numPr>
          <w:ilvl w:val="0"/>
          <w:numId w:val="10"/>
        </w:numPr>
        <w:spacing w:before="120" w:after="120"/>
        <w:ind w:left="425" w:hanging="425"/>
        <w:contextualSpacing w:val="0"/>
        <w:rPr>
          <w:rFonts w:asciiTheme="minorHAnsi" w:hAnsiTheme="minorHAnsi"/>
          <w:sz w:val="22"/>
          <w:u w:val="single"/>
        </w:rPr>
      </w:pPr>
      <w:r w:rsidRPr="00232EF3">
        <w:rPr>
          <w:rFonts w:asciiTheme="minorHAnsi" w:hAnsiTheme="minorHAnsi"/>
          <w:sz w:val="22"/>
          <w:u w:val="single"/>
        </w:rPr>
        <w:t>Efficient input into national reporting</w:t>
      </w:r>
    </w:p>
    <w:p w:rsidR="00B05472" w:rsidRPr="009C1D65" w:rsidRDefault="00B05472" w:rsidP="00D04FFB">
      <w:pPr>
        <w:spacing w:before="120" w:after="120"/>
        <w:ind w:left="426"/>
        <w:rPr>
          <w:rFonts w:asciiTheme="minorHAnsi" w:hAnsiTheme="minorHAnsi"/>
          <w:sz w:val="22"/>
        </w:rPr>
      </w:pPr>
      <w:r w:rsidRPr="009C1D65">
        <w:rPr>
          <w:rFonts w:asciiTheme="minorHAnsi" w:hAnsiTheme="minorHAnsi"/>
          <w:sz w:val="22"/>
        </w:rPr>
        <w:t>The data and information in each of SOFR</w:t>
      </w:r>
      <w:r w:rsidR="00184DCE">
        <w:rPr>
          <w:rFonts w:asciiTheme="minorHAnsi" w:hAnsiTheme="minorHAnsi"/>
          <w:sz w:val="22"/>
        </w:rPr>
        <w:t> </w:t>
      </w:r>
      <w:r w:rsidRPr="009C1D65">
        <w:rPr>
          <w:rFonts w:asciiTheme="minorHAnsi" w:hAnsiTheme="minorHAnsi"/>
          <w:sz w:val="22"/>
        </w:rPr>
        <w:t>1998, 2003, 2008 and 2013 have underpinned a number of national reporting processes</w:t>
      </w:r>
      <w:r w:rsidR="00791EA4">
        <w:rPr>
          <w:rFonts w:asciiTheme="minorHAnsi" w:hAnsiTheme="minorHAnsi"/>
          <w:sz w:val="22"/>
        </w:rPr>
        <w:t xml:space="preserve"> and products</w:t>
      </w:r>
      <w:r w:rsidR="00AD0D54" w:rsidRPr="009C1D65">
        <w:rPr>
          <w:rFonts w:asciiTheme="minorHAnsi" w:hAnsiTheme="minorHAnsi"/>
          <w:sz w:val="22"/>
        </w:rPr>
        <w:t>. These</w:t>
      </w:r>
      <w:r w:rsidRPr="009C1D65">
        <w:rPr>
          <w:rFonts w:asciiTheme="minorHAnsi" w:hAnsiTheme="minorHAnsi"/>
          <w:sz w:val="22"/>
        </w:rPr>
        <w:t xml:space="preserve"> includ</w:t>
      </w:r>
      <w:r w:rsidR="00AD0D54" w:rsidRPr="009C1D65">
        <w:rPr>
          <w:rFonts w:asciiTheme="minorHAnsi" w:hAnsiTheme="minorHAnsi"/>
          <w:sz w:val="22"/>
        </w:rPr>
        <w:t>e</w:t>
      </w:r>
      <w:r w:rsidRPr="009C1D65">
        <w:rPr>
          <w:rFonts w:asciiTheme="minorHAnsi" w:hAnsiTheme="minorHAnsi"/>
          <w:sz w:val="22"/>
        </w:rPr>
        <w:t xml:space="preserve"> Australia’s State of the Environment Reports, national environmental accounts, and other domestic reports.</w:t>
      </w:r>
      <w:r w:rsidR="00AD0D54" w:rsidRPr="009C1D65">
        <w:rPr>
          <w:rFonts w:asciiTheme="minorHAnsi" w:hAnsiTheme="minorHAnsi"/>
          <w:sz w:val="22"/>
        </w:rPr>
        <w:t xml:space="preserve"> </w:t>
      </w:r>
      <w:r w:rsidRPr="009C1D65">
        <w:rPr>
          <w:rFonts w:asciiTheme="minorHAnsi" w:hAnsiTheme="minorHAnsi"/>
          <w:sz w:val="22"/>
        </w:rPr>
        <w:t xml:space="preserve">SOFR 2008 was widely cited in </w:t>
      </w:r>
      <w:r w:rsidRPr="009C1D65">
        <w:rPr>
          <w:rFonts w:asciiTheme="minorHAnsi" w:hAnsiTheme="minorHAnsi"/>
          <w:i/>
          <w:sz w:val="22"/>
        </w:rPr>
        <w:t>Australia State of the Environment 2011</w:t>
      </w:r>
      <w:r w:rsidR="00791EA4">
        <w:rPr>
          <w:rFonts w:asciiTheme="minorHAnsi" w:hAnsiTheme="minorHAnsi"/>
          <w:sz w:val="22"/>
        </w:rPr>
        <w:t>.</w:t>
      </w:r>
      <w:r w:rsidR="00D04FFB">
        <w:rPr>
          <w:rFonts w:asciiTheme="minorHAnsi" w:hAnsiTheme="minorHAnsi"/>
          <w:sz w:val="22"/>
        </w:rPr>
        <w:t xml:space="preserve"> </w:t>
      </w:r>
      <w:r w:rsidRPr="009C1D65">
        <w:rPr>
          <w:rFonts w:asciiTheme="minorHAnsi" w:hAnsiTheme="minorHAnsi"/>
          <w:sz w:val="22"/>
        </w:rPr>
        <w:t xml:space="preserve">SOFR is also the main source for </w:t>
      </w:r>
      <w:r w:rsidR="00263C89">
        <w:rPr>
          <w:rFonts w:asciiTheme="minorHAnsi" w:hAnsiTheme="minorHAnsi"/>
          <w:sz w:val="22"/>
        </w:rPr>
        <w:t xml:space="preserve">non-economic </w:t>
      </w:r>
      <w:r w:rsidRPr="009C1D65">
        <w:rPr>
          <w:rFonts w:asciiTheme="minorHAnsi" w:hAnsiTheme="minorHAnsi"/>
          <w:sz w:val="22"/>
        </w:rPr>
        <w:t xml:space="preserve">forest-related data in the </w:t>
      </w:r>
      <w:r w:rsidRPr="009C1D65">
        <w:rPr>
          <w:rFonts w:asciiTheme="minorHAnsi" w:hAnsiTheme="minorHAnsi"/>
          <w:i/>
          <w:sz w:val="22"/>
        </w:rPr>
        <w:t>Australia’s Forests at a Glance</w:t>
      </w:r>
      <w:r w:rsidR="00791EA4">
        <w:rPr>
          <w:rFonts w:asciiTheme="minorHAnsi" w:hAnsiTheme="minorHAnsi"/>
          <w:sz w:val="22"/>
        </w:rPr>
        <w:t xml:space="preserve"> booklet series</w:t>
      </w:r>
      <w:r w:rsidR="00791EA4" w:rsidRPr="009C1D65">
        <w:rPr>
          <w:rFonts w:asciiTheme="minorHAnsi" w:hAnsiTheme="minorHAnsi"/>
          <w:sz w:val="22"/>
        </w:rPr>
        <w:t xml:space="preserve">. </w:t>
      </w:r>
    </w:p>
    <w:p w:rsidR="00232EF3" w:rsidRPr="00232EF3" w:rsidRDefault="00232EF3" w:rsidP="00232EF3">
      <w:pPr>
        <w:pStyle w:val="ListParagraph"/>
        <w:numPr>
          <w:ilvl w:val="0"/>
          <w:numId w:val="10"/>
        </w:numPr>
        <w:spacing w:before="120" w:after="120"/>
        <w:ind w:left="426" w:hanging="426"/>
        <w:contextualSpacing w:val="0"/>
        <w:rPr>
          <w:rFonts w:asciiTheme="minorHAnsi" w:hAnsiTheme="minorHAnsi"/>
          <w:sz w:val="22"/>
          <w:u w:val="single"/>
        </w:rPr>
      </w:pPr>
      <w:r w:rsidRPr="00232EF3">
        <w:rPr>
          <w:rFonts w:asciiTheme="minorHAnsi" w:hAnsiTheme="minorHAnsi"/>
          <w:sz w:val="22"/>
          <w:u w:val="single"/>
        </w:rPr>
        <w:t>Efficient state and regional reporting</w:t>
      </w:r>
    </w:p>
    <w:p w:rsidR="00964079" w:rsidRDefault="00F37CBE" w:rsidP="00232EF3">
      <w:pPr>
        <w:spacing w:before="120" w:after="120"/>
        <w:ind w:left="426"/>
        <w:rPr>
          <w:rFonts w:asciiTheme="minorHAnsi" w:hAnsiTheme="minorHAnsi"/>
          <w:sz w:val="22"/>
        </w:rPr>
      </w:pPr>
      <w:r>
        <w:rPr>
          <w:rFonts w:asciiTheme="minorHAnsi" w:hAnsiTheme="minorHAnsi"/>
          <w:sz w:val="22"/>
        </w:rPr>
        <w:t xml:space="preserve">In addition to SOFR, </w:t>
      </w:r>
      <w:r w:rsidR="00964079" w:rsidRPr="009C1D65">
        <w:rPr>
          <w:rFonts w:asciiTheme="minorHAnsi" w:hAnsiTheme="minorHAnsi"/>
          <w:sz w:val="22"/>
        </w:rPr>
        <w:t>Australia’s Montréal Process criteria and indicator framework</w:t>
      </w:r>
      <w:r>
        <w:rPr>
          <w:rFonts w:asciiTheme="minorHAnsi" w:hAnsiTheme="minorHAnsi"/>
          <w:sz w:val="22"/>
        </w:rPr>
        <w:t xml:space="preserve"> </w:t>
      </w:r>
      <w:r w:rsidR="002D70E8" w:rsidRPr="009C1D65">
        <w:rPr>
          <w:rFonts w:asciiTheme="minorHAnsi" w:hAnsiTheme="minorHAnsi"/>
          <w:sz w:val="22"/>
        </w:rPr>
        <w:t xml:space="preserve">is </w:t>
      </w:r>
      <w:r w:rsidR="00964079" w:rsidRPr="009C1D65">
        <w:rPr>
          <w:rFonts w:asciiTheme="minorHAnsi" w:hAnsiTheme="minorHAnsi"/>
          <w:sz w:val="22"/>
        </w:rPr>
        <w:t>adopted in several state reporting processes</w:t>
      </w:r>
      <w:r>
        <w:rPr>
          <w:rFonts w:asciiTheme="minorHAnsi" w:hAnsiTheme="minorHAnsi"/>
          <w:sz w:val="22"/>
        </w:rPr>
        <w:t xml:space="preserve"> (</w:t>
      </w:r>
      <w:r w:rsidR="003559E2" w:rsidRPr="009C1D65">
        <w:rPr>
          <w:rFonts w:asciiTheme="minorHAnsi" w:hAnsiTheme="minorHAnsi"/>
          <w:sz w:val="22"/>
        </w:rPr>
        <w:t xml:space="preserve">Victoria’s State of the Forests Report, </w:t>
      </w:r>
      <w:r w:rsidR="00444041" w:rsidRPr="009C1D65">
        <w:rPr>
          <w:rFonts w:asciiTheme="minorHAnsi" w:hAnsiTheme="minorHAnsi"/>
          <w:sz w:val="22"/>
        </w:rPr>
        <w:t xml:space="preserve">Tasmania’s State of the forests report, </w:t>
      </w:r>
      <w:r w:rsidR="00EF6193" w:rsidRPr="009C1D65">
        <w:rPr>
          <w:rFonts w:asciiTheme="minorHAnsi" w:hAnsiTheme="minorHAnsi"/>
          <w:sz w:val="22"/>
        </w:rPr>
        <w:t>the New South Wales Seeing Reports, and the Western Australia</w:t>
      </w:r>
      <w:r w:rsidR="006B3243" w:rsidRPr="009C1D65">
        <w:rPr>
          <w:rFonts w:asciiTheme="minorHAnsi" w:hAnsiTheme="minorHAnsi"/>
          <w:sz w:val="22"/>
        </w:rPr>
        <w:t xml:space="preserve"> Forest Management Plan</w:t>
      </w:r>
      <w:r>
        <w:rPr>
          <w:rFonts w:asciiTheme="minorHAnsi" w:hAnsiTheme="minorHAnsi"/>
          <w:sz w:val="22"/>
        </w:rPr>
        <w:t xml:space="preserve">) and </w:t>
      </w:r>
      <w:r w:rsidRPr="009C1D65">
        <w:rPr>
          <w:rFonts w:asciiTheme="minorHAnsi" w:hAnsiTheme="minorHAnsi"/>
          <w:sz w:val="22"/>
        </w:rPr>
        <w:t>for report</w:t>
      </w:r>
      <w:r w:rsidRPr="00677167">
        <w:rPr>
          <w:rFonts w:asciiTheme="minorHAnsi" w:hAnsiTheme="minorHAnsi"/>
          <w:sz w:val="22"/>
        </w:rPr>
        <w:t>ing against each Regional Forest Agreement</w:t>
      </w:r>
      <w:r w:rsidR="00964079" w:rsidRPr="00677167">
        <w:rPr>
          <w:rFonts w:asciiTheme="minorHAnsi" w:hAnsiTheme="minorHAnsi"/>
          <w:sz w:val="22"/>
        </w:rPr>
        <w:t xml:space="preserve">. This </w:t>
      </w:r>
      <w:r w:rsidR="002D70E8" w:rsidRPr="00677167">
        <w:rPr>
          <w:rFonts w:asciiTheme="minorHAnsi" w:hAnsiTheme="minorHAnsi"/>
          <w:sz w:val="22"/>
        </w:rPr>
        <w:t>alignment</w:t>
      </w:r>
      <w:r w:rsidRPr="00677167">
        <w:rPr>
          <w:rFonts w:asciiTheme="minorHAnsi" w:hAnsiTheme="minorHAnsi"/>
          <w:sz w:val="22"/>
        </w:rPr>
        <w:t xml:space="preserve"> and common platform</w:t>
      </w:r>
      <w:r w:rsidR="002D70E8" w:rsidRPr="00677167">
        <w:rPr>
          <w:rFonts w:asciiTheme="minorHAnsi" w:hAnsiTheme="minorHAnsi"/>
          <w:sz w:val="22"/>
        </w:rPr>
        <w:t xml:space="preserve"> </w:t>
      </w:r>
      <w:r w:rsidR="00964079" w:rsidRPr="00677167">
        <w:rPr>
          <w:rFonts w:asciiTheme="minorHAnsi" w:hAnsiTheme="minorHAnsi"/>
          <w:sz w:val="22"/>
        </w:rPr>
        <w:t xml:space="preserve">provides consistency in </w:t>
      </w:r>
      <w:r w:rsidRPr="00677167">
        <w:rPr>
          <w:rFonts w:asciiTheme="minorHAnsi" w:hAnsiTheme="minorHAnsi"/>
          <w:sz w:val="22"/>
        </w:rPr>
        <w:t xml:space="preserve">assembled </w:t>
      </w:r>
      <w:r w:rsidR="00964079" w:rsidRPr="00677167">
        <w:rPr>
          <w:rFonts w:asciiTheme="minorHAnsi" w:hAnsiTheme="minorHAnsi"/>
          <w:sz w:val="22"/>
        </w:rPr>
        <w:t>information</w:t>
      </w:r>
      <w:r w:rsidR="00473210" w:rsidRPr="00677167">
        <w:rPr>
          <w:rFonts w:asciiTheme="minorHAnsi" w:hAnsiTheme="minorHAnsi"/>
          <w:sz w:val="22"/>
        </w:rPr>
        <w:t xml:space="preserve">, </w:t>
      </w:r>
      <w:r w:rsidR="002D70E8" w:rsidRPr="00677167">
        <w:rPr>
          <w:rFonts w:asciiTheme="minorHAnsi" w:hAnsiTheme="minorHAnsi"/>
          <w:sz w:val="22"/>
        </w:rPr>
        <w:t xml:space="preserve">and a shared </w:t>
      </w:r>
      <w:r w:rsidRPr="00677167">
        <w:rPr>
          <w:rFonts w:asciiTheme="minorHAnsi" w:hAnsiTheme="minorHAnsi"/>
          <w:sz w:val="22"/>
        </w:rPr>
        <w:t xml:space="preserve">approach </w:t>
      </w:r>
      <w:r w:rsidR="00677167">
        <w:rPr>
          <w:rFonts w:asciiTheme="minorHAnsi" w:hAnsiTheme="minorHAnsi"/>
          <w:sz w:val="22"/>
        </w:rPr>
        <w:t>for measuring and reporting</w:t>
      </w:r>
      <w:r w:rsidR="00263C89" w:rsidRPr="00677167">
        <w:rPr>
          <w:rFonts w:asciiTheme="minorHAnsi" w:hAnsiTheme="minorHAnsi"/>
          <w:sz w:val="22"/>
        </w:rPr>
        <w:t xml:space="preserve"> </w:t>
      </w:r>
      <w:r w:rsidR="002D70E8" w:rsidRPr="00677167">
        <w:rPr>
          <w:rFonts w:asciiTheme="minorHAnsi" w:hAnsiTheme="minorHAnsi"/>
          <w:sz w:val="22"/>
        </w:rPr>
        <w:t>forest at</w:t>
      </w:r>
      <w:r w:rsidR="00677167">
        <w:rPr>
          <w:rFonts w:asciiTheme="minorHAnsi" w:hAnsiTheme="minorHAnsi"/>
          <w:sz w:val="22"/>
        </w:rPr>
        <w:t>tributes</w:t>
      </w:r>
      <w:r w:rsidR="002D70E8" w:rsidRPr="009C1D65">
        <w:rPr>
          <w:rFonts w:asciiTheme="minorHAnsi" w:hAnsiTheme="minorHAnsi"/>
          <w:sz w:val="22"/>
        </w:rPr>
        <w:t xml:space="preserve">. The connection between the </w:t>
      </w:r>
      <w:r w:rsidR="00964079" w:rsidRPr="009C1D65">
        <w:rPr>
          <w:rFonts w:asciiTheme="minorHAnsi" w:hAnsiTheme="minorHAnsi"/>
          <w:sz w:val="22"/>
        </w:rPr>
        <w:t>state</w:t>
      </w:r>
      <w:r w:rsidR="002D70E8" w:rsidRPr="009C1D65">
        <w:rPr>
          <w:rFonts w:asciiTheme="minorHAnsi" w:hAnsiTheme="minorHAnsi"/>
          <w:sz w:val="22"/>
        </w:rPr>
        <w:t>,</w:t>
      </w:r>
      <w:r w:rsidR="00964079" w:rsidRPr="009C1D65">
        <w:rPr>
          <w:rFonts w:asciiTheme="minorHAnsi" w:hAnsiTheme="minorHAnsi"/>
          <w:sz w:val="22"/>
        </w:rPr>
        <w:t xml:space="preserve"> national </w:t>
      </w:r>
      <w:r w:rsidR="002D70E8" w:rsidRPr="009C1D65">
        <w:rPr>
          <w:rFonts w:asciiTheme="minorHAnsi" w:hAnsiTheme="minorHAnsi"/>
          <w:sz w:val="22"/>
        </w:rPr>
        <w:t xml:space="preserve">and international </w:t>
      </w:r>
      <w:r w:rsidR="00964079" w:rsidRPr="009C1D65">
        <w:rPr>
          <w:rFonts w:asciiTheme="minorHAnsi" w:hAnsiTheme="minorHAnsi"/>
          <w:sz w:val="22"/>
        </w:rPr>
        <w:t>level</w:t>
      </w:r>
      <w:r w:rsidR="0056473F" w:rsidRPr="009C1D65">
        <w:rPr>
          <w:rFonts w:asciiTheme="minorHAnsi" w:hAnsiTheme="minorHAnsi"/>
          <w:sz w:val="22"/>
        </w:rPr>
        <w:t>s</w:t>
      </w:r>
      <w:r w:rsidR="002D70E8" w:rsidRPr="009C1D65">
        <w:rPr>
          <w:rFonts w:asciiTheme="minorHAnsi" w:hAnsiTheme="minorHAnsi"/>
          <w:sz w:val="22"/>
        </w:rPr>
        <w:t xml:space="preserve"> of reporting</w:t>
      </w:r>
      <w:r w:rsidR="00CC4388">
        <w:rPr>
          <w:rFonts w:asciiTheme="minorHAnsi" w:hAnsiTheme="minorHAnsi"/>
          <w:sz w:val="22"/>
        </w:rPr>
        <w:t xml:space="preserve"> aligns</w:t>
      </w:r>
      <w:r w:rsidR="00CC4388" w:rsidRPr="009C1D65">
        <w:rPr>
          <w:rFonts w:asciiTheme="minorHAnsi" w:hAnsiTheme="minorHAnsi"/>
          <w:sz w:val="22"/>
        </w:rPr>
        <w:t xml:space="preserve"> data requirements</w:t>
      </w:r>
      <w:r w:rsidR="00B61CFC">
        <w:rPr>
          <w:rFonts w:asciiTheme="minorHAnsi" w:hAnsiTheme="minorHAnsi"/>
          <w:sz w:val="22"/>
        </w:rPr>
        <w:t>,</w:t>
      </w:r>
      <w:r w:rsidR="00CC4388" w:rsidRPr="009C1D65">
        <w:rPr>
          <w:rFonts w:asciiTheme="minorHAnsi" w:hAnsiTheme="minorHAnsi"/>
          <w:sz w:val="22"/>
        </w:rPr>
        <w:t xml:space="preserve"> </w:t>
      </w:r>
      <w:r w:rsidR="00CC4388">
        <w:rPr>
          <w:rFonts w:asciiTheme="minorHAnsi" w:hAnsiTheme="minorHAnsi"/>
          <w:sz w:val="22"/>
        </w:rPr>
        <w:t xml:space="preserve">and </w:t>
      </w:r>
      <w:r w:rsidR="00964079" w:rsidRPr="009C1D65">
        <w:rPr>
          <w:rFonts w:asciiTheme="minorHAnsi" w:hAnsiTheme="minorHAnsi"/>
          <w:sz w:val="22"/>
        </w:rPr>
        <w:t xml:space="preserve">increases the efficiency of producing </w:t>
      </w:r>
      <w:r w:rsidR="002D70E8" w:rsidRPr="009C1D65">
        <w:rPr>
          <w:rFonts w:asciiTheme="minorHAnsi" w:hAnsiTheme="minorHAnsi"/>
          <w:sz w:val="22"/>
        </w:rPr>
        <w:t xml:space="preserve">each </w:t>
      </w:r>
      <w:r w:rsidR="00964079" w:rsidRPr="009C1D65">
        <w:rPr>
          <w:rFonts w:asciiTheme="minorHAnsi" w:hAnsiTheme="minorHAnsi"/>
          <w:sz w:val="22"/>
        </w:rPr>
        <w:t>report.</w:t>
      </w:r>
    </w:p>
    <w:p w:rsidR="00F2736A" w:rsidRPr="009C1D65" w:rsidRDefault="00F2736A" w:rsidP="00232EF3">
      <w:pPr>
        <w:spacing w:before="120" w:after="120"/>
        <w:ind w:left="426"/>
        <w:rPr>
          <w:rFonts w:asciiTheme="minorHAnsi" w:hAnsiTheme="minorHAnsi"/>
          <w:sz w:val="22"/>
        </w:rPr>
      </w:pPr>
      <w:bookmarkStart w:id="0" w:name="_GoBack"/>
      <w:bookmarkEnd w:id="0"/>
    </w:p>
    <w:p w:rsidR="00CA37B2" w:rsidRPr="00CA37B2" w:rsidRDefault="00CA37B2" w:rsidP="00CA37B2">
      <w:pPr>
        <w:pStyle w:val="ListParagraph"/>
        <w:numPr>
          <w:ilvl w:val="0"/>
          <w:numId w:val="10"/>
        </w:numPr>
        <w:spacing w:before="120" w:after="120"/>
        <w:ind w:left="426" w:hanging="426"/>
        <w:contextualSpacing w:val="0"/>
        <w:rPr>
          <w:rFonts w:asciiTheme="minorHAnsi" w:hAnsiTheme="minorHAnsi"/>
          <w:sz w:val="22"/>
          <w:u w:val="single"/>
        </w:rPr>
      </w:pPr>
      <w:r w:rsidRPr="00CA37B2">
        <w:rPr>
          <w:rFonts w:asciiTheme="minorHAnsi" w:hAnsiTheme="minorHAnsi"/>
          <w:sz w:val="22"/>
          <w:u w:val="single"/>
        </w:rPr>
        <w:t>Compatible with certification frameworks</w:t>
      </w:r>
    </w:p>
    <w:p w:rsidR="00CA37B2" w:rsidRPr="00CA37B2" w:rsidRDefault="00D73093" w:rsidP="00CA37B2">
      <w:pPr>
        <w:spacing w:before="120" w:after="120"/>
        <w:ind w:left="426"/>
        <w:rPr>
          <w:rFonts w:asciiTheme="minorHAnsi" w:hAnsiTheme="minorHAnsi"/>
          <w:sz w:val="22"/>
        </w:rPr>
      </w:pPr>
      <w:r w:rsidRPr="00D73093">
        <w:rPr>
          <w:rFonts w:asciiTheme="minorHAnsi" w:hAnsiTheme="minorHAnsi"/>
          <w:sz w:val="22"/>
        </w:rPr>
        <w:lastRenderedPageBreak/>
        <w:t xml:space="preserve">The criteria and requirements in the Australian Forestry Standard </w:t>
      </w:r>
      <w:r w:rsidR="00AD668B">
        <w:rPr>
          <w:rFonts w:asciiTheme="minorHAnsi" w:hAnsiTheme="minorHAnsi"/>
          <w:sz w:val="22"/>
        </w:rPr>
        <w:t xml:space="preserve">(AFS) </w:t>
      </w:r>
      <w:r w:rsidR="00E2332E">
        <w:rPr>
          <w:rFonts w:asciiTheme="minorHAnsi" w:hAnsiTheme="minorHAnsi"/>
          <w:sz w:val="22"/>
        </w:rPr>
        <w:t xml:space="preserve">for </w:t>
      </w:r>
      <w:r w:rsidRPr="00D73093">
        <w:rPr>
          <w:rFonts w:asciiTheme="minorHAnsi" w:hAnsiTheme="minorHAnsi"/>
          <w:sz w:val="22"/>
        </w:rPr>
        <w:t>forest management are constructed around the Montréal Process criteria</w:t>
      </w:r>
      <w:r w:rsidR="00E2332E">
        <w:rPr>
          <w:rFonts w:asciiTheme="minorHAnsi" w:hAnsiTheme="minorHAnsi"/>
          <w:sz w:val="22"/>
        </w:rPr>
        <w:t xml:space="preserve"> </w:t>
      </w:r>
      <w:r w:rsidR="00870DF4">
        <w:rPr>
          <w:rFonts w:asciiTheme="minorHAnsi" w:hAnsiTheme="minorHAnsi"/>
          <w:sz w:val="22"/>
        </w:rPr>
        <w:t xml:space="preserve">that are </w:t>
      </w:r>
      <w:r>
        <w:rPr>
          <w:rFonts w:asciiTheme="minorHAnsi" w:hAnsiTheme="minorHAnsi"/>
          <w:sz w:val="22"/>
        </w:rPr>
        <w:t xml:space="preserve">used for reporting in </w:t>
      </w:r>
      <w:r w:rsidR="00870DF4">
        <w:rPr>
          <w:rFonts w:asciiTheme="minorHAnsi" w:hAnsiTheme="minorHAnsi"/>
          <w:sz w:val="22"/>
        </w:rPr>
        <w:t xml:space="preserve">the </w:t>
      </w:r>
      <w:r>
        <w:rPr>
          <w:rFonts w:asciiTheme="minorHAnsi" w:hAnsiTheme="minorHAnsi"/>
          <w:sz w:val="22"/>
        </w:rPr>
        <w:t xml:space="preserve">SOFR </w:t>
      </w:r>
      <w:r w:rsidR="00870DF4">
        <w:rPr>
          <w:rFonts w:asciiTheme="minorHAnsi" w:hAnsiTheme="minorHAnsi"/>
          <w:sz w:val="22"/>
        </w:rPr>
        <w:t xml:space="preserve">series. This </w:t>
      </w:r>
      <w:r w:rsidR="00E2332E">
        <w:rPr>
          <w:rFonts w:asciiTheme="minorHAnsi" w:hAnsiTheme="minorHAnsi"/>
          <w:sz w:val="22"/>
        </w:rPr>
        <w:t>provid</w:t>
      </w:r>
      <w:r w:rsidR="00870DF4">
        <w:rPr>
          <w:rFonts w:asciiTheme="minorHAnsi" w:hAnsiTheme="minorHAnsi"/>
          <w:sz w:val="22"/>
        </w:rPr>
        <w:t>es</w:t>
      </w:r>
      <w:r w:rsidR="00AD668B">
        <w:rPr>
          <w:rFonts w:asciiTheme="minorHAnsi" w:hAnsiTheme="minorHAnsi"/>
          <w:sz w:val="22"/>
        </w:rPr>
        <w:t xml:space="preserve"> AFS certification</w:t>
      </w:r>
      <w:r w:rsidR="00E2332E">
        <w:rPr>
          <w:rFonts w:asciiTheme="minorHAnsi" w:hAnsiTheme="minorHAnsi"/>
          <w:sz w:val="22"/>
        </w:rPr>
        <w:t xml:space="preserve"> </w:t>
      </w:r>
      <w:r w:rsidR="00AD668B">
        <w:rPr>
          <w:rFonts w:asciiTheme="minorHAnsi" w:hAnsiTheme="minorHAnsi"/>
          <w:sz w:val="22"/>
        </w:rPr>
        <w:t xml:space="preserve">with </w:t>
      </w:r>
      <w:r w:rsidR="00E2332E">
        <w:rPr>
          <w:rFonts w:asciiTheme="minorHAnsi" w:hAnsiTheme="minorHAnsi"/>
          <w:sz w:val="22"/>
        </w:rPr>
        <w:t xml:space="preserve">a </w:t>
      </w:r>
      <w:r w:rsidR="00E2332E" w:rsidRPr="00E2332E">
        <w:rPr>
          <w:rFonts w:asciiTheme="minorHAnsi" w:hAnsiTheme="minorHAnsi"/>
          <w:sz w:val="22"/>
        </w:rPr>
        <w:t>high-level linkage to the sustainability criteria adopted by Australia’s states and territories</w:t>
      </w:r>
      <w:r w:rsidR="00C44359">
        <w:rPr>
          <w:rFonts w:asciiTheme="minorHAnsi" w:hAnsiTheme="minorHAnsi"/>
          <w:sz w:val="22"/>
        </w:rPr>
        <w:t>, and allows consistent assessment and management of forest values</w:t>
      </w:r>
      <w:r w:rsidR="00E2332E" w:rsidRPr="00E2332E">
        <w:rPr>
          <w:rFonts w:asciiTheme="minorHAnsi" w:hAnsiTheme="minorHAnsi"/>
          <w:sz w:val="22"/>
        </w:rPr>
        <w:t>.</w:t>
      </w:r>
    </w:p>
    <w:p w:rsidR="008D2369" w:rsidRPr="00232EF3" w:rsidRDefault="008D2369" w:rsidP="00CA37B2">
      <w:pPr>
        <w:pStyle w:val="ListParagraph"/>
        <w:keepNext/>
        <w:numPr>
          <w:ilvl w:val="0"/>
          <w:numId w:val="10"/>
        </w:numPr>
        <w:spacing w:before="120" w:after="120"/>
        <w:ind w:left="425" w:hanging="425"/>
        <w:contextualSpacing w:val="0"/>
        <w:rPr>
          <w:rFonts w:asciiTheme="minorHAnsi" w:hAnsiTheme="minorHAnsi"/>
          <w:sz w:val="22"/>
          <w:u w:val="single"/>
        </w:rPr>
      </w:pPr>
      <w:r w:rsidRPr="00232EF3">
        <w:rPr>
          <w:rFonts w:asciiTheme="minorHAnsi" w:hAnsiTheme="minorHAnsi"/>
          <w:sz w:val="22"/>
          <w:u w:val="single"/>
        </w:rPr>
        <w:t xml:space="preserve">Efficient </w:t>
      </w:r>
      <w:r>
        <w:rPr>
          <w:rFonts w:asciiTheme="minorHAnsi" w:hAnsiTheme="minorHAnsi"/>
          <w:sz w:val="22"/>
          <w:u w:val="single"/>
        </w:rPr>
        <w:t>international</w:t>
      </w:r>
      <w:r w:rsidRPr="00232EF3">
        <w:rPr>
          <w:rFonts w:asciiTheme="minorHAnsi" w:hAnsiTheme="minorHAnsi"/>
          <w:sz w:val="22"/>
          <w:u w:val="single"/>
        </w:rPr>
        <w:t xml:space="preserve"> reporting</w:t>
      </w:r>
    </w:p>
    <w:p w:rsidR="001E5347" w:rsidRDefault="00637F6B" w:rsidP="001E5347">
      <w:pPr>
        <w:spacing w:before="120" w:after="120"/>
        <w:ind w:left="426"/>
        <w:rPr>
          <w:rFonts w:asciiTheme="minorHAnsi" w:hAnsiTheme="minorHAnsi"/>
          <w:sz w:val="22"/>
        </w:rPr>
      </w:pPr>
      <w:r w:rsidRPr="009C1D65">
        <w:rPr>
          <w:rFonts w:asciiTheme="minorHAnsi" w:hAnsiTheme="minorHAnsi"/>
          <w:sz w:val="22"/>
        </w:rPr>
        <w:t>SOFR is Australia’s key source for international forest reporting processes. This includes Australia’s responses to the five-yearly Global Forest Resources Assessments led by the United Nations Food and Agriculture Organization for 2000, 2005, 2010 and 2015, which were based primarily on data and information from SOFR</w:t>
      </w:r>
      <w:r w:rsidR="00184DCE">
        <w:rPr>
          <w:rFonts w:asciiTheme="minorHAnsi" w:hAnsiTheme="minorHAnsi"/>
          <w:sz w:val="22"/>
        </w:rPr>
        <w:t> </w:t>
      </w:r>
      <w:r w:rsidRPr="009C1D65">
        <w:rPr>
          <w:rFonts w:asciiTheme="minorHAnsi" w:hAnsiTheme="minorHAnsi"/>
          <w:sz w:val="22"/>
        </w:rPr>
        <w:t xml:space="preserve">1998, 2003, 2008 and 2013 respectively. Compilation of SOFR allows efficient responses to these international reporting requirements, as evidenced by no additional requests for data from state and territory governments being necessary to prepare these responses. </w:t>
      </w:r>
    </w:p>
    <w:p w:rsidR="001E5347" w:rsidRDefault="00637F6B" w:rsidP="001E5347">
      <w:pPr>
        <w:spacing w:before="120" w:after="120"/>
        <w:ind w:left="426"/>
        <w:rPr>
          <w:rFonts w:asciiTheme="minorHAnsi" w:hAnsiTheme="minorHAnsi"/>
          <w:sz w:val="22"/>
        </w:rPr>
      </w:pPr>
      <w:r w:rsidRPr="009C1D65">
        <w:rPr>
          <w:rFonts w:asciiTheme="minorHAnsi" w:hAnsiTheme="minorHAnsi"/>
          <w:sz w:val="22"/>
        </w:rPr>
        <w:t xml:space="preserve">The preparation of SOFR using Australia’s Montréal Process criteria and indicator structure also enables SOFR to serve as Australia’s country report to the international </w:t>
      </w:r>
      <w:r w:rsidRPr="009C1D65">
        <w:rPr>
          <w:rFonts w:asciiTheme="minorHAnsi" w:hAnsiTheme="minorHAnsi"/>
          <w:i/>
          <w:sz w:val="22"/>
        </w:rPr>
        <w:t>Montréal Process Working Group on Criteria and Indicators for the Conservation and Sustainable Management of Temperate and Boreal Forests</w:t>
      </w:r>
      <w:r w:rsidRPr="009C1D65">
        <w:rPr>
          <w:rFonts w:asciiTheme="minorHAnsi" w:hAnsiTheme="minorHAnsi"/>
          <w:sz w:val="22"/>
        </w:rPr>
        <w:t>, of which Australia is a founding member.</w:t>
      </w:r>
    </w:p>
    <w:p w:rsidR="00637F6B" w:rsidRPr="009C1D65" w:rsidRDefault="00637F6B" w:rsidP="001E5347">
      <w:pPr>
        <w:spacing w:before="120" w:after="120"/>
        <w:ind w:left="426"/>
        <w:rPr>
          <w:rFonts w:asciiTheme="minorHAnsi" w:hAnsiTheme="minorHAnsi"/>
          <w:sz w:val="22"/>
        </w:rPr>
      </w:pPr>
      <w:r w:rsidRPr="009C1D65">
        <w:rPr>
          <w:rFonts w:asciiTheme="minorHAnsi" w:hAnsiTheme="minorHAnsi"/>
          <w:sz w:val="22"/>
        </w:rPr>
        <w:t>The SOFR series has also been the source for responses to requests for national forest information from the United Nations Forum on Forests</w:t>
      </w:r>
      <w:r w:rsidR="001E5347">
        <w:rPr>
          <w:rFonts w:asciiTheme="minorHAnsi" w:hAnsiTheme="minorHAnsi"/>
          <w:sz w:val="22"/>
        </w:rPr>
        <w:t xml:space="preserve">, </w:t>
      </w:r>
      <w:r w:rsidRPr="009C1D65">
        <w:rPr>
          <w:rFonts w:asciiTheme="minorHAnsi" w:hAnsiTheme="minorHAnsi"/>
          <w:sz w:val="22"/>
        </w:rPr>
        <w:t>the Convention of Biological Diversity</w:t>
      </w:r>
      <w:r w:rsidR="001E5347">
        <w:rPr>
          <w:rFonts w:asciiTheme="minorHAnsi" w:hAnsiTheme="minorHAnsi"/>
          <w:sz w:val="22"/>
        </w:rPr>
        <w:t>, and other requesters</w:t>
      </w:r>
      <w:r w:rsidRPr="009C1D65">
        <w:rPr>
          <w:rFonts w:asciiTheme="minorHAnsi" w:hAnsiTheme="minorHAnsi"/>
          <w:sz w:val="22"/>
        </w:rPr>
        <w:t xml:space="preserve">. </w:t>
      </w:r>
    </w:p>
    <w:p w:rsidR="00637F6B" w:rsidRPr="009C1D65" w:rsidRDefault="00637F6B" w:rsidP="00E722AC">
      <w:pPr>
        <w:spacing w:before="120" w:after="120"/>
        <w:rPr>
          <w:rFonts w:asciiTheme="minorHAnsi" w:hAnsiTheme="minorHAnsi"/>
          <w:i/>
          <w:sz w:val="22"/>
        </w:rPr>
      </w:pPr>
    </w:p>
    <w:p w:rsidR="00D62A79" w:rsidRPr="009C1D65" w:rsidRDefault="00586D83" w:rsidP="00E722AC">
      <w:pPr>
        <w:keepNext/>
        <w:spacing w:before="120" w:after="120"/>
        <w:rPr>
          <w:rFonts w:asciiTheme="minorHAnsi" w:hAnsiTheme="minorHAnsi"/>
          <w:i/>
          <w:sz w:val="22"/>
        </w:rPr>
      </w:pPr>
      <w:r w:rsidRPr="009C1D65">
        <w:rPr>
          <w:rFonts w:asciiTheme="minorHAnsi" w:hAnsiTheme="minorHAnsi"/>
          <w:i/>
          <w:sz w:val="22"/>
        </w:rPr>
        <w:t>Recognition</w:t>
      </w:r>
      <w:r w:rsidR="00591328" w:rsidRPr="009C1D65">
        <w:rPr>
          <w:rFonts w:asciiTheme="minorHAnsi" w:hAnsiTheme="minorHAnsi"/>
          <w:i/>
          <w:sz w:val="22"/>
        </w:rPr>
        <w:t xml:space="preserve"> of benefits</w:t>
      </w:r>
    </w:p>
    <w:p w:rsidR="00086A58" w:rsidRDefault="00591328" w:rsidP="00086A58">
      <w:pPr>
        <w:spacing w:before="120"/>
        <w:rPr>
          <w:rFonts w:asciiTheme="minorHAnsi" w:hAnsiTheme="minorHAnsi"/>
          <w:sz w:val="22"/>
        </w:rPr>
      </w:pPr>
      <w:r w:rsidRPr="009C1D65">
        <w:rPr>
          <w:rFonts w:asciiTheme="minorHAnsi" w:hAnsiTheme="minorHAnsi"/>
          <w:sz w:val="22"/>
        </w:rPr>
        <w:t>At its release the Hon. Richard Colbeck, Parliamentary Secretary to the Minister for Agriculture described SOFR 2013 as</w:t>
      </w:r>
      <w:r w:rsidR="00086A58">
        <w:rPr>
          <w:rFonts w:asciiTheme="minorHAnsi" w:hAnsiTheme="minorHAnsi"/>
          <w:sz w:val="22"/>
        </w:rPr>
        <w:t>:</w:t>
      </w:r>
    </w:p>
    <w:p w:rsidR="00086A58" w:rsidRPr="00FD2351" w:rsidRDefault="00591328" w:rsidP="009969C4">
      <w:pPr>
        <w:spacing w:before="120"/>
        <w:ind w:left="1134"/>
        <w:rPr>
          <w:rFonts w:asciiTheme="minorHAnsi" w:hAnsiTheme="minorHAnsi"/>
          <w:sz w:val="20"/>
          <w:szCs w:val="20"/>
        </w:rPr>
      </w:pPr>
      <w:r w:rsidRPr="00FD2351">
        <w:rPr>
          <w:rFonts w:asciiTheme="minorHAnsi" w:hAnsiTheme="minorHAnsi"/>
          <w:sz w:val="20"/>
          <w:szCs w:val="20"/>
        </w:rPr>
        <w:t>“a huge resource for p</w:t>
      </w:r>
      <w:r w:rsidR="00086A58" w:rsidRPr="00FD2351">
        <w:rPr>
          <w:rFonts w:asciiTheme="minorHAnsi" w:hAnsiTheme="minorHAnsi"/>
          <w:sz w:val="20"/>
          <w:szCs w:val="20"/>
        </w:rPr>
        <w:t>eople in the forestry industry”</w:t>
      </w:r>
    </w:p>
    <w:p w:rsidR="00086A58" w:rsidRPr="00FD2351" w:rsidRDefault="00591328" w:rsidP="009969C4">
      <w:pPr>
        <w:spacing w:before="120"/>
        <w:ind w:left="1134"/>
        <w:rPr>
          <w:rFonts w:asciiTheme="minorHAnsi" w:hAnsiTheme="minorHAnsi"/>
          <w:sz w:val="20"/>
          <w:szCs w:val="20"/>
        </w:rPr>
      </w:pPr>
      <w:r w:rsidRPr="00FD2351">
        <w:rPr>
          <w:rFonts w:asciiTheme="minorHAnsi" w:hAnsiTheme="minorHAnsi"/>
          <w:sz w:val="20"/>
          <w:szCs w:val="20"/>
        </w:rPr>
        <w:t>“a</w:t>
      </w:r>
      <w:r w:rsidR="003559E2" w:rsidRPr="00FD2351">
        <w:rPr>
          <w:rFonts w:asciiTheme="minorHAnsi" w:hAnsiTheme="minorHAnsi"/>
          <w:sz w:val="20"/>
          <w:szCs w:val="20"/>
        </w:rPr>
        <w:t> </w:t>
      </w:r>
      <w:r w:rsidRPr="00FD2351">
        <w:rPr>
          <w:rFonts w:asciiTheme="minorHAnsi" w:hAnsiTheme="minorHAnsi"/>
          <w:sz w:val="20"/>
          <w:szCs w:val="20"/>
        </w:rPr>
        <w:t>message for the broader community”</w:t>
      </w:r>
    </w:p>
    <w:p w:rsidR="00086A58" w:rsidRDefault="00591328" w:rsidP="00086A58">
      <w:pPr>
        <w:spacing w:before="120"/>
        <w:rPr>
          <w:rFonts w:asciiTheme="minorHAnsi" w:hAnsiTheme="minorHAnsi"/>
          <w:sz w:val="22"/>
        </w:rPr>
      </w:pPr>
      <w:r w:rsidRPr="009C1D65">
        <w:rPr>
          <w:rFonts w:asciiTheme="minorHAnsi" w:hAnsiTheme="minorHAnsi"/>
          <w:sz w:val="22"/>
        </w:rPr>
        <w:t>and, in regard to sustainable forest management,</w:t>
      </w:r>
    </w:p>
    <w:p w:rsidR="00591328" w:rsidRPr="00FD2351" w:rsidRDefault="00591328" w:rsidP="00086A58">
      <w:pPr>
        <w:ind w:left="1134"/>
        <w:rPr>
          <w:rFonts w:asciiTheme="minorHAnsi" w:hAnsiTheme="minorHAnsi"/>
          <w:sz w:val="20"/>
          <w:szCs w:val="20"/>
        </w:rPr>
      </w:pPr>
      <w:r w:rsidRPr="00FD2351">
        <w:rPr>
          <w:rFonts w:asciiTheme="minorHAnsi" w:hAnsiTheme="minorHAnsi"/>
          <w:sz w:val="20"/>
          <w:szCs w:val="20"/>
        </w:rPr>
        <w:t>“a benchmark for what’s published around the world”.</w:t>
      </w:r>
    </w:p>
    <w:p w:rsidR="00086A58" w:rsidRDefault="00836CC3" w:rsidP="00681722">
      <w:pPr>
        <w:spacing w:before="120"/>
        <w:rPr>
          <w:rFonts w:asciiTheme="minorHAnsi" w:hAnsiTheme="minorHAnsi"/>
          <w:sz w:val="22"/>
        </w:rPr>
      </w:pPr>
      <w:r>
        <w:rPr>
          <w:rFonts w:asciiTheme="minorHAnsi" w:hAnsiTheme="minorHAnsi"/>
          <w:sz w:val="22"/>
        </w:rPr>
        <w:t>A wide set of accolades have subsequently been document</w:t>
      </w:r>
      <w:r w:rsidR="00F32FF5">
        <w:rPr>
          <w:rFonts w:asciiTheme="minorHAnsi" w:hAnsiTheme="minorHAnsi"/>
          <w:sz w:val="22"/>
        </w:rPr>
        <w:t>ed</w:t>
      </w:r>
      <w:r>
        <w:rPr>
          <w:rFonts w:asciiTheme="minorHAnsi" w:hAnsiTheme="minorHAnsi"/>
          <w:sz w:val="22"/>
        </w:rPr>
        <w:t xml:space="preserve"> from the SOFR us</w:t>
      </w:r>
      <w:r w:rsidR="00086A58">
        <w:rPr>
          <w:rFonts w:asciiTheme="minorHAnsi" w:hAnsiTheme="minorHAnsi"/>
          <w:sz w:val="22"/>
        </w:rPr>
        <w:t>er community. Examples include:</w:t>
      </w:r>
    </w:p>
    <w:p w:rsidR="00086A58" w:rsidRPr="00FD2351" w:rsidRDefault="00836CC3" w:rsidP="009969C4">
      <w:pPr>
        <w:spacing w:before="120"/>
        <w:ind w:left="1134"/>
        <w:rPr>
          <w:rFonts w:asciiTheme="minorHAnsi" w:hAnsiTheme="minorHAnsi"/>
          <w:sz w:val="20"/>
          <w:szCs w:val="20"/>
        </w:rPr>
      </w:pPr>
      <w:r w:rsidRPr="00FD2351">
        <w:rPr>
          <w:rFonts w:asciiTheme="minorHAnsi" w:hAnsiTheme="minorHAnsi"/>
          <w:sz w:val="20"/>
          <w:szCs w:val="20"/>
        </w:rPr>
        <w:t>“Just wanted to say how great it’s been having the 2013 SOFR. I’ve referred to the report and the online version for various bits of research in the last month. A great reference all round” (from a Senior Planning Officer in a state Environmental Protection Agency),</w:t>
      </w:r>
    </w:p>
    <w:p w:rsidR="00086A58" w:rsidRPr="00FD2351" w:rsidRDefault="00836CC3" w:rsidP="009969C4">
      <w:pPr>
        <w:spacing w:before="120"/>
        <w:ind w:left="1134"/>
        <w:rPr>
          <w:rFonts w:asciiTheme="minorHAnsi" w:hAnsiTheme="minorHAnsi"/>
          <w:sz w:val="20"/>
          <w:szCs w:val="20"/>
        </w:rPr>
      </w:pPr>
      <w:r w:rsidRPr="00FD2351">
        <w:rPr>
          <w:rFonts w:asciiTheme="minorHAnsi" w:hAnsiTheme="minorHAnsi"/>
          <w:sz w:val="20"/>
          <w:szCs w:val="20"/>
        </w:rPr>
        <w:t>“as comprehensive and informative a document as ever” (from a senior academic), and</w:t>
      </w:r>
    </w:p>
    <w:p w:rsidR="00836CC3" w:rsidRPr="00FD2351" w:rsidRDefault="00836CC3" w:rsidP="009969C4">
      <w:pPr>
        <w:spacing w:before="120"/>
        <w:ind w:left="1134"/>
        <w:rPr>
          <w:rFonts w:asciiTheme="minorHAnsi" w:hAnsiTheme="minorHAnsi"/>
          <w:sz w:val="20"/>
          <w:szCs w:val="20"/>
        </w:rPr>
      </w:pPr>
      <w:r w:rsidRPr="00FD2351">
        <w:rPr>
          <w:rFonts w:asciiTheme="minorHAnsi" w:hAnsiTheme="minorHAnsi"/>
          <w:sz w:val="20"/>
          <w:szCs w:val="20"/>
        </w:rPr>
        <w:t>“excellent report produced by your country” (from the National Sustainability Program Leader in an overseas Forest Service).</w:t>
      </w:r>
    </w:p>
    <w:p w:rsidR="00152CEE" w:rsidRPr="009C1D65" w:rsidRDefault="00D4223D" w:rsidP="00E722AC">
      <w:pPr>
        <w:spacing w:before="120" w:after="120"/>
        <w:rPr>
          <w:rFonts w:asciiTheme="minorHAnsi" w:hAnsiTheme="minorHAnsi"/>
          <w:sz w:val="22"/>
        </w:rPr>
      </w:pPr>
      <w:r>
        <w:rPr>
          <w:rFonts w:asciiTheme="minorHAnsi" w:hAnsiTheme="minorHAnsi"/>
          <w:sz w:val="22"/>
        </w:rPr>
        <w:t>T</w:t>
      </w:r>
      <w:r w:rsidR="00266608" w:rsidRPr="009C1D65">
        <w:rPr>
          <w:rFonts w:asciiTheme="minorHAnsi" w:hAnsiTheme="minorHAnsi"/>
          <w:sz w:val="22"/>
        </w:rPr>
        <w:t>he national forest cover and forest type spatial dataset</w:t>
      </w:r>
      <w:r>
        <w:rPr>
          <w:rFonts w:asciiTheme="minorHAnsi" w:hAnsiTheme="minorHAnsi"/>
          <w:sz w:val="22"/>
        </w:rPr>
        <w:t>s in the National Forest Inventory</w:t>
      </w:r>
      <w:r w:rsidR="00266608" w:rsidRPr="009C1D65">
        <w:rPr>
          <w:rFonts w:asciiTheme="minorHAnsi" w:hAnsiTheme="minorHAnsi"/>
          <w:sz w:val="22"/>
        </w:rPr>
        <w:t xml:space="preserve"> </w:t>
      </w:r>
      <w:r w:rsidR="00591328" w:rsidRPr="009C1D65">
        <w:rPr>
          <w:rFonts w:asciiTheme="minorHAnsi" w:hAnsiTheme="minorHAnsi"/>
          <w:sz w:val="22"/>
        </w:rPr>
        <w:t>have been</w:t>
      </w:r>
      <w:r w:rsidR="009D32B0">
        <w:rPr>
          <w:rFonts w:asciiTheme="minorHAnsi" w:hAnsiTheme="minorHAnsi"/>
          <w:sz w:val="22"/>
        </w:rPr>
        <w:t xml:space="preserve"> identified by the </w:t>
      </w:r>
      <w:r w:rsidR="00FD2351">
        <w:rPr>
          <w:rFonts w:asciiTheme="minorHAnsi" w:hAnsiTheme="minorHAnsi"/>
          <w:sz w:val="22"/>
        </w:rPr>
        <w:t xml:space="preserve">Australian Bureau of Statistics </w:t>
      </w:r>
      <w:r w:rsidR="009D32B0">
        <w:rPr>
          <w:rFonts w:asciiTheme="minorHAnsi" w:hAnsiTheme="minorHAnsi"/>
          <w:sz w:val="22"/>
        </w:rPr>
        <w:t>as an E</w:t>
      </w:r>
      <w:r w:rsidR="00266608" w:rsidRPr="009C1D65">
        <w:rPr>
          <w:rFonts w:asciiTheme="minorHAnsi" w:hAnsiTheme="minorHAnsi"/>
          <w:sz w:val="22"/>
        </w:rPr>
        <w:t xml:space="preserve">ssential </w:t>
      </w:r>
      <w:r w:rsidR="009D32B0">
        <w:rPr>
          <w:rFonts w:asciiTheme="minorHAnsi" w:hAnsiTheme="minorHAnsi"/>
          <w:sz w:val="22"/>
        </w:rPr>
        <w:t>S</w:t>
      </w:r>
      <w:r w:rsidR="00266608" w:rsidRPr="009C1D65">
        <w:rPr>
          <w:rFonts w:asciiTheme="minorHAnsi" w:hAnsiTheme="minorHAnsi"/>
          <w:sz w:val="22"/>
        </w:rPr>
        <w:t xml:space="preserve">tatistical </w:t>
      </w:r>
      <w:r w:rsidR="009D32B0">
        <w:rPr>
          <w:rFonts w:asciiTheme="minorHAnsi" w:hAnsiTheme="minorHAnsi"/>
          <w:sz w:val="22"/>
        </w:rPr>
        <w:t>Asset</w:t>
      </w:r>
      <w:r w:rsidR="00266608" w:rsidRPr="009C1D65">
        <w:rPr>
          <w:rFonts w:asciiTheme="minorHAnsi" w:hAnsiTheme="minorHAnsi"/>
          <w:sz w:val="22"/>
        </w:rPr>
        <w:t xml:space="preserve">, and </w:t>
      </w:r>
      <w:r>
        <w:rPr>
          <w:rFonts w:asciiTheme="minorHAnsi" w:hAnsiTheme="minorHAnsi"/>
          <w:sz w:val="22"/>
        </w:rPr>
        <w:t xml:space="preserve">are </w:t>
      </w:r>
      <w:r w:rsidR="00266608" w:rsidRPr="009C1D65">
        <w:rPr>
          <w:rFonts w:asciiTheme="minorHAnsi" w:hAnsiTheme="minorHAnsi"/>
          <w:sz w:val="22"/>
        </w:rPr>
        <w:t>foundation spatial dataset</w:t>
      </w:r>
      <w:r w:rsidR="00FD2351">
        <w:rPr>
          <w:rFonts w:asciiTheme="minorHAnsi" w:hAnsiTheme="minorHAnsi"/>
          <w:sz w:val="22"/>
        </w:rPr>
        <w:t>s</w:t>
      </w:r>
      <w:r w:rsidR="00266608" w:rsidRPr="009C1D65">
        <w:rPr>
          <w:rFonts w:asciiTheme="minorHAnsi" w:hAnsiTheme="minorHAnsi"/>
          <w:sz w:val="22"/>
        </w:rPr>
        <w:t xml:space="preserve"> in the land cover component of ANZLIC – the Spatial Information Council. </w:t>
      </w:r>
    </w:p>
    <w:sectPr w:rsidR="00152CEE" w:rsidRPr="009C1D65" w:rsidSect="00F2736A">
      <w:footerReference w:type="default" r:id="rId10"/>
      <w:pgSz w:w="11906" w:h="16838"/>
      <w:pgMar w:top="1134" w:right="1383" w:bottom="1134" w:left="138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15C" w:rsidRDefault="0055415C" w:rsidP="00D822E5">
      <w:r>
        <w:separator/>
      </w:r>
    </w:p>
  </w:endnote>
  <w:endnote w:type="continuationSeparator" w:id="0">
    <w:p w:rsidR="0055415C" w:rsidRDefault="0055415C" w:rsidP="00D8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980916004"/>
      <w:docPartObj>
        <w:docPartGallery w:val="Page Numbers (Bottom of Page)"/>
        <w:docPartUnique/>
      </w:docPartObj>
    </w:sdtPr>
    <w:sdtEndPr/>
    <w:sdtContent>
      <w:p w:rsidR="0055415C" w:rsidRPr="00D04FFB" w:rsidRDefault="00987392" w:rsidP="00D04FFB">
        <w:pPr>
          <w:pStyle w:val="Footer"/>
          <w:jc w:val="center"/>
          <w:rPr>
            <w:rFonts w:asciiTheme="minorHAnsi" w:hAnsiTheme="minorHAnsi"/>
            <w:sz w:val="20"/>
          </w:rPr>
        </w:pPr>
        <w:r w:rsidRPr="00D04FFB">
          <w:rPr>
            <w:rFonts w:asciiTheme="minorHAnsi" w:hAnsiTheme="minorHAnsi"/>
            <w:sz w:val="20"/>
          </w:rPr>
          <w:fldChar w:fldCharType="begin"/>
        </w:r>
        <w:r w:rsidR="00BA4A3C" w:rsidRPr="00D04FFB">
          <w:rPr>
            <w:rFonts w:asciiTheme="minorHAnsi" w:hAnsiTheme="minorHAnsi"/>
            <w:sz w:val="20"/>
          </w:rPr>
          <w:instrText xml:space="preserve"> PAGE   \* MERGEFORMAT </w:instrText>
        </w:r>
        <w:r w:rsidRPr="00D04FFB">
          <w:rPr>
            <w:rFonts w:asciiTheme="minorHAnsi" w:hAnsiTheme="minorHAnsi"/>
            <w:sz w:val="20"/>
          </w:rPr>
          <w:fldChar w:fldCharType="separate"/>
        </w:r>
        <w:r w:rsidR="00F2736A">
          <w:rPr>
            <w:rFonts w:asciiTheme="minorHAnsi" w:hAnsiTheme="minorHAnsi"/>
            <w:noProof/>
            <w:sz w:val="20"/>
          </w:rPr>
          <w:t>1</w:t>
        </w:r>
        <w:r w:rsidRPr="00D04FFB">
          <w:rPr>
            <w:rFonts w:asciiTheme="minorHAnsi" w:hAnsiTheme="minorHAnsi"/>
            <w:sz w:val="20"/>
          </w:rPr>
          <w:fldChar w:fldCharType="end"/>
        </w:r>
      </w:p>
    </w:sdtContent>
  </w:sdt>
  <w:p w:rsidR="0055415C" w:rsidRPr="00D04FFB" w:rsidRDefault="0055415C">
    <w:pPr>
      <w:pStyle w:val="Footer"/>
      <w:rPr>
        <w:rFonts w:asciiTheme="minorHAnsi" w:hAnsi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15C" w:rsidRDefault="0055415C" w:rsidP="00D822E5">
      <w:r>
        <w:separator/>
      </w:r>
    </w:p>
  </w:footnote>
  <w:footnote w:type="continuationSeparator" w:id="0">
    <w:p w:rsidR="0055415C" w:rsidRDefault="0055415C" w:rsidP="00D82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6771"/>
    <w:multiLevelType w:val="hybridMultilevel"/>
    <w:tmpl w:val="E10C2BC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AEB3B41"/>
    <w:multiLevelType w:val="hybridMultilevel"/>
    <w:tmpl w:val="E10C2BC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DF4E6D"/>
    <w:multiLevelType w:val="hybridMultilevel"/>
    <w:tmpl w:val="D0BC576A"/>
    <w:lvl w:ilvl="0" w:tplc="F0E4DCDC">
      <w:start w:val="1"/>
      <w:numFmt w:val="bullet"/>
      <w:lvlText w:val="•"/>
      <w:lvlJc w:val="left"/>
      <w:pPr>
        <w:tabs>
          <w:tab w:val="num" w:pos="720"/>
        </w:tabs>
        <w:ind w:left="720" w:hanging="360"/>
      </w:pPr>
      <w:rPr>
        <w:rFonts w:ascii="Times New Roman" w:hAnsi="Times New Roman" w:cs="Times New Roman" w:hint="default"/>
      </w:rPr>
    </w:lvl>
    <w:lvl w:ilvl="1" w:tplc="75E2F30E">
      <w:start w:val="1"/>
      <w:numFmt w:val="decimal"/>
      <w:lvlText w:val="%2."/>
      <w:lvlJc w:val="left"/>
      <w:pPr>
        <w:tabs>
          <w:tab w:val="num" w:pos="1440"/>
        </w:tabs>
        <w:ind w:left="1440" w:hanging="360"/>
      </w:pPr>
    </w:lvl>
    <w:lvl w:ilvl="2" w:tplc="1C5C3BDA">
      <w:start w:val="1"/>
      <w:numFmt w:val="decimal"/>
      <w:lvlText w:val="%3."/>
      <w:lvlJc w:val="left"/>
      <w:pPr>
        <w:tabs>
          <w:tab w:val="num" w:pos="2160"/>
        </w:tabs>
        <w:ind w:left="2160" w:hanging="360"/>
      </w:pPr>
    </w:lvl>
    <w:lvl w:ilvl="3" w:tplc="8070B476">
      <w:start w:val="1"/>
      <w:numFmt w:val="decimal"/>
      <w:lvlText w:val="%4."/>
      <w:lvlJc w:val="left"/>
      <w:pPr>
        <w:tabs>
          <w:tab w:val="num" w:pos="2880"/>
        </w:tabs>
        <w:ind w:left="2880" w:hanging="360"/>
      </w:pPr>
    </w:lvl>
    <w:lvl w:ilvl="4" w:tplc="91A4A7CA">
      <w:start w:val="937"/>
      <w:numFmt w:val="bullet"/>
      <w:lvlText w:val=""/>
      <w:lvlJc w:val="left"/>
      <w:pPr>
        <w:tabs>
          <w:tab w:val="num" w:pos="3600"/>
        </w:tabs>
        <w:ind w:left="3600" w:hanging="360"/>
      </w:pPr>
      <w:rPr>
        <w:rFonts w:ascii="Symbol" w:hAnsi="Symbol" w:hint="default"/>
      </w:rPr>
    </w:lvl>
    <w:lvl w:ilvl="5" w:tplc="8098C870">
      <w:start w:val="1"/>
      <w:numFmt w:val="decimal"/>
      <w:lvlText w:val="%6."/>
      <w:lvlJc w:val="left"/>
      <w:pPr>
        <w:tabs>
          <w:tab w:val="num" w:pos="4320"/>
        </w:tabs>
        <w:ind w:left="4320" w:hanging="360"/>
      </w:pPr>
    </w:lvl>
    <w:lvl w:ilvl="6" w:tplc="ED36CD06">
      <w:start w:val="1"/>
      <w:numFmt w:val="decimal"/>
      <w:lvlText w:val="%7."/>
      <w:lvlJc w:val="left"/>
      <w:pPr>
        <w:tabs>
          <w:tab w:val="num" w:pos="5040"/>
        </w:tabs>
        <w:ind w:left="5040" w:hanging="360"/>
      </w:pPr>
    </w:lvl>
    <w:lvl w:ilvl="7" w:tplc="0D5012DA">
      <w:start w:val="1"/>
      <w:numFmt w:val="decimal"/>
      <w:lvlText w:val="%8."/>
      <w:lvlJc w:val="left"/>
      <w:pPr>
        <w:tabs>
          <w:tab w:val="num" w:pos="5760"/>
        </w:tabs>
        <w:ind w:left="5760" w:hanging="360"/>
      </w:pPr>
    </w:lvl>
    <w:lvl w:ilvl="8" w:tplc="9586C4B2">
      <w:start w:val="1"/>
      <w:numFmt w:val="decimal"/>
      <w:lvlText w:val="%9."/>
      <w:lvlJc w:val="left"/>
      <w:pPr>
        <w:tabs>
          <w:tab w:val="num" w:pos="6480"/>
        </w:tabs>
        <w:ind w:left="6480" w:hanging="360"/>
      </w:pPr>
    </w:lvl>
  </w:abstractNum>
  <w:abstractNum w:abstractNumId="3" w15:restartNumberingAfterBreak="0">
    <w:nsid w:val="30A13E59"/>
    <w:multiLevelType w:val="hybridMultilevel"/>
    <w:tmpl w:val="4F58711E"/>
    <w:lvl w:ilvl="0" w:tplc="0C090001">
      <w:start w:val="1"/>
      <w:numFmt w:val="bullet"/>
      <w:lvlText w:val=""/>
      <w:lvlJc w:val="left"/>
      <w:pPr>
        <w:ind w:left="720" w:hanging="360"/>
      </w:pPr>
      <w:rPr>
        <w:rFonts w:ascii="Symbol" w:hAnsi="Symbol" w:hint="default"/>
      </w:rPr>
    </w:lvl>
    <w:lvl w:ilvl="1" w:tplc="BF06D958">
      <w:numFmt w:val="bullet"/>
      <w:lvlText w:val="-"/>
      <w:lvlJc w:val="left"/>
      <w:pPr>
        <w:ind w:left="1440" w:hanging="360"/>
      </w:pPr>
      <w:rPr>
        <w:rFonts w:ascii="Cambria" w:eastAsia="Times New Roman" w:hAnsi="Cambri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CE45E4"/>
    <w:multiLevelType w:val="hybridMultilevel"/>
    <w:tmpl w:val="E10C2BC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BC3CE5"/>
    <w:multiLevelType w:val="hybridMultilevel"/>
    <w:tmpl w:val="C166F408"/>
    <w:lvl w:ilvl="0" w:tplc="0C090003">
      <w:start w:val="1"/>
      <w:numFmt w:val="bullet"/>
      <w:lvlText w:val="o"/>
      <w:lvlJc w:val="left"/>
      <w:pPr>
        <w:ind w:left="720" w:hanging="360"/>
      </w:pPr>
      <w:rPr>
        <w:rFonts w:ascii="Courier New" w:hAnsi="Courier New" w:cs="Courier New" w:hint="default"/>
      </w:rPr>
    </w:lvl>
    <w:lvl w:ilvl="1" w:tplc="BF06D958">
      <w:numFmt w:val="bullet"/>
      <w:lvlText w:val="-"/>
      <w:lvlJc w:val="left"/>
      <w:pPr>
        <w:ind w:left="1440" w:hanging="360"/>
      </w:pPr>
      <w:rPr>
        <w:rFonts w:ascii="Cambria" w:eastAsia="Times New Roman" w:hAnsi="Cambri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C73C50"/>
    <w:multiLevelType w:val="hybridMultilevel"/>
    <w:tmpl w:val="31FE36D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4C367062"/>
    <w:multiLevelType w:val="hybridMultilevel"/>
    <w:tmpl w:val="9ADECD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386DC6"/>
    <w:multiLevelType w:val="hybridMultilevel"/>
    <w:tmpl w:val="19264DAC"/>
    <w:lvl w:ilvl="0" w:tplc="57B634C6">
      <w:numFmt w:val="bullet"/>
      <w:lvlText w:val="-"/>
      <w:lvlJc w:val="left"/>
      <w:pPr>
        <w:ind w:left="720" w:hanging="36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30119C"/>
    <w:multiLevelType w:val="hybridMultilevel"/>
    <w:tmpl w:val="E10C2BC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F3900E7"/>
    <w:multiLevelType w:val="hybridMultilevel"/>
    <w:tmpl w:val="B848459A"/>
    <w:lvl w:ilvl="0" w:tplc="0C090001">
      <w:start w:val="1"/>
      <w:numFmt w:val="bullet"/>
      <w:lvlText w:val=""/>
      <w:lvlJc w:val="left"/>
      <w:pPr>
        <w:ind w:left="765" w:hanging="360"/>
      </w:pPr>
      <w:rPr>
        <w:rFonts w:ascii="Symbol" w:hAnsi="Symbol" w:hint="default"/>
      </w:rPr>
    </w:lvl>
    <w:lvl w:ilvl="1" w:tplc="EF82D7E4">
      <w:start w:val="1"/>
      <w:numFmt w:val="bullet"/>
      <w:lvlText w:val="-"/>
      <w:lvlJc w:val="left"/>
      <w:pPr>
        <w:ind w:left="1485" w:hanging="360"/>
      </w:pPr>
      <w:rPr>
        <w:rFonts w:ascii="Symbol" w:hAnsi="Symbol"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5"/>
  </w:num>
  <w:num w:numId="2">
    <w:abstractNumId w:val="8"/>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4"/>
  </w:num>
  <w:num w:numId="8">
    <w:abstractNumId w:val="7"/>
  </w:num>
  <w:num w:numId="9">
    <w:abstractNumId w:val="9"/>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66608"/>
    <w:rsid w:val="000011B9"/>
    <w:rsid w:val="000164D8"/>
    <w:rsid w:val="0002451A"/>
    <w:rsid w:val="00024C7A"/>
    <w:rsid w:val="00030413"/>
    <w:rsid w:val="00031C54"/>
    <w:rsid w:val="00034F38"/>
    <w:rsid w:val="000362BD"/>
    <w:rsid w:val="00045A1D"/>
    <w:rsid w:val="00047241"/>
    <w:rsid w:val="00047E0A"/>
    <w:rsid w:val="000518E9"/>
    <w:rsid w:val="000552C6"/>
    <w:rsid w:val="00070476"/>
    <w:rsid w:val="00070D08"/>
    <w:rsid w:val="00076B10"/>
    <w:rsid w:val="000774F5"/>
    <w:rsid w:val="00077B86"/>
    <w:rsid w:val="000861C5"/>
    <w:rsid w:val="00086A58"/>
    <w:rsid w:val="0009315F"/>
    <w:rsid w:val="00094305"/>
    <w:rsid w:val="000A31E4"/>
    <w:rsid w:val="000A377E"/>
    <w:rsid w:val="000A47B9"/>
    <w:rsid w:val="000A6A93"/>
    <w:rsid w:val="000A6B9C"/>
    <w:rsid w:val="000B181C"/>
    <w:rsid w:val="000B193C"/>
    <w:rsid w:val="000B299F"/>
    <w:rsid w:val="000B7F09"/>
    <w:rsid w:val="000C19BE"/>
    <w:rsid w:val="000D07D1"/>
    <w:rsid w:val="000D3722"/>
    <w:rsid w:val="000D4E42"/>
    <w:rsid w:val="000F2609"/>
    <w:rsid w:val="000F36B1"/>
    <w:rsid w:val="000F4B20"/>
    <w:rsid w:val="000F63E4"/>
    <w:rsid w:val="001015F0"/>
    <w:rsid w:val="001032FF"/>
    <w:rsid w:val="001049AB"/>
    <w:rsid w:val="001100C9"/>
    <w:rsid w:val="00113C9C"/>
    <w:rsid w:val="00130CA3"/>
    <w:rsid w:val="00132D27"/>
    <w:rsid w:val="0013461F"/>
    <w:rsid w:val="00147713"/>
    <w:rsid w:val="001518C5"/>
    <w:rsid w:val="00152CEE"/>
    <w:rsid w:val="001600CA"/>
    <w:rsid w:val="00161EC2"/>
    <w:rsid w:val="00173BD3"/>
    <w:rsid w:val="00173F56"/>
    <w:rsid w:val="00177C41"/>
    <w:rsid w:val="00184DCE"/>
    <w:rsid w:val="001874A9"/>
    <w:rsid w:val="001912BB"/>
    <w:rsid w:val="0019618E"/>
    <w:rsid w:val="001A564D"/>
    <w:rsid w:val="001A6EB3"/>
    <w:rsid w:val="001A77FD"/>
    <w:rsid w:val="001B2568"/>
    <w:rsid w:val="001C056A"/>
    <w:rsid w:val="001C2673"/>
    <w:rsid w:val="001C2BC6"/>
    <w:rsid w:val="001D073B"/>
    <w:rsid w:val="001D4986"/>
    <w:rsid w:val="001D6E22"/>
    <w:rsid w:val="001E076D"/>
    <w:rsid w:val="001E5347"/>
    <w:rsid w:val="001E6547"/>
    <w:rsid w:val="001F291C"/>
    <w:rsid w:val="001F5CA1"/>
    <w:rsid w:val="001F643B"/>
    <w:rsid w:val="001F6AE4"/>
    <w:rsid w:val="00211FC4"/>
    <w:rsid w:val="00232EF3"/>
    <w:rsid w:val="00234815"/>
    <w:rsid w:val="002461A9"/>
    <w:rsid w:val="0024638A"/>
    <w:rsid w:val="00263C89"/>
    <w:rsid w:val="00266608"/>
    <w:rsid w:val="00284E7E"/>
    <w:rsid w:val="0029058E"/>
    <w:rsid w:val="002976A0"/>
    <w:rsid w:val="002A448E"/>
    <w:rsid w:val="002B1C4F"/>
    <w:rsid w:val="002C3691"/>
    <w:rsid w:val="002D4A68"/>
    <w:rsid w:val="002D70E8"/>
    <w:rsid w:val="002D786C"/>
    <w:rsid w:val="002E169B"/>
    <w:rsid w:val="002E3E31"/>
    <w:rsid w:val="002E4C4D"/>
    <w:rsid w:val="002F26A6"/>
    <w:rsid w:val="002F3EB7"/>
    <w:rsid w:val="002F4733"/>
    <w:rsid w:val="002F4E77"/>
    <w:rsid w:val="00302A7C"/>
    <w:rsid w:val="0031737F"/>
    <w:rsid w:val="003244EF"/>
    <w:rsid w:val="00327B73"/>
    <w:rsid w:val="00327F2F"/>
    <w:rsid w:val="00340835"/>
    <w:rsid w:val="00341CBF"/>
    <w:rsid w:val="0034208A"/>
    <w:rsid w:val="003559E2"/>
    <w:rsid w:val="003609D2"/>
    <w:rsid w:val="003656B8"/>
    <w:rsid w:val="00380D94"/>
    <w:rsid w:val="00385CCB"/>
    <w:rsid w:val="003903AF"/>
    <w:rsid w:val="0039524C"/>
    <w:rsid w:val="00396CBF"/>
    <w:rsid w:val="003A023F"/>
    <w:rsid w:val="003A070D"/>
    <w:rsid w:val="003A4A54"/>
    <w:rsid w:val="003B4921"/>
    <w:rsid w:val="003C235A"/>
    <w:rsid w:val="003C4EF3"/>
    <w:rsid w:val="003C6D37"/>
    <w:rsid w:val="003D1F71"/>
    <w:rsid w:val="003D7C30"/>
    <w:rsid w:val="003E342E"/>
    <w:rsid w:val="003E4586"/>
    <w:rsid w:val="00412424"/>
    <w:rsid w:val="00422879"/>
    <w:rsid w:val="0042421D"/>
    <w:rsid w:val="00425B9F"/>
    <w:rsid w:val="00430D54"/>
    <w:rsid w:val="00431E40"/>
    <w:rsid w:val="00433056"/>
    <w:rsid w:val="00433C5D"/>
    <w:rsid w:val="0044167E"/>
    <w:rsid w:val="00443757"/>
    <w:rsid w:val="00444041"/>
    <w:rsid w:val="0045458C"/>
    <w:rsid w:val="00465528"/>
    <w:rsid w:val="00470259"/>
    <w:rsid w:val="00473210"/>
    <w:rsid w:val="004913E7"/>
    <w:rsid w:val="004919F3"/>
    <w:rsid w:val="00493EAB"/>
    <w:rsid w:val="00496FBA"/>
    <w:rsid w:val="004A1A16"/>
    <w:rsid w:val="004B0763"/>
    <w:rsid w:val="004B0862"/>
    <w:rsid w:val="004C3091"/>
    <w:rsid w:val="004C3450"/>
    <w:rsid w:val="004D0606"/>
    <w:rsid w:val="004D1DC2"/>
    <w:rsid w:val="004E4B18"/>
    <w:rsid w:val="004F4BE2"/>
    <w:rsid w:val="00500ED6"/>
    <w:rsid w:val="00507246"/>
    <w:rsid w:val="00511AAF"/>
    <w:rsid w:val="005168E1"/>
    <w:rsid w:val="00520076"/>
    <w:rsid w:val="00524AE9"/>
    <w:rsid w:val="00530FD2"/>
    <w:rsid w:val="00531A8F"/>
    <w:rsid w:val="0053265E"/>
    <w:rsid w:val="00534816"/>
    <w:rsid w:val="005417C1"/>
    <w:rsid w:val="005474AB"/>
    <w:rsid w:val="0055415C"/>
    <w:rsid w:val="0056473F"/>
    <w:rsid w:val="00564A94"/>
    <w:rsid w:val="00565E87"/>
    <w:rsid w:val="00567AEB"/>
    <w:rsid w:val="00573669"/>
    <w:rsid w:val="005741AF"/>
    <w:rsid w:val="00577F4E"/>
    <w:rsid w:val="005856ED"/>
    <w:rsid w:val="00586D83"/>
    <w:rsid w:val="00591328"/>
    <w:rsid w:val="00593561"/>
    <w:rsid w:val="00595D79"/>
    <w:rsid w:val="005C1A24"/>
    <w:rsid w:val="005C6249"/>
    <w:rsid w:val="005C701A"/>
    <w:rsid w:val="005D3078"/>
    <w:rsid w:val="005D7A58"/>
    <w:rsid w:val="005E043A"/>
    <w:rsid w:val="005E12AC"/>
    <w:rsid w:val="005E25FF"/>
    <w:rsid w:val="005E6C34"/>
    <w:rsid w:val="005F1A21"/>
    <w:rsid w:val="005F6DE3"/>
    <w:rsid w:val="006024B6"/>
    <w:rsid w:val="00602605"/>
    <w:rsid w:val="00617407"/>
    <w:rsid w:val="00625920"/>
    <w:rsid w:val="006350A2"/>
    <w:rsid w:val="006369CA"/>
    <w:rsid w:val="00637F6B"/>
    <w:rsid w:val="006572BE"/>
    <w:rsid w:val="00660226"/>
    <w:rsid w:val="00661C6C"/>
    <w:rsid w:val="00662087"/>
    <w:rsid w:val="00677167"/>
    <w:rsid w:val="00681722"/>
    <w:rsid w:val="00681DE9"/>
    <w:rsid w:val="0068414C"/>
    <w:rsid w:val="006878F9"/>
    <w:rsid w:val="00695ECE"/>
    <w:rsid w:val="006A3DD4"/>
    <w:rsid w:val="006B3243"/>
    <w:rsid w:val="006D3516"/>
    <w:rsid w:val="006F0870"/>
    <w:rsid w:val="006F752B"/>
    <w:rsid w:val="007054CE"/>
    <w:rsid w:val="007221AA"/>
    <w:rsid w:val="007238C8"/>
    <w:rsid w:val="00726EED"/>
    <w:rsid w:val="007274C7"/>
    <w:rsid w:val="0073794F"/>
    <w:rsid w:val="0074369A"/>
    <w:rsid w:val="00745D10"/>
    <w:rsid w:val="0074703F"/>
    <w:rsid w:val="00750C60"/>
    <w:rsid w:val="00761E38"/>
    <w:rsid w:val="00780127"/>
    <w:rsid w:val="00791EA4"/>
    <w:rsid w:val="007B5405"/>
    <w:rsid w:val="007B6D6F"/>
    <w:rsid w:val="007C1C97"/>
    <w:rsid w:val="007C42FB"/>
    <w:rsid w:val="007C59CD"/>
    <w:rsid w:val="007D3518"/>
    <w:rsid w:val="007D5DDB"/>
    <w:rsid w:val="007E7B89"/>
    <w:rsid w:val="007F2850"/>
    <w:rsid w:val="007F44AD"/>
    <w:rsid w:val="0080092D"/>
    <w:rsid w:val="00815E57"/>
    <w:rsid w:val="00834017"/>
    <w:rsid w:val="00836CC3"/>
    <w:rsid w:val="00850567"/>
    <w:rsid w:val="00856429"/>
    <w:rsid w:val="00861842"/>
    <w:rsid w:val="00861E97"/>
    <w:rsid w:val="00862E79"/>
    <w:rsid w:val="00865CBA"/>
    <w:rsid w:val="00870DF4"/>
    <w:rsid w:val="008713FE"/>
    <w:rsid w:val="00884E9D"/>
    <w:rsid w:val="00885AD9"/>
    <w:rsid w:val="008A2623"/>
    <w:rsid w:val="008A711C"/>
    <w:rsid w:val="008B134A"/>
    <w:rsid w:val="008B2038"/>
    <w:rsid w:val="008B4C69"/>
    <w:rsid w:val="008C485B"/>
    <w:rsid w:val="008D11B4"/>
    <w:rsid w:val="008D2369"/>
    <w:rsid w:val="008D31DC"/>
    <w:rsid w:val="008D5CB2"/>
    <w:rsid w:val="008E4B71"/>
    <w:rsid w:val="008E77B6"/>
    <w:rsid w:val="008F2000"/>
    <w:rsid w:val="0091649A"/>
    <w:rsid w:val="0092258A"/>
    <w:rsid w:val="00933BC5"/>
    <w:rsid w:val="00952B75"/>
    <w:rsid w:val="00956D32"/>
    <w:rsid w:val="00957F63"/>
    <w:rsid w:val="00964079"/>
    <w:rsid w:val="00964708"/>
    <w:rsid w:val="00966BF0"/>
    <w:rsid w:val="00980D65"/>
    <w:rsid w:val="00981433"/>
    <w:rsid w:val="00983335"/>
    <w:rsid w:val="00987392"/>
    <w:rsid w:val="00990B55"/>
    <w:rsid w:val="009969C4"/>
    <w:rsid w:val="009A2337"/>
    <w:rsid w:val="009A5D60"/>
    <w:rsid w:val="009B285C"/>
    <w:rsid w:val="009B681E"/>
    <w:rsid w:val="009C1D65"/>
    <w:rsid w:val="009C25EF"/>
    <w:rsid w:val="009C477E"/>
    <w:rsid w:val="009C6A84"/>
    <w:rsid w:val="009C7D25"/>
    <w:rsid w:val="009D32B0"/>
    <w:rsid w:val="009D373D"/>
    <w:rsid w:val="009D7059"/>
    <w:rsid w:val="009E4A90"/>
    <w:rsid w:val="00A05C68"/>
    <w:rsid w:val="00A05E41"/>
    <w:rsid w:val="00A141C6"/>
    <w:rsid w:val="00A21FB9"/>
    <w:rsid w:val="00A237E8"/>
    <w:rsid w:val="00A24AD3"/>
    <w:rsid w:val="00A3015F"/>
    <w:rsid w:val="00A341E3"/>
    <w:rsid w:val="00A3485A"/>
    <w:rsid w:val="00A43441"/>
    <w:rsid w:val="00A47EE5"/>
    <w:rsid w:val="00A6025C"/>
    <w:rsid w:val="00A606CA"/>
    <w:rsid w:val="00A612B1"/>
    <w:rsid w:val="00A6163E"/>
    <w:rsid w:val="00A6550E"/>
    <w:rsid w:val="00A679E9"/>
    <w:rsid w:val="00A71B08"/>
    <w:rsid w:val="00A75647"/>
    <w:rsid w:val="00A80D83"/>
    <w:rsid w:val="00A813DA"/>
    <w:rsid w:val="00A82708"/>
    <w:rsid w:val="00A91114"/>
    <w:rsid w:val="00A94882"/>
    <w:rsid w:val="00A9612A"/>
    <w:rsid w:val="00AA1F2D"/>
    <w:rsid w:val="00AA4710"/>
    <w:rsid w:val="00AB3509"/>
    <w:rsid w:val="00AD0D54"/>
    <w:rsid w:val="00AD2572"/>
    <w:rsid w:val="00AD668B"/>
    <w:rsid w:val="00AE36F4"/>
    <w:rsid w:val="00B00857"/>
    <w:rsid w:val="00B05472"/>
    <w:rsid w:val="00B11E27"/>
    <w:rsid w:val="00B1786F"/>
    <w:rsid w:val="00B33984"/>
    <w:rsid w:val="00B403FD"/>
    <w:rsid w:val="00B416EB"/>
    <w:rsid w:val="00B42183"/>
    <w:rsid w:val="00B566DC"/>
    <w:rsid w:val="00B61CFC"/>
    <w:rsid w:val="00B6465D"/>
    <w:rsid w:val="00B80DCB"/>
    <w:rsid w:val="00B82CFC"/>
    <w:rsid w:val="00B9206D"/>
    <w:rsid w:val="00BA4A3C"/>
    <w:rsid w:val="00BC168A"/>
    <w:rsid w:val="00BC5B66"/>
    <w:rsid w:val="00BD403E"/>
    <w:rsid w:val="00BD702B"/>
    <w:rsid w:val="00BE0C65"/>
    <w:rsid w:val="00BE3235"/>
    <w:rsid w:val="00BE3347"/>
    <w:rsid w:val="00BF091D"/>
    <w:rsid w:val="00BF16BF"/>
    <w:rsid w:val="00BF23E7"/>
    <w:rsid w:val="00BF7640"/>
    <w:rsid w:val="00C01315"/>
    <w:rsid w:val="00C112AB"/>
    <w:rsid w:val="00C1143E"/>
    <w:rsid w:val="00C21F65"/>
    <w:rsid w:val="00C2713B"/>
    <w:rsid w:val="00C27FA5"/>
    <w:rsid w:val="00C32188"/>
    <w:rsid w:val="00C3232F"/>
    <w:rsid w:val="00C33BD5"/>
    <w:rsid w:val="00C353FF"/>
    <w:rsid w:val="00C36D7D"/>
    <w:rsid w:val="00C37626"/>
    <w:rsid w:val="00C44359"/>
    <w:rsid w:val="00C57E2D"/>
    <w:rsid w:val="00C64958"/>
    <w:rsid w:val="00C64A94"/>
    <w:rsid w:val="00C70774"/>
    <w:rsid w:val="00C94F49"/>
    <w:rsid w:val="00CA37B2"/>
    <w:rsid w:val="00CA5050"/>
    <w:rsid w:val="00CA6819"/>
    <w:rsid w:val="00CB27AF"/>
    <w:rsid w:val="00CC4388"/>
    <w:rsid w:val="00CD622A"/>
    <w:rsid w:val="00CD6528"/>
    <w:rsid w:val="00CF20F7"/>
    <w:rsid w:val="00CF635F"/>
    <w:rsid w:val="00D00030"/>
    <w:rsid w:val="00D00F67"/>
    <w:rsid w:val="00D04FFB"/>
    <w:rsid w:val="00D05FB8"/>
    <w:rsid w:val="00D06BC6"/>
    <w:rsid w:val="00D207D0"/>
    <w:rsid w:val="00D217CC"/>
    <w:rsid w:val="00D228A2"/>
    <w:rsid w:val="00D41B2F"/>
    <w:rsid w:val="00D4223D"/>
    <w:rsid w:val="00D43DF9"/>
    <w:rsid w:val="00D47202"/>
    <w:rsid w:val="00D62A79"/>
    <w:rsid w:val="00D67634"/>
    <w:rsid w:val="00D73093"/>
    <w:rsid w:val="00D822E5"/>
    <w:rsid w:val="00D827E8"/>
    <w:rsid w:val="00D8456C"/>
    <w:rsid w:val="00D85279"/>
    <w:rsid w:val="00D85BFD"/>
    <w:rsid w:val="00D87555"/>
    <w:rsid w:val="00D92FD7"/>
    <w:rsid w:val="00D97B71"/>
    <w:rsid w:val="00DA26E9"/>
    <w:rsid w:val="00DA4E4B"/>
    <w:rsid w:val="00DC4306"/>
    <w:rsid w:val="00DC5B75"/>
    <w:rsid w:val="00DD2F1A"/>
    <w:rsid w:val="00DD5B8F"/>
    <w:rsid w:val="00DE7AFC"/>
    <w:rsid w:val="00DF18A9"/>
    <w:rsid w:val="00E00386"/>
    <w:rsid w:val="00E0683B"/>
    <w:rsid w:val="00E174B6"/>
    <w:rsid w:val="00E17C2C"/>
    <w:rsid w:val="00E20B8E"/>
    <w:rsid w:val="00E21BC9"/>
    <w:rsid w:val="00E2332E"/>
    <w:rsid w:val="00E308D3"/>
    <w:rsid w:val="00E62D98"/>
    <w:rsid w:val="00E722AC"/>
    <w:rsid w:val="00E75F75"/>
    <w:rsid w:val="00E936DE"/>
    <w:rsid w:val="00E96830"/>
    <w:rsid w:val="00EA59F8"/>
    <w:rsid w:val="00EB79D5"/>
    <w:rsid w:val="00EC0D34"/>
    <w:rsid w:val="00EC59EA"/>
    <w:rsid w:val="00ED6F77"/>
    <w:rsid w:val="00EE1B0A"/>
    <w:rsid w:val="00EF4BBE"/>
    <w:rsid w:val="00EF5F19"/>
    <w:rsid w:val="00EF6193"/>
    <w:rsid w:val="00F15758"/>
    <w:rsid w:val="00F20F09"/>
    <w:rsid w:val="00F21A56"/>
    <w:rsid w:val="00F2736A"/>
    <w:rsid w:val="00F32FF5"/>
    <w:rsid w:val="00F35DD1"/>
    <w:rsid w:val="00F37215"/>
    <w:rsid w:val="00F37CBE"/>
    <w:rsid w:val="00F41E0F"/>
    <w:rsid w:val="00F43D4C"/>
    <w:rsid w:val="00F537EE"/>
    <w:rsid w:val="00F54BF0"/>
    <w:rsid w:val="00F5651F"/>
    <w:rsid w:val="00F60F83"/>
    <w:rsid w:val="00F7341E"/>
    <w:rsid w:val="00F85226"/>
    <w:rsid w:val="00F85A0C"/>
    <w:rsid w:val="00F903CA"/>
    <w:rsid w:val="00FA052B"/>
    <w:rsid w:val="00FB0308"/>
    <w:rsid w:val="00FB06F1"/>
    <w:rsid w:val="00FB0E09"/>
    <w:rsid w:val="00FB3368"/>
    <w:rsid w:val="00FB6037"/>
    <w:rsid w:val="00FC5EAF"/>
    <w:rsid w:val="00FD2351"/>
    <w:rsid w:val="00FD6CDF"/>
    <w:rsid w:val="00FE06D1"/>
    <w:rsid w:val="00FE3AA4"/>
    <w:rsid w:val="00FF2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7ADB90-1B7F-4775-8CE9-26316AE4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1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22E5"/>
    <w:pPr>
      <w:tabs>
        <w:tab w:val="center" w:pos="4513"/>
        <w:tab w:val="right" w:pos="9026"/>
      </w:tabs>
    </w:pPr>
  </w:style>
  <w:style w:type="character" w:customStyle="1" w:styleId="HeaderChar">
    <w:name w:val="Header Char"/>
    <w:basedOn w:val="DefaultParagraphFont"/>
    <w:link w:val="Header"/>
    <w:rsid w:val="00D822E5"/>
    <w:rPr>
      <w:sz w:val="24"/>
      <w:szCs w:val="24"/>
    </w:rPr>
  </w:style>
  <w:style w:type="paragraph" w:styleId="Footer">
    <w:name w:val="footer"/>
    <w:basedOn w:val="Normal"/>
    <w:link w:val="FooterChar"/>
    <w:uiPriority w:val="99"/>
    <w:rsid w:val="00D822E5"/>
    <w:pPr>
      <w:tabs>
        <w:tab w:val="center" w:pos="4513"/>
        <w:tab w:val="right" w:pos="9026"/>
      </w:tabs>
    </w:pPr>
  </w:style>
  <w:style w:type="character" w:customStyle="1" w:styleId="FooterChar">
    <w:name w:val="Footer Char"/>
    <w:basedOn w:val="DefaultParagraphFont"/>
    <w:link w:val="Footer"/>
    <w:uiPriority w:val="99"/>
    <w:rsid w:val="00D822E5"/>
    <w:rPr>
      <w:sz w:val="24"/>
      <w:szCs w:val="24"/>
    </w:rPr>
  </w:style>
  <w:style w:type="paragraph" w:styleId="BalloonText">
    <w:name w:val="Balloon Text"/>
    <w:basedOn w:val="Normal"/>
    <w:link w:val="BalloonTextChar"/>
    <w:rsid w:val="00F15758"/>
    <w:rPr>
      <w:rFonts w:ascii="Tahoma" w:hAnsi="Tahoma" w:cs="Tahoma"/>
      <w:sz w:val="16"/>
      <w:szCs w:val="16"/>
    </w:rPr>
  </w:style>
  <w:style w:type="character" w:customStyle="1" w:styleId="BalloonTextChar">
    <w:name w:val="Balloon Text Char"/>
    <w:basedOn w:val="DefaultParagraphFont"/>
    <w:link w:val="BalloonText"/>
    <w:rsid w:val="00F15758"/>
    <w:rPr>
      <w:rFonts w:ascii="Tahoma" w:hAnsi="Tahoma" w:cs="Tahoma"/>
      <w:sz w:val="16"/>
      <w:szCs w:val="16"/>
    </w:rPr>
  </w:style>
  <w:style w:type="character" w:styleId="CommentReference">
    <w:name w:val="annotation reference"/>
    <w:basedOn w:val="DefaultParagraphFont"/>
    <w:rsid w:val="00473210"/>
    <w:rPr>
      <w:sz w:val="16"/>
      <w:szCs w:val="16"/>
    </w:rPr>
  </w:style>
  <w:style w:type="paragraph" w:styleId="CommentText">
    <w:name w:val="annotation text"/>
    <w:basedOn w:val="Normal"/>
    <w:link w:val="CommentTextChar"/>
    <w:rsid w:val="00473210"/>
    <w:rPr>
      <w:sz w:val="20"/>
      <w:szCs w:val="20"/>
    </w:rPr>
  </w:style>
  <w:style w:type="character" w:customStyle="1" w:styleId="CommentTextChar">
    <w:name w:val="Comment Text Char"/>
    <w:basedOn w:val="DefaultParagraphFont"/>
    <w:link w:val="CommentText"/>
    <w:rsid w:val="00473210"/>
  </w:style>
  <w:style w:type="paragraph" w:styleId="CommentSubject">
    <w:name w:val="annotation subject"/>
    <w:basedOn w:val="CommentText"/>
    <w:next w:val="CommentText"/>
    <w:link w:val="CommentSubjectChar"/>
    <w:rsid w:val="00473210"/>
    <w:rPr>
      <w:b/>
      <w:bCs/>
    </w:rPr>
  </w:style>
  <w:style w:type="character" w:customStyle="1" w:styleId="CommentSubjectChar">
    <w:name w:val="Comment Subject Char"/>
    <w:basedOn w:val="CommentTextChar"/>
    <w:link w:val="CommentSubject"/>
    <w:rsid w:val="00473210"/>
    <w:rPr>
      <w:b/>
      <w:bCs/>
    </w:rPr>
  </w:style>
  <w:style w:type="paragraph" w:styleId="Revision">
    <w:name w:val="Revision"/>
    <w:hidden/>
    <w:uiPriority w:val="99"/>
    <w:semiHidden/>
    <w:rsid w:val="003A070D"/>
    <w:rPr>
      <w:sz w:val="24"/>
      <w:szCs w:val="24"/>
    </w:rPr>
  </w:style>
  <w:style w:type="paragraph" w:styleId="ListParagraph">
    <w:name w:val="List Paragraph"/>
    <w:basedOn w:val="Normal"/>
    <w:uiPriority w:val="34"/>
    <w:qFormat/>
    <w:rsid w:val="002F4733"/>
    <w:pPr>
      <w:ind w:left="720"/>
      <w:contextualSpacing/>
    </w:pPr>
  </w:style>
  <w:style w:type="paragraph" w:styleId="FootnoteText">
    <w:name w:val="footnote text"/>
    <w:basedOn w:val="Normal"/>
    <w:link w:val="FootnoteTextChar"/>
    <w:rsid w:val="003559E2"/>
    <w:rPr>
      <w:sz w:val="20"/>
      <w:szCs w:val="20"/>
    </w:rPr>
  </w:style>
  <w:style w:type="character" w:customStyle="1" w:styleId="FootnoteTextChar">
    <w:name w:val="Footnote Text Char"/>
    <w:basedOn w:val="DefaultParagraphFont"/>
    <w:link w:val="FootnoteText"/>
    <w:rsid w:val="003559E2"/>
  </w:style>
  <w:style w:type="character" w:styleId="FootnoteReference">
    <w:name w:val="footnote reference"/>
    <w:basedOn w:val="DefaultParagraphFont"/>
    <w:rsid w:val="003559E2"/>
    <w:rPr>
      <w:vertAlign w:val="superscript"/>
    </w:rPr>
  </w:style>
  <w:style w:type="character" w:styleId="Hyperlink">
    <w:name w:val="Hyperlink"/>
    <w:basedOn w:val="DefaultParagraphFont"/>
    <w:rsid w:val="003559E2"/>
    <w:rPr>
      <w:color w:val="0000FF" w:themeColor="hyperlink"/>
      <w:u w:val="single"/>
    </w:rPr>
  </w:style>
  <w:style w:type="character" w:customStyle="1" w:styleId="A25">
    <w:name w:val="A25"/>
    <w:uiPriority w:val="99"/>
    <w:rsid w:val="001100C9"/>
    <w:rPr>
      <w:rFonts w:cs="AGaramond"/>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73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ff.gov.au/forestsaustrali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ff.gov.au/abares/publication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E24F34B8BE38458A19EA0C09119139" ma:contentTypeVersion="1" ma:contentTypeDescription="Create a new document." ma:contentTypeScope="" ma:versionID="3be5da23c6cfa4a158cdd34fd173058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F76CBE-D7B0-463B-ACC3-BC70A6F47920}"/>
</file>

<file path=customXml/itemProps2.xml><?xml version="1.0" encoding="utf-8"?>
<ds:datastoreItem xmlns:ds="http://schemas.openxmlformats.org/officeDocument/2006/customXml" ds:itemID="{4F57BB45-BF5D-4531-8A32-9389AA8185E8}"/>
</file>

<file path=customXml/itemProps3.xml><?xml version="1.0" encoding="utf-8"?>
<ds:datastoreItem xmlns:ds="http://schemas.openxmlformats.org/officeDocument/2006/customXml" ds:itemID="{6FA615C9-9E66-4C3E-A9AF-9D567A0CB99B}"/>
</file>

<file path=customXml/itemProps4.xml><?xml version="1.0" encoding="utf-8"?>
<ds:datastoreItem xmlns:ds="http://schemas.openxmlformats.org/officeDocument/2006/customXml" ds:itemID="{C3383F80-058C-4278-A8F4-075E2A049C82}"/>
</file>

<file path=docProps/app.xml><?xml version="1.0" encoding="utf-8"?>
<Properties xmlns="http://schemas.openxmlformats.org/officeDocument/2006/extended-properties" xmlns:vt="http://schemas.openxmlformats.org/officeDocument/2006/docPropsVTypes">
  <Template>Normal</Template>
  <TotalTime>24</TotalTime>
  <Pages>4</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Hunn</dc:creator>
  <cp:lastModifiedBy>Hunn, Anthony</cp:lastModifiedBy>
  <cp:revision>6</cp:revision>
  <dcterms:created xsi:type="dcterms:W3CDTF">2015-07-20T01:46:00Z</dcterms:created>
  <dcterms:modified xsi:type="dcterms:W3CDTF">2016-02-02T05:21:00Z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0x010100C5E24F34B8BE38458A19EA0C09119139</vt:lpwstr>
  </property>
</Properties>
</file>