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26" w:rsidRPr="007178BC" w:rsidRDefault="00F91926" w:rsidP="007178BC">
      <w:pPr>
        <w:pStyle w:val="Heading1"/>
        <w:spacing w:before="0"/>
        <w:jc w:val="center"/>
      </w:pPr>
      <w:r w:rsidRPr="007178BC">
        <w:t xml:space="preserve">Mandates and drivers for </w:t>
      </w:r>
      <w:r w:rsidR="007178BC" w:rsidRPr="007178BC">
        <w:t>Australia’s State of the Forests Report</w:t>
      </w:r>
      <w:r w:rsidRPr="007178BC">
        <w:t xml:space="preserve"> series and Montr</w:t>
      </w:r>
      <w:r w:rsidR="00C77D3A" w:rsidRPr="007178BC">
        <w:t>é</w:t>
      </w:r>
      <w:r w:rsidRPr="007178BC">
        <w:t xml:space="preserve">al </w:t>
      </w:r>
      <w:r w:rsidR="00C77D3A" w:rsidRPr="007178BC">
        <w:t>P</w:t>
      </w:r>
      <w:r w:rsidRPr="007178BC">
        <w:t>rocess reporting</w:t>
      </w:r>
    </w:p>
    <w:p w:rsidR="00F91926" w:rsidRDefault="00F91926" w:rsidP="00F91926">
      <w:pPr>
        <w:spacing w:before="0"/>
        <w:jc w:val="center"/>
        <w:rPr>
          <w:rFonts w:asciiTheme="minorHAnsi" w:hAnsiTheme="minorHAnsi"/>
          <w:b/>
        </w:rPr>
      </w:pPr>
    </w:p>
    <w:p w:rsidR="00F91926" w:rsidRDefault="00F91926" w:rsidP="00EC57FE">
      <w:pPr>
        <w:spacing w:before="0"/>
        <w:rPr>
          <w:rFonts w:asciiTheme="minorHAnsi" w:hAnsiTheme="minorHAnsi"/>
          <w:b/>
        </w:rPr>
      </w:pPr>
    </w:p>
    <w:p w:rsidR="003D7D72" w:rsidRPr="007178BC" w:rsidRDefault="003D7D72" w:rsidP="00EC57FE">
      <w:pPr>
        <w:spacing w:before="0"/>
        <w:rPr>
          <w:rFonts w:asciiTheme="majorHAnsi" w:eastAsiaTheme="majorEastAsia" w:hAnsiTheme="majorHAnsi" w:cstheme="majorBidi"/>
          <w:b/>
          <w:color w:val="365F91" w:themeColor="accent1" w:themeShade="BF"/>
          <w:szCs w:val="32"/>
        </w:rPr>
      </w:pPr>
      <w:r w:rsidRPr="007178BC">
        <w:rPr>
          <w:rFonts w:asciiTheme="majorHAnsi" w:eastAsiaTheme="majorEastAsia" w:hAnsiTheme="majorHAnsi" w:cstheme="majorBidi"/>
          <w:b/>
          <w:color w:val="365F91" w:themeColor="accent1" w:themeShade="BF"/>
          <w:szCs w:val="32"/>
        </w:rPr>
        <w:t>Mandate for the production of Australia’s State of the Forests Reports</w:t>
      </w:r>
    </w:p>
    <w:p w:rsidR="00C83403" w:rsidRDefault="00C83403" w:rsidP="007178BC">
      <w:pPr>
        <w:spacing w:before="120"/>
        <w:rPr>
          <w:rFonts w:asciiTheme="minorHAnsi" w:hAnsiTheme="minorHAnsi"/>
        </w:rPr>
      </w:pPr>
      <w:r w:rsidRPr="00375E42">
        <w:rPr>
          <w:rFonts w:asciiTheme="minorHAnsi" w:hAnsiTheme="minorHAnsi"/>
        </w:rPr>
        <w:t>In 1992, the Australian Government and state and territory governments issued a Na</w:t>
      </w:r>
      <w:r>
        <w:rPr>
          <w:rFonts w:asciiTheme="minorHAnsi" w:hAnsiTheme="minorHAnsi"/>
        </w:rPr>
        <w:t>tional Forest Policy Statement w</w:t>
      </w:r>
      <w:r w:rsidRPr="00375E42">
        <w:rPr>
          <w:rFonts w:asciiTheme="minorHAnsi" w:hAnsiTheme="minorHAnsi"/>
        </w:rPr>
        <w:t>hich set out a vision for Australia's forests and associated goals, objectives and policies.</w:t>
      </w:r>
    </w:p>
    <w:p w:rsidR="00C83403" w:rsidRDefault="00C83403" w:rsidP="007178BC">
      <w:pPr>
        <w:spacing w:before="120"/>
        <w:rPr>
          <w:rFonts w:asciiTheme="minorHAnsi" w:hAnsiTheme="minorHAnsi"/>
        </w:rPr>
      </w:pPr>
      <w:r w:rsidRPr="00375E42">
        <w:rPr>
          <w:rFonts w:asciiTheme="minorHAnsi" w:hAnsiTheme="minorHAnsi"/>
        </w:rPr>
        <w:t>The National Forest Policy Statement commits governments</w:t>
      </w:r>
      <w:r>
        <w:rPr>
          <w:rFonts w:asciiTheme="minorHAnsi" w:hAnsiTheme="minorHAnsi"/>
        </w:rPr>
        <w:t>, among other things,</w:t>
      </w:r>
      <w:r w:rsidRPr="00375E42">
        <w:rPr>
          <w:rFonts w:asciiTheme="minorHAnsi" w:hAnsiTheme="minorHAnsi"/>
        </w:rPr>
        <w:t xml:space="preserve"> to</w:t>
      </w:r>
      <w:r>
        <w:rPr>
          <w:rFonts w:asciiTheme="minorHAnsi" w:hAnsiTheme="minorHAnsi"/>
        </w:rPr>
        <w:t>:</w:t>
      </w:r>
      <w:r w:rsidRPr="00375E42">
        <w:rPr>
          <w:rFonts w:asciiTheme="minorHAnsi" w:hAnsiTheme="minorHAnsi"/>
        </w:rPr>
        <w:t xml:space="preserve"> </w:t>
      </w:r>
    </w:p>
    <w:p w:rsidR="00C83403" w:rsidRPr="008655AC" w:rsidRDefault="00C83403" w:rsidP="00C83403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rPr>
          <w:rFonts w:asciiTheme="minorHAnsi" w:hAnsiTheme="minorHAnsi"/>
          <w:i/>
        </w:rPr>
      </w:pPr>
      <w:r w:rsidRPr="008655AC">
        <w:rPr>
          <w:rFonts w:asciiTheme="minorHAnsi" w:hAnsiTheme="minorHAnsi"/>
        </w:rPr>
        <w:t xml:space="preserve">publish a review of the state of the forests every five years: </w:t>
      </w:r>
    </w:p>
    <w:p w:rsidR="00C83403" w:rsidRDefault="00C83403" w:rsidP="00C83403">
      <w:pPr>
        <w:pStyle w:val="ListParagraph"/>
        <w:spacing w:before="120"/>
        <w:ind w:left="425"/>
        <w:contextualSpacing w:val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...</w:t>
      </w:r>
      <w:r w:rsidRPr="002E2979">
        <w:rPr>
          <w:rFonts w:asciiTheme="minorHAnsi" w:hAnsiTheme="minorHAnsi"/>
          <w:i/>
        </w:rPr>
        <w:t>forest</w:t>
      </w:r>
      <w:r>
        <w:rPr>
          <w:rFonts w:asciiTheme="minorHAnsi" w:hAnsiTheme="minorHAnsi"/>
          <w:i/>
        </w:rPr>
        <w:t xml:space="preserve"> management agencies' provision...</w:t>
      </w:r>
      <w:r w:rsidRPr="002E2979">
        <w:rPr>
          <w:rFonts w:asciiTheme="minorHAnsi" w:hAnsiTheme="minorHAnsi"/>
          <w:i/>
        </w:rPr>
        <w:t xml:space="preserve">of appropriate information from which to produce and publish a </w:t>
      </w:r>
      <w:r w:rsidRPr="007178BC">
        <w:rPr>
          <w:rFonts w:asciiTheme="minorHAnsi" w:hAnsiTheme="minorHAnsi"/>
          <w:b/>
          <w:i/>
        </w:rPr>
        <w:t>'state of the forests'</w:t>
      </w:r>
      <w:r w:rsidRPr="002E2979">
        <w:rPr>
          <w:rFonts w:asciiTheme="minorHAnsi" w:hAnsiTheme="minorHAnsi"/>
          <w:i/>
        </w:rPr>
        <w:t xml:space="preserve"> review every five years. The review will summarise available information, including the basis of sustainable forest yield and other values, moves to achieve a comprehensive nature conservation reserve network, and the results of long term monitoring of the impacts of forest use.</w:t>
      </w:r>
    </w:p>
    <w:p w:rsidR="00C83403" w:rsidRDefault="00F91926" w:rsidP="007178BC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and </w:t>
      </w:r>
      <w:r w:rsidR="00C83403">
        <w:rPr>
          <w:rFonts w:asciiTheme="minorHAnsi" w:hAnsiTheme="minorHAnsi"/>
        </w:rPr>
        <w:t>maintain the National Forest Inventory:</w:t>
      </w:r>
    </w:p>
    <w:p w:rsidR="00C83403" w:rsidRPr="008655AC" w:rsidRDefault="00C83403" w:rsidP="00C83403">
      <w:pPr>
        <w:pStyle w:val="ListParagraph"/>
        <w:spacing w:before="120"/>
        <w:ind w:left="425"/>
        <w:contextualSpacing w:val="0"/>
        <w:rPr>
          <w:rFonts w:asciiTheme="minorHAnsi" w:hAnsiTheme="minorHAnsi"/>
          <w:i/>
        </w:rPr>
      </w:pPr>
      <w:r w:rsidRPr="002E2979">
        <w:rPr>
          <w:rFonts w:asciiTheme="minorHAnsi" w:hAnsiTheme="minorHAnsi"/>
          <w:i/>
        </w:rPr>
        <w:t>Effective management and use of forests must be based on a sound understanding of forest ecosystems and their associated values.</w:t>
      </w:r>
      <w:r>
        <w:rPr>
          <w:rFonts w:asciiTheme="minorHAnsi" w:hAnsiTheme="minorHAnsi"/>
          <w:i/>
        </w:rPr>
        <w:t xml:space="preserve"> </w:t>
      </w:r>
      <w:r w:rsidRPr="002E2979">
        <w:rPr>
          <w:rFonts w:asciiTheme="minorHAnsi" w:hAnsiTheme="minorHAnsi"/>
          <w:i/>
        </w:rPr>
        <w:t>The Governments will cooperate to improve the scope and extent of forest databases so that decision making and management are based on the best available information.</w:t>
      </w:r>
      <w:r>
        <w:rPr>
          <w:rFonts w:asciiTheme="minorHAnsi" w:hAnsiTheme="minorHAnsi"/>
          <w:i/>
        </w:rPr>
        <w:t xml:space="preserve"> </w:t>
      </w:r>
      <w:r w:rsidRPr="002E2979">
        <w:rPr>
          <w:rFonts w:asciiTheme="minorHAnsi" w:hAnsiTheme="minorHAnsi"/>
          <w:i/>
        </w:rPr>
        <w:t xml:space="preserve">The National Forest Inventory will continue to be developed. It will be directed by a steering committee representing the Governments. This committee will jointly define information requirements and develop data exchange principles between the Governments and with other databases.  </w:t>
      </w:r>
    </w:p>
    <w:p w:rsidR="00C83403" w:rsidRDefault="00C83403" w:rsidP="007178BC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375E42">
        <w:rPr>
          <w:rFonts w:asciiTheme="minorHAnsi" w:hAnsiTheme="minorHAnsi"/>
        </w:rPr>
        <w:t xml:space="preserve">he Commonwealth </w:t>
      </w:r>
      <w:r w:rsidRPr="00375E42">
        <w:rPr>
          <w:rFonts w:asciiTheme="minorHAnsi" w:hAnsiTheme="minorHAnsi"/>
          <w:i/>
        </w:rPr>
        <w:t>Regional Forest Agreements Act</w:t>
      </w:r>
      <w:r>
        <w:rPr>
          <w:rFonts w:asciiTheme="minorHAnsi" w:hAnsiTheme="minorHAnsi"/>
          <w:i/>
        </w:rPr>
        <w:t xml:space="preserve"> </w:t>
      </w:r>
      <w:r w:rsidRPr="00375E42">
        <w:rPr>
          <w:rFonts w:asciiTheme="minorHAnsi" w:hAnsiTheme="minorHAnsi"/>
          <w:i/>
        </w:rPr>
        <w:t>2002</w:t>
      </w:r>
      <w:r w:rsidRPr="00375E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also commits the Commonwealth to creating a publicly available source of information on Australia’s forests:</w:t>
      </w:r>
    </w:p>
    <w:p w:rsidR="00C83403" w:rsidRPr="00643ECC" w:rsidRDefault="00C83403" w:rsidP="007178BC">
      <w:pPr>
        <w:spacing w:before="120"/>
        <w:ind w:left="425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</w:t>
      </w:r>
      <w:r w:rsidRPr="008655AC">
        <w:rPr>
          <w:rFonts w:asciiTheme="minorHAnsi" w:hAnsiTheme="minorHAnsi"/>
          <w:i/>
        </w:rPr>
        <w:t>he Minister must cause to be established a comprehensive and publicly available source of information for national and regional monitoring and reporting in relation to all of Australia's forests</w:t>
      </w:r>
      <w:r w:rsidRPr="00643ECC">
        <w:rPr>
          <w:rFonts w:asciiTheme="minorHAnsi" w:hAnsiTheme="minorHAnsi"/>
          <w:i/>
        </w:rPr>
        <w:t>; and to support decision-making in relation to all of Australia’s forests.</w:t>
      </w:r>
    </w:p>
    <w:p w:rsidR="00C83403" w:rsidRDefault="00C83403" w:rsidP="007178BC">
      <w:pPr>
        <w:spacing w:before="120"/>
        <w:rPr>
          <w:rFonts w:asciiTheme="minorHAnsi" w:hAnsiTheme="minorHAnsi"/>
        </w:rPr>
      </w:pPr>
      <w:r w:rsidRPr="00375E42">
        <w:rPr>
          <w:rFonts w:asciiTheme="minorHAnsi" w:hAnsiTheme="minorHAnsi"/>
        </w:rPr>
        <w:t xml:space="preserve">The Australia's State of the Forests Report </w:t>
      </w:r>
      <w:r>
        <w:rPr>
          <w:rFonts w:asciiTheme="minorHAnsi" w:hAnsiTheme="minorHAnsi"/>
        </w:rPr>
        <w:t xml:space="preserve">(SOFR) </w:t>
      </w:r>
      <w:r w:rsidRPr="00375E42">
        <w:rPr>
          <w:rFonts w:asciiTheme="minorHAnsi" w:hAnsiTheme="minorHAnsi"/>
        </w:rPr>
        <w:t>series</w:t>
      </w:r>
      <w:r>
        <w:rPr>
          <w:rFonts w:asciiTheme="minorHAnsi" w:hAnsiTheme="minorHAnsi"/>
        </w:rPr>
        <w:t xml:space="preserve"> </w:t>
      </w:r>
      <w:r w:rsidRPr="00375E42">
        <w:rPr>
          <w:rFonts w:asciiTheme="minorHAnsi" w:hAnsiTheme="minorHAnsi"/>
        </w:rPr>
        <w:t>gives effect to the</w:t>
      </w:r>
      <w:r>
        <w:rPr>
          <w:rFonts w:asciiTheme="minorHAnsi" w:hAnsiTheme="minorHAnsi"/>
        </w:rPr>
        <w:t xml:space="preserve"> reporting</w:t>
      </w:r>
      <w:r w:rsidRPr="00375E42">
        <w:rPr>
          <w:rFonts w:asciiTheme="minorHAnsi" w:hAnsiTheme="minorHAnsi"/>
        </w:rPr>
        <w:t xml:space="preserve"> commitments</w:t>
      </w:r>
      <w:r>
        <w:rPr>
          <w:rFonts w:asciiTheme="minorHAnsi" w:hAnsiTheme="minorHAnsi"/>
        </w:rPr>
        <w:t xml:space="preserve"> of the National Forest Policy Statement and the </w:t>
      </w:r>
      <w:r w:rsidRPr="002E2979">
        <w:rPr>
          <w:rFonts w:asciiTheme="minorHAnsi" w:hAnsiTheme="minorHAnsi"/>
          <w:i/>
        </w:rPr>
        <w:t>Regional Forest Agreements Act 2002</w:t>
      </w:r>
      <w:r w:rsidRPr="00375E42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Data </w:t>
      </w:r>
      <w:r w:rsidR="007178BC">
        <w:rPr>
          <w:rFonts w:asciiTheme="minorHAnsi" w:hAnsiTheme="minorHAnsi"/>
        </w:rPr>
        <w:t>compiled</w:t>
      </w:r>
      <w:r>
        <w:rPr>
          <w:rFonts w:asciiTheme="minorHAnsi" w:hAnsiTheme="minorHAnsi"/>
        </w:rPr>
        <w:t xml:space="preserve"> into the Nat</w:t>
      </w:r>
      <w:r w:rsidR="006D0BC9">
        <w:rPr>
          <w:rFonts w:asciiTheme="minorHAnsi" w:hAnsiTheme="minorHAnsi"/>
        </w:rPr>
        <w:t>ional Forest Inventory underpin</w:t>
      </w:r>
      <w:r>
        <w:rPr>
          <w:rFonts w:asciiTheme="minorHAnsi" w:hAnsiTheme="minorHAnsi"/>
        </w:rPr>
        <w:t xml:space="preserve"> this reporting.</w:t>
      </w:r>
    </w:p>
    <w:p w:rsidR="00C83403" w:rsidRDefault="00C83403" w:rsidP="007178BC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The National Forest Inventory and the SOFR series also underpin</w:t>
      </w:r>
      <w:r w:rsidRPr="00384DFF">
        <w:rPr>
          <w:rFonts w:asciiTheme="minorHAnsi" w:hAnsiTheme="minorHAnsi"/>
        </w:rPr>
        <w:t xml:space="preserve"> Australia’s international forest reporting requirements, including </w:t>
      </w:r>
      <w:r>
        <w:rPr>
          <w:rFonts w:asciiTheme="minorHAnsi" w:hAnsiTheme="minorHAnsi"/>
        </w:rPr>
        <w:t xml:space="preserve">through </w:t>
      </w:r>
      <w:r w:rsidRPr="00384DFF">
        <w:rPr>
          <w:rFonts w:asciiTheme="minorHAnsi" w:hAnsiTheme="minorHAnsi"/>
        </w:rPr>
        <w:t>the United Nations Food and Agriculture Organization’s Global Forest Resources Assessment</w:t>
      </w:r>
      <w:r>
        <w:rPr>
          <w:rFonts w:asciiTheme="minorHAnsi" w:hAnsiTheme="minorHAnsi"/>
        </w:rPr>
        <w:t>, and the Montréal Process Working Group.</w:t>
      </w:r>
    </w:p>
    <w:p w:rsidR="00C83403" w:rsidRDefault="00C83403">
      <w:pPr>
        <w:rPr>
          <w:rFonts w:asciiTheme="minorHAnsi" w:hAnsiTheme="minorHAnsi"/>
        </w:rPr>
      </w:pPr>
    </w:p>
    <w:p w:rsidR="00F91926" w:rsidRPr="007178BC" w:rsidRDefault="00F91926" w:rsidP="007178BC">
      <w:pPr>
        <w:spacing w:before="0"/>
        <w:rPr>
          <w:rFonts w:asciiTheme="majorHAnsi" w:eastAsiaTheme="majorEastAsia" w:hAnsiTheme="majorHAnsi" w:cstheme="majorBidi"/>
          <w:b/>
          <w:color w:val="365F91" w:themeColor="accent1" w:themeShade="BF"/>
          <w:szCs w:val="32"/>
        </w:rPr>
      </w:pPr>
      <w:r w:rsidRPr="007178BC">
        <w:rPr>
          <w:rFonts w:asciiTheme="majorHAnsi" w:eastAsiaTheme="majorEastAsia" w:hAnsiTheme="majorHAnsi" w:cstheme="majorBidi"/>
          <w:b/>
          <w:color w:val="365F91" w:themeColor="accent1" w:themeShade="BF"/>
          <w:szCs w:val="32"/>
        </w:rPr>
        <w:t>Mandate for the use of the Montréal Process criteria and indicators framework for Australia’s State of the Forests reporting</w:t>
      </w:r>
    </w:p>
    <w:p w:rsidR="00F91926" w:rsidRDefault="00F91926" w:rsidP="007178BC">
      <w:pPr>
        <w:spacing w:before="120"/>
        <w:rPr>
          <w:rFonts w:asciiTheme="minorHAnsi" w:hAnsiTheme="minorHAnsi"/>
        </w:rPr>
      </w:pPr>
      <w:r w:rsidRPr="00375E42">
        <w:rPr>
          <w:rFonts w:asciiTheme="minorHAnsi" w:hAnsiTheme="minorHAnsi"/>
        </w:rPr>
        <w:t xml:space="preserve">The seven criteria for sustainable forest management used in </w:t>
      </w:r>
      <w:r>
        <w:rPr>
          <w:rFonts w:asciiTheme="minorHAnsi" w:hAnsiTheme="minorHAnsi"/>
        </w:rPr>
        <w:t xml:space="preserve">the </w:t>
      </w:r>
      <w:r w:rsidRPr="00375E42">
        <w:rPr>
          <w:rFonts w:asciiTheme="minorHAnsi" w:hAnsiTheme="minorHAnsi"/>
        </w:rPr>
        <w:t xml:space="preserve">Australia's State of the Forests Report </w:t>
      </w:r>
      <w:r>
        <w:rPr>
          <w:rFonts w:asciiTheme="minorHAnsi" w:hAnsiTheme="minorHAnsi"/>
        </w:rPr>
        <w:t xml:space="preserve">(SOFR) </w:t>
      </w:r>
      <w:r w:rsidRPr="00375E42">
        <w:rPr>
          <w:rFonts w:asciiTheme="minorHAnsi" w:hAnsiTheme="minorHAnsi"/>
        </w:rPr>
        <w:t>series</w:t>
      </w:r>
      <w:r>
        <w:rPr>
          <w:rFonts w:asciiTheme="minorHAnsi" w:hAnsiTheme="minorHAnsi"/>
        </w:rPr>
        <w:t xml:space="preserve"> were</w:t>
      </w:r>
      <w:r w:rsidRPr="00375E42">
        <w:rPr>
          <w:rFonts w:asciiTheme="minorHAnsi" w:hAnsiTheme="minorHAnsi"/>
        </w:rPr>
        <w:t xml:space="preserve"> developed by the international-level Montr</w:t>
      </w:r>
      <w:r>
        <w:rPr>
          <w:rFonts w:asciiTheme="minorHAnsi" w:hAnsiTheme="minorHAnsi"/>
        </w:rPr>
        <w:t>é</w:t>
      </w:r>
      <w:r w:rsidRPr="00375E42">
        <w:rPr>
          <w:rFonts w:asciiTheme="minorHAnsi" w:hAnsiTheme="minorHAnsi"/>
        </w:rPr>
        <w:t>al Process Working G</w:t>
      </w:r>
      <w:r w:rsidR="007178BC">
        <w:rPr>
          <w:rFonts w:asciiTheme="minorHAnsi" w:hAnsiTheme="minorHAnsi"/>
        </w:rPr>
        <w:t>roup</w:t>
      </w:r>
      <w:r>
        <w:rPr>
          <w:rFonts w:asciiTheme="minorHAnsi" w:hAnsiTheme="minorHAnsi"/>
        </w:rPr>
        <w:t xml:space="preserve"> </w:t>
      </w:r>
      <w:r w:rsidRPr="00375E42">
        <w:rPr>
          <w:rFonts w:asciiTheme="minorHAnsi" w:hAnsiTheme="minorHAnsi"/>
        </w:rPr>
        <w:t>on Criteria and Indicators for the Conservation and Sustainable Management of Temperate and Boreal Forests</w:t>
      </w:r>
      <w:r>
        <w:rPr>
          <w:rFonts w:asciiTheme="minorHAnsi" w:hAnsiTheme="minorHAnsi"/>
        </w:rPr>
        <w:t>, of which Australia is a founding member</w:t>
      </w:r>
      <w:r w:rsidRPr="00375E42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The Montréal Process framework is intended to promote consistency in reporting at all levels and to avoid duplication in data collection.</w:t>
      </w:r>
    </w:p>
    <w:p w:rsidR="00F91926" w:rsidRDefault="00F91926" w:rsidP="00F91926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The </w:t>
      </w:r>
      <w:r w:rsidRPr="00375E42">
        <w:rPr>
          <w:rFonts w:asciiTheme="minorHAnsi" w:hAnsiTheme="minorHAnsi"/>
        </w:rPr>
        <w:t>Montr</w:t>
      </w:r>
      <w:r>
        <w:rPr>
          <w:rFonts w:asciiTheme="minorHAnsi" w:hAnsiTheme="minorHAnsi"/>
        </w:rPr>
        <w:t>é</w:t>
      </w:r>
      <w:r w:rsidRPr="00375E42">
        <w:rPr>
          <w:rFonts w:asciiTheme="minorHAnsi" w:hAnsiTheme="minorHAnsi"/>
        </w:rPr>
        <w:t xml:space="preserve">al Process </w:t>
      </w:r>
      <w:r>
        <w:rPr>
          <w:rFonts w:asciiTheme="minorHAnsi" w:hAnsiTheme="minorHAnsi"/>
        </w:rPr>
        <w:t xml:space="preserve">framework was adopted by Australia in 1994, and subsequently formalised through a request of the former Ministerial Council on Forestry Fisheries and Aquaculture (MCFFA) in 1996. The MCFFA endorsed the use of the </w:t>
      </w:r>
      <w:r w:rsidRPr="008D79CD">
        <w:rPr>
          <w:rFonts w:asciiTheme="minorHAnsi" w:hAnsiTheme="minorHAnsi"/>
        </w:rPr>
        <w:t>Montréal Process criteria and indicators</w:t>
      </w:r>
      <w:r>
        <w:rPr>
          <w:rFonts w:asciiTheme="minorHAnsi" w:hAnsiTheme="minorHAnsi"/>
        </w:rPr>
        <w:t xml:space="preserve"> as a basis for assessing progress towards sustainable forest management at the national level.</w:t>
      </w:r>
    </w:p>
    <w:p w:rsidR="00F91926" w:rsidRDefault="00F91926" w:rsidP="007178BC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August 1996, the Chairs of the Standing Committee on Forestry and the Standing Committee on Conservation agreed to establish a Commonwealth-State/Territory body, the Montréal Process Implementation Group for Australia (MIG), to develop the framework of national and regional criteria and indicators. This led to the initial set of international-level indicators being adapted to the current set of 44 national indicators that </w:t>
      </w:r>
      <w:r w:rsidRPr="006F1269">
        <w:rPr>
          <w:rFonts w:asciiTheme="minorHAnsi" w:hAnsiTheme="minorHAnsi"/>
        </w:rPr>
        <w:t xml:space="preserve">better suit </w:t>
      </w:r>
      <w:r>
        <w:rPr>
          <w:rFonts w:asciiTheme="minorHAnsi" w:hAnsiTheme="minorHAnsi"/>
        </w:rPr>
        <w:t>the reporting of Australia</w:t>
      </w:r>
      <w:r w:rsidRPr="006F1269">
        <w:rPr>
          <w:rFonts w:asciiTheme="minorHAnsi" w:hAnsiTheme="minorHAnsi"/>
        </w:rPr>
        <w:t>'s unique forests</w:t>
      </w:r>
      <w:r>
        <w:rPr>
          <w:rFonts w:asciiTheme="minorHAnsi" w:hAnsiTheme="minorHAnsi"/>
        </w:rPr>
        <w:t xml:space="preserve"> under the seven Montréal Process criteria. </w:t>
      </w:r>
    </w:p>
    <w:p w:rsidR="00F91926" w:rsidRDefault="00F91926" w:rsidP="007178BC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The MCFFA also agreed to the development of a framework of indicators based on the Montréal Process for use at the regional level in the Regional Forest Agreement (RFA) process. Among other things, the p</w:t>
      </w:r>
      <w:r w:rsidRPr="001C2493">
        <w:rPr>
          <w:rFonts w:asciiTheme="minorHAnsi" w:hAnsiTheme="minorHAnsi"/>
        </w:rPr>
        <w:t>arties</w:t>
      </w:r>
      <w:r>
        <w:rPr>
          <w:rFonts w:asciiTheme="minorHAnsi" w:hAnsiTheme="minorHAnsi"/>
        </w:rPr>
        <w:t xml:space="preserve"> to each RFA</w:t>
      </w:r>
      <w:r w:rsidRPr="001C2493">
        <w:rPr>
          <w:rFonts w:asciiTheme="minorHAnsi" w:hAnsiTheme="minorHAnsi"/>
        </w:rPr>
        <w:t xml:space="preserve"> agree</w:t>
      </w:r>
      <w:r>
        <w:rPr>
          <w:rFonts w:asciiTheme="minorHAnsi" w:hAnsiTheme="minorHAnsi"/>
        </w:rPr>
        <w:t>d</w:t>
      </w:r>
      <w:r w:rsidRPr="001C2493">
        <w:rPr>
          <w:rFonts w:asciiTheme="minorHAnsi" w:hAnsiTheme="minorHAnsi"/>
        </w:rPr>
        <w:t xml:space="preserve"> to establish an appropriate</w:t>
      </w:r>
      <w:r>
        <w:rPr>
          <w:rFonts w:asciiTheme="minorHAnsi" w:hAnsiTheme="minorHAnsi"/>
        </w:rPr>
        <w:t xml:space="preserve"> </w:t>
      </w:r>
      <w:r w:rsidRPr="001C2493">
        <w:rPr>
          <w:rFonts w:asciiTheme="minorHAnsi" w:hAnsiTheme="minorHAnsi"/>
        </w:rPr>
        <w:t>set of sustainability indicators to monitor forest changes</w:t>
      </w:r>
      <w:r>
        <w:rPr>
          <w:rFonts w:asciiTheme="minorHAnsi" w:hAnsiTheme="minorHAnsi"/>
        </w:rPr>
        <w:t xml:space="preserve">, with these </w:t>
      </w:r>
      <w:r w:rsidRPr="001C2493">
        <w:rPr>
          <w:rFonts w:asciiTheme="minorHAnsi" w:hAnsiTheme="minorHAnsi"/>
        </w:rPr>
        <w:t xml:space="preserve">indicators </w:t>
      </w:r>
      <w:r>
        <w:rPr>
          <w:rFonts w:asciiTheme="minorHAnsi" w:hAnsiTheme="minorHAnsi"/>
        </w:rPr>
        <w:t xml:space="preserve">to </w:t>
      </w:r>
      <w:r w:rsidRPr="001C2493">
        <w:rPr>
          <w:rFonts w:asciiTheme="minorHAnsi" w:hAnsiTheme="minorHAnsi"/>
        </w:rPr>
        <w:t>be</w:t>
      </w:r>
      <w:r>
        <w:rPr>
          <w:rFonts w:asciiTheme="minorHAnsi" w:hAnsiTheme="minorHAnsi"/>
        </w:rPr>
        <w:t xml:space="preserve"> </w:t>
      </w:r>
      <w:r w:rsidRPr="001C2493">
        <w:rPr>
          <w:rFonts w:asciiTheme="minorHAnsi" w:hAnsiTheme="minorHAnsi"/>
        </w:rPr>
        <w:t>consistent with the Montr</w:t>
      </w:r>
      <w:r>
        <w:rPr>
          <w:rFonts w:asciiTheme="minorHAnsi" w:hAnsiTheme="minorHAnsi"/>
        </w:rPr>
        <w:t>éal Process c</w:t>
      </w:r>
      <w:r w:rsidRPr="001C2493">
        <w:rPr>
          <w:rFonts w:asciiTheme="minorHAnsi" w:hAnsiTheme="minorHAnsi"/>
        </w:rPr>
        <w:t>riteria</w:t>
      </w:r>
      <w:r>
        <w:rPr>
          <w:rFonts w:asciiTheme="minorHAnsi" w:hAnsiTheme="minorHAnsi"/>
        </w:rPr>
        <w:t xml:space="preserve"> (as amended from time to time). T</w:t>
      </w:r>
      <w:r w:rsidRPr="001C2493">
        <w:rPr>
          <w:rFonts w:asciiTheme="minorHAnsi" w:hAnsiTheme="minorHAnsi"/>
        </w:rPr>
        <w:t xml:space="preserve">he form of </w:t>
      </w:r>
      <w:r>
        <w:rPr>
          <w:rFonts w:asciiTheme="minorHAnsi" w:hAnsiTheme="minorHAnsi"/>
        </w:rPr>
        <w:t xml:space="preserve">this framework </w:t>
      </w:r>
      <w:r w:rsidRPr="001C2493">
        <w:rPr>
          <w:rFonts w:asciiTheme="minorHAnsi" w:hAnsiTheme="minorHAnsi"/>
        </w:rPr>
        <w:t xml:space="preserve">is specified in </w:t>
      </w:r>
      <w:r>
        <w:rPr>
          <w:rFonts w:asciiTheme="minorHAnsi" w:hAnsiTheme="minorHAnsi"/>
        </w:rPr>
        <w:t xml:space="preserve">an </w:t>
      </w:r>
      <w:r w:rsidRPr="001C2493">
        <w:rPr>
          <w:rFonts w:asciiTheme="minorHAnsi" w:hAnsiTheme="minorHAnsi"/>
        </w:rPr>
        <w:t xml:space="preserve">Attachment </w:t>
      </w:r>
      <w:r>
        <w:rPr>
          <w:rFonts w:asciiTheme="minorHAnsi" w:hAnsiTheme="minorHAnsi"/>
        </w:rPr>
        <w:t>to each RFA</w:t>
      </w:r>
      <w:r w:rsidRPr="001C2493">
        <w:rPr>
          <w:rFonts w:asciiTheme="minorHAnsi" w:hAnsiTheme="minorHAnsi"/>
        </w:rPr>
        <w:t>, and take</w:t>
      </w:r>
      <w:r>
        <w:rPr>
          <w:rFonts w:asciiTheme="minorHAnsi" w:hAnsiTheme="minorHAnsi"/>
        </w:rPr>
        <w:t>s</w:t>
      </w:r>
      <w:r w:rsidRPr="001C2493">
        <w:rPr>
          <w:rFonts w:asciiTheme="minorHAnsi" w:hAnsiTheme="minorHAnsi"/>
        </w:rPr>
        <w:t xml:space="preserve"> into account the framework of</w:t>
      </w:r>
      <w:r>
        <w:rPr>
          <w:rFonts w:asciiTheme="minorHAnsi" w:hAnsiTheme="minorHAnsi"/>
        </w:rPr>
        <w:t xml:space="preserve"> </w:t>
      </w:r>
      <w:r w:rsidRPr="001C2493">
        <w:rPr>
          <w:rFonts w:asciiTheme="minorHAnsi" w:hAnsiTheme="minorHAnsi"/>
        </w:rPr>
        <w:t>indicators developed by the MIG.</w:t>
      </w:r>
      <w:r>
        <w:rPr>
          <w:rFonts w:asciiTheme="minorHAnsi" w:hAnsiTheme="minorHAnsi"/>
        </w:rPr>
        <w:t xml:space="preserve"> </w:t>
      </w:r>
      <w:r w:rsidRPr="001C2493">
        <w:rPr>
          <w:rFonts w:asciiTheme="minorHAnsi" w:hAnsiTheme="minorHAnsi"/>
        </w:rPr>
        <w:t xml:space="preserve">Indicators </w:t>
      </w:r>
      <w:r>
        <w:rPr>
          <w:rFonts w:asciiTheme="minorHAnsi" w:hAnsiTheme="minorHAnsi"/>
        </w:rPr>
        <w:t xml:space="preserve">are to </w:t>
      </w:r>
      <w:r w:rsidRPr="001C2493">
        <w:rPr>
          <w:rFonts w:asciiTheme="minorHAnsi" w:hAnsiTheme="minorHAnsi"/>
        </w:rPr>
        <w:t>be practical, measurable, cost-effective and capable of being implemented at</w:t>
      </w:r>
      <w:r>
        <w:rPr>
          <w:rFonts w:asciiTheme="minorHAnsi" w:hAnsiTheme="minorHAnsi"/>
        </w:rPr>
        <w:t xml:space="preserve"> </w:t>
      </w:r>
      <w:r w:rsidRPr="001C2493">
        <w:rPr>
          <w:rFonts w:asciiTheme="minorHAnsi" w:hAnsiTheme="minorHAnsi"/>
        </w:rPr>
        <w:t>the regional level.</w:t>
      </w:r>
    </w:p>
    <w:p w:rsidR="00F91926" w:rsidRDefault="00F91926" w:rsidP="007178BC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375E42">
        <w:rPr>
          <w:rFonts w:asciiTheme="minorHAnsi" w:hAnsiTheme="minorHAnsi"/>
        </w:rPr>
        <w:t>Montr</w:t>
      </w:r>
      <w:r>
        <w:rPr>
          <w:rFonts w:asciiTheme="minorHAnsi" w:hAnsiTheme="minorHAnsi"/>
        </w:rPr>
        <w:t>é</w:t>
      </w:r>
      <w:r w:rsidRPr="00375E42">
        <w:rPr>
          <w:rFonts w:asciiTheme="minorHAnsi" w:hAnsiTheme="minorHAnsi"/>
        </w:rPr>
        <w:t xml:space="preserve">al Process </w:t>
      </w:r>
      <w:r>
        <w:rPr>
          <w:rFonts w:asciiTheme="minorHAnsi" w:hAnsiTheme="minorHAnsi"/>
        </w:rPr>
        <w:t>framework is also used in a number of state-based forestry reporting processes, allowing direct and efficient aggregation of these data into national forest reporting and the SOFR series.</w:t>
      </w:r>
    </w:p>
    <w:p w:rsidR="00F91926" w:rsidRDefault="00F91926" w:rsidP="007178BC">
      <w:p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375E42">
        <w:rPr>
          <w:rFonts w:asciiTheme="minorHAnsi" w:hAnsiTheme="minorHAnsi"/>
        </w:rPr>
        <w:t>Montr</w:t>
      </w:r>
      <w:r>
        <w:rPr>
          <w:rFonts w:asciiTheme="minorHAnsi" w:hAnsiTheme="minorHAnsi"/>
        </w:rPr>
        <w:t>é</w:t>
      </w:r>
      <w:r w:rsidRPr="00375E42">
        <w:rPr>
          <w:rFonts w:asciiTheme="minorHAnsi" w:hAnsiTheme="minorHAnsi"/>
        </w:rPr>
        <w:t xml:space="preserve">al Process </w:t>
      </w:r>
      <w:r>
        <w:rPr>
          <w:rFonts w:asciiTheme="minorHAnsi" w:hAnsiTheme="minorHAnsi"/>
        </w:rPr>
        <w:t xml:space="preserve">framework </w:t>
      </w:r>
      <w:r w:rsidRPr="001C2493">
        <w:rPr>
          <w:rFonts w:asciiTheme="minorHAnsi" w:hAnsiTheme="minorHAnsi"/>
        </w:rPr>
        <w:t>also provides the structure for the Australian Forestry Standard program of certification</w:t>
      </w:r>
      <w:r>
        <w:rPr>
          <w:rFonts w:asciiTheme="minorHAnsi" w:hAnsiTheme="minorHAnsi"/>
        </w:rPr>
        <w:t>.</w:t>
      </w:r>
    </w:p>
    <w:p w:rsidR="007178BC" w:rsidRDefault="007178BC" w:rsidP="007178BC">
      <w:pPr>
        <w:spacing w:before="120"/>
        <w:rPr>
          <w:rFonts w:asciiTheme="minorHAnsi" w:hAnsiTheme="minorHAnsi"/>
        </w:rPr>
      </w:pPr>
    </w:p>
    <w:p w:rsidR="0026285E" w:rsidRPr="007178BC" w:rsidRDefault="00F91926" w:rsidP="007178BC">
      <w:pPr>
        <w:spacing w:before="120"/>
        <w:rPr>
          <w:rFonts w:asciiTheme="minorHAnsi" w:hAnsiTheme="minorHAnsi"/>
        </w:rPr>
      </w:pPr>
      <w:r w:rsidRPr="007178BC">
        <w:rPr>
          <w:rFonts w:asciiTheme="minorHAnsi" w:hAnsiTheme="minorHAnsi"/>
        </w:rPr>
        <w:t>These mandates underpin the following d</w:t>
      </w:r>
      <w:r w:rsidR="003D7D72" w:rsidRPr="007178BC">
        <w:rPr>
          <w:rFonts w:asciiTheme="minorHAnsi" w:hAnsiTheme="minorHAnsi"/>
        </w:rPr>
        <w:t>rivers for the production of Australia’s State of the Forests Reports</w:t>
      </w:r>
      <w:r w:rsidR="00FE4CF4">
        <w:rPr>
          <w:rFonts w:asciiTheme="minorHAnsi" w:hAnsiTheme="minorHAnsi"/>
        </w:rPr>
        <w:t>:</w:t>
      </w:r>
      <w:r w:rsidR="00EC57FE" w:rsidRPr="007178BC">
        <w:rPr>
          <w:rFonts w:asciiTheme="minorHAnsi" w:hAnsiTheme="minorHAnsi"/>
        </w:rPr>
        <w:t xml:space="preserve"> </w:t>
      </w:r>
    </w:p>
    <w:p w:rsidR="003D7D72" w:rsidRDefault="003D7D72" w:rsidP="007178BC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rPr>
          <w:rFonts w:asciiTheme="minorHAnsi" w:hAnsiTheme="minorHAnsi"/>
        </w:rPr>
      </w:pPr>
      <w:r w:rsidRPr="003D7D72">
        <w:rPr>
          <w:rFonts w:asciiTheme="minorHAnsi" w:hAnsiTheme="minorHAnsi"/>
        </w:rPr>
        <w:t xml:space="preserve">The sustainable management and conservation of Australia’s forests, whether on public or on private land, </w:t>
      </w:r>
      <w:r w:rsidRPr="00F91926">
        <w:rPr>
          <w:rFonts w:asciiTheme="minorHAnsi" w:hAnsiTheme="minorHAnsi"/>
          <w:i/>
        </w:rPr>
        <w:t>requires</w:t>
      </w:r>
      <w:r w:rsidRPr="003D7D72">
        <w:rPr>
          <w:rFonts w:asciiTheme="minorHAnsi" w:hAnsiTheme="minorHAnsi"/>
        </w:rPr>
        <w:t xml:space="preserve"> a sound understanding of their condition, use and management</w:t>
      </w:r>
      <w:r w:rsidR="00F91926">
        <w:rPr>
          <w:rFonts w:asciiTheme="minorHAnsi" w:hAnsiTheme="minorHAnsi"/>
        </w:rPr>
        <w:t xml:space="preserve"> by governments, forest managers and stakeholders</w:t>
      </w:r>
      <w:r w:rsidRPr="003D7D72">
        <w:rPr>
          <w:rFonts w:asciiTheme="minorHAnsi" w:hAnsiTheme="minorHAnsi"/>
        </w:rPr>
        <w:t>.</w:t>
      </w:r>
    </w:p>
    <w:p w:rsidR="003D7D72" w:rsidRDefault="003D7D72" w:rsidP="007178BC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rPr>
          <w:rFonts w:asciiTheme="minorHAnsi" w:hAnsiTheme="minorHAnsi"/>
        </w:rPr>
      </w:pPr>
      <w:r w:rsidRPr="003D7D72">
        <w:rPr>
          <w:rFonts w:asciiTheme="minorHAnsi" w:hAnsiTheme="minorHAnsi"/>
        </w:rPr>
        <w:t xml:space="preserve">Reporting on the state of Australia’s forests through SOFR </w:t>
      </w:r>
      <w:r w:rsidRPr="00F91926">
        <w:rPr>
          <w:rFonts w:asciiTheme="minorHAnsi" w:hAnsiTheme="minorHAnsi"/>
          <w:i/>
        </w:rPr>
        <w:t>support</w:t>
      </w:r>
      <w:r w:rsidR="004D2762" w:rsidRPr="00F91926">
        <w:rPr>
          <w:rFonts w:asciiTheme="minorHAnsi" w:hAnsiTheme="minorHAnsi"/>
          <w:i/>
        </w:rPr>
        <w:t>s</w:t>
      </w:r>
      <w:r w:rsidRPr="003D7D72">
        <w:rPr>
          <w:rFonts w:asciiTheme="minorHAnsi" w:hAnsiTheme="minorHAnsi"/>
        </w:rPr>
        <w:t xml:space="preserve"> progress towards the sustainable management of Australia’s forests.</w:t>
      </w:r>
    </w:p>
    <w:p w:rsidR="006816DF" w:rsidRDefault="006816DF" w:rsidP="007178BC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rPr>
          <w:rFonts w:asciiTheme="minorHAnsi" w:hAnsiTheme="minorHAnsi"/>
        </w:rPr>
      </w:pPr>
      <w:r w:rsidRPr="00EC57FE">
        <w:rPr>
          <w:rFonts w:asciiTheme="minorHAnsi" w:hAnsiTheme="minorHAnsi"/>
        </w:rPr>
        <w:t xml:space="preserve">The role of SOFR is to </w:t>
      </w:r>
      <w:r w:rsidRPr="00F91926">
        <w:rPr>
          <w:rFonts w:asciiTheme="minorHAnsi" w:hAnsiTheme="minorHAnsi"/>
          <w:i/>
        </w:rPr>
        <w:t>inform</w:t>
      </w:r>
      <w:r w:rsidRPr="00EC57FE">
        <w:rPr>
          <w:rFonts w:asciiTheme="minorHAnsi" w:hAnsiTheme="minorHAnsi"/>
        </w:rPr>
        <w:t xml:space="preserve"> the public about Australia’s forests, their management and use, and, where possible, to track changes or monitor trends over time.</w:t>
      </w:r>
      <w:r w:rsidR="00EC57FE" w:rsidRPr="00EC57FE">
        <w:rPr>
          <w:rFonts w:asciiTheme="minorHAnsi" w:hAnsiTheme="minorHAnsi"/>
        </w:rPr>
        <w:t xml:space="preserve"> </w:t>
      </w:r>
    </w:p>
    <w:p w:rsidR="006816DF" w:rsidRDefault="006816DF" w:rsidP="007178BC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rPr>
          <w:rFonts w:asciiTheme="minorHAnsi" w:hAnsiTheme="minorHAnsi"/>
        </w:rPr>
      </w:pPr>
      <w:r w:rsidRPr="006816DF">
        <w:rPr>
          <w:rFonts w:asciiTheme="minorHAnsi" w:hAnsiTheme="minorHAnsi"/>
        </w:rPr>
        <w:t>SOFR also assists Australia</w:t>
      </w:r>
      <w:r w:rsidR="00F91926">
        <w:rPr>
          <w:rFonts w:asciiTheme="minorHAnsi" w:hAnsiTheme="minorHAnsi"/>
        </w:rPr>
        <w:t xml:space="preserve"> to</w:t>
      </w:r>
      <w:r w:rsidRPr="006816DF">
        <w:rPr>
          <w:rFonts w:asciiTheme="minorHAnsi" w:hAnsiTheme="minorHAnsi"/>
        </w:rPr>
        <w:t xml:space="preserve"> </w:t>
      </w:r>
      <w:r w:rsidRPr="00F91926">
        <w:rPr>
          <w:rFonts w:asciiTheme="minorHAnsi" w:hAnsiTheme="minorHAnsi"/>
          <w:i/>
        </w:rPr>
        <w:t>report</w:t>
      </w:r>
      <w:r w:rsidRPr="006816DF">
        <w:rPr>
          <w:rFonts w:asciiTheme="minorHAnsi" w:hAnsiTheme="minorHAnsi"/>
        </w:rPr>
        <w:t xml:space="preserve"> the state of its forests internationally.</w:t>
      </w:r>
    </w:p>
    <w:p w:rsidR="0026285E" w:rsidRDefault="0026285E" w:rsidP="007178BC">
      <w:pPr>
        <w:pStyle w:val="ListParagraph"/>
        <w:numPr>
          <w:ilvl w:val="0"/>
          <w:numId w:val="1"/>
        </w:numPr>
        <w:spacing w:before="120"/>
        <w:ind w:left="425" w:hanging="425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SOFR </w:t>
      </w:r>
      <w:r w:rsidR="0018790E">
        <w:rPr>
          <w:rFonts w:asciiTheme="minorHAnsi" w:hAnsiTheme="minorHAnsi"/>
        </w:rPr>
        <w:t xml:space="preserve">reporting </w:t>
      </w:r>
      <w:r>
        <w:rPr>
          <w:rFonts w:asciiTheme="minorHAnsi" w:hAnsiTheme="minorHAnsi"/>
        </w:rPr>
        <w:t xml:space="preserve">is </w:t>
      </w:r>
      <w:r w:rsidRPr="0026285E">
        <w:rPr>
          <w:rFonts w:asciiTheme="minorHAnsi" w:hAnsiTheme="minorHAnsi"/>
        </w:rPr>
        <w:t xml:space="preserve">an efficient way to </w:t>
      </w:r>
      <w:r w:rsidRPr="00F91926">
        <w:rPr>
          <w:rFonts w:asciiTheme="minorHAnsi" w:hAnsiTheme="minorHAnsi"/>
          <w:i/>
        </w:rPr>
        <w:t>reduce and coordinate reporting</w:t>
      </w:r>
      <w:r w:rsidRPr="0026285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of </w:t>
      </w:r>
      <w:r w:rsidR="0018790E">
        <w:rPr>
          <w:rFonts w:asciiTheme="minorHAnsi" w:hAnsiTheme="minorHAnsi"/>
        </w:rPr>
        <w:t xml:space="preserve">numerous </w:t>
      </w:r>
      <w:r>
        <w:rPr>
          <w:rFonts w:asciiTheme="minorHAnsi" w:hAnsiTheme="minorHAnsi"/>
        </w:rPr>
        <w:t xml:space="preserve">domestic and international </w:t>
      </w:r>
      <w:r w:rsidRPr="0026285E">
        <w:rPr>
          <w:rFonts w:asciiTheme="minorHAnsi" w:hAnsiTheme="minorHAnsi"/>
        </w:rPr>
        <w:t>requirements</w:t>
      </w:r>
      <w:r w:rsidR="0018790E">
        <w:rPr>
          <w:rFonts w:asciiTheme="minorHAnsi" w:hAnsiTheme="minorHAnsi"/>
        </w:rPr>
        <w:t xml:space="preserve"> that would otherwise need to be </w:t>
      </w:r>
      <w:r w:rsidR="0018790E" w:rsidRPr="0018790E">
        <w:rPr>
          <w:rFonts w:asciiTheme="minorHAnsi" w:hAnsiTheme="minorHAnsi"/>
        </w:rPr>
        <w:t>dispatched to the states and territories for completion</w:t>
      </w:r>
      <w:r w:rsidR="0018790E">
        <w:rPr>
          <w:rFonts w:asciiTheme="minorHAnsi" w:hAnsiTheme="minorHAnsi"/>
        </w:rPr>
        <w:t>.</w:t>
      </w:r>
    </w:p>
    <w:sectPr w:rsidR="0026285E" w:rsidSect="003D7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E47" w:rsidRDefault="00F35E47" w:rsidP="00F35E47">
      <w:pPr>
        <w:spacing w:before="0"/>
      </w:pPr>
      <w:r>
        <w:separator/>
      </w:r>
    </w:p>
  </w:endnote>
  <w:endnote w:type="continuationSeparator" w:id="0">
    <w:p w:rsidR="00F35E47" w:rsidRDefault="00F35E47" w:rsidP="00F35E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4C" w:rsidRDefault="001B4C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E47" w:rsidRPr="00F35E47" w:rsidRDefault="00F35E47">
    <w:pPr>
      <w:pStyle w:val="Footer"/>
      <w:rPr>
        <w:rFonts w:asciiTheme="minorHAnsi" w:hAnsiTheme="minorHAnsi"/>
        <w:sz w:val="20"/>
      </w:rPr>
    </w:pPr>
    <w:r w:rsidRPr="00F35E47">
      <w:rPr>
        <w:rFonts w:asciiTheme="minorHAnsi" w:hAnsiTheme="minorHAnsi"/>
        <w:sz w:val="20"/>
      </w:rPr>
      <w:t>ABARES</w:t>
    </w:r>
    <w:r w:rsidRPr="00F35E47">
      <w:rPr>
        <w:rFonts w:asciiTheme="minorHAnsi" w:hAnsiTheme="minorHAnsi"/>
        <w:sz w:val="20"/>
      </w:rPr>
      <w:tab/>
    </w:r>
    <w:r w:rsidRPr="00F35E47">
      <w:rPr>
        <w:rFonts w:asciiTheme="minorHAnsi" w:hAnsiTheme="minorHAnsi"/>
        <w:sz w:val="20"/>
      </w:rPr>
      <w:tab/>
    </w:r>
    <w:r w:rsidR="001B4C4C">
      <w:rPr>
        <w:rFonts w:asciiTheme="minorHAnsi" w:hAnsiTheme="minorHAnsi"/>
        <w:sz w:val="20"/>
      </w:rPr>
      <w:t>October</w:t>
    </w:r>
    <w:r w:rsidRPr="00F35E47">
      <w:rPr>
        <w:rFonts w:asciiTheme="minorHAnsi" w:hAnsiTheme="minorHAnsi"/>
        <w:sz w:val="20"/>
      </w:rPr>
      <w:t xml:space="preserve"> </w:t>
    </w:r>
    <w:r w:rsidRPr="00F35E47">
      <w:rPr>
        <w:rFonts w:asciiTheme="minorHAnsi" w:hAnsiTheme="minorHAnsi"/>
        <w:sz w:val="20"/>
      </w:rPr>
      <w:t>201</w:t>
    </w:r>
    <w:r w:rsidR="001B4C4C">
      <w:rPr>
        <w:rFonts w:asciiTheme="minorHAnsi" w:hAnsiTheme="minorHAnsi"/>
        <w:sz w:val="20"/>
      </w:rPr>
      <w:t>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4C" w:rsidRDefault="001B4C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E47" w:rsidRDefault="00F35E47" w:rsidP="00F35E47">
      <w:pPr>
        <w:spacing w:before="0"/>
      </w:pPr>
      <w:r>
        <w:separator/>
      </w:r>
    </w:p>
  </w:footnote>
  <w:footnote w:type="continuationSeparator" w:id="0">
    <w:p w:rsidR="00F35E47" w:rsidRDefault="00F35E47" w:rsidP="00F35E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4C" w:rsidRDefault="001B4C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4C" w:rsidRDefault="001B4C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4C" w:rsidRDefault="001B4C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A699D"/>
    <w:multiLevelType w:val="hybridMultilevel"/>
    <w:tmpl w:val="B502B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72"/>
    <w:rsid w:val="000164D8"/>
    <w:rsid w:val="00047E0A"/>
    <w:rsid w:val="00070476"/>
    <w:rsid w:val="00076B10"/>
    <w:rsid w:val="000774F5"/>
    <w:rsid w:val="000861C5"/>
    <w:rsid w:val="0008792B"/>
    <w:rsid w:val="0009315F"/>
    <w:rsid w:val="00094305"/>
    <w:rsid w:val="000A377E"/>
    <w:rsid w:val="000A47B9"/>
    <w:rsid w:val="000A6A93"/>
    <w:rsid w:val="000B7F09"/>
    <w:rsid w:val="000C19BE"/>
    <w:rsid w:val="000D07D1"/>
    <w:rsid w:val="000D3722"/>
    <w:rsid w:val="000F4B20"/>
    <w:rsid w:val="000F63E4"/>
    <w:rsid w:val="001049AB"/>
    <w:rsid w:val="00113C9C"/>
    <w:rsid w:val="0013461F"/>
    <w:rsid w:val="001518C5"/>
    <w:rsid w:val="00161EC2"/>
    <w:rsid w:val="00173BD3"/>
    <w:rsid w:val="00173F56"/>
    <w:rsid w:val="001874A9"/>
    <w:rsid w:val="0018790E"/>
    <w:rsid w:val="001912BB"/>
    <w:rsid w:val="001A6EB3"/>
    <w:rsid w:val="001B2568"/>
    <w:rsid w:val="001B4C4C"/>
    <w:rsid w:val="001C2673"/>
    <w:rsid w:val="001C2BC6"/>
    <w:rsid w:val="001D6E22"/>
    <w:rsid w:val="001D7A8D"/>
    <w:rsid w:val="001E18C6"/>
    <w:rsid w:val="001F291C"/>
    <w:rsid w:val="001F3B82"/>
    <w:rsid w:val="001F643B"/>
    <w:rsid w:val="001F6AE4"/>
    <w:rsid w:val="00211FC4"/>
    <w:rsid w:val="002461A9"/>
    <w:rsid w:val="0024638A"/>
    <w:rsid w:val="0026285E"/>
    <w:rsid w:val="00284E7E"/>
    <w:rsid w:val="002976A0"/>
    <w:rsid w:val="002C3691"/>
    <w:rsid w:val="002C452C"/>
    <w:rsid w:val="002C4AA8"/>
    <w:rsid w:val="002C5399"/>
    <w:rsid w:val="002D4A68"/>
    <w:rsid w:val="002E169B"/>
    <w:rsid w:val="002E3E31"/>
    <w:rsid w:val="002F26A6"/>
    <w:rsid w:val="0031737F"/>
    <w:rsid w:val="003244EF"/>
    <w:rsid w:val="00340835"/>
    <w:rsid w:val="00341CBF"/>
    <w:rsid w:val="003609D2"/>
    <w:rsid w:val="003656B8"/>
    <w:rsid w:val="003903AF"/>
    <w:rsid w:val="003A023F"/>
    <w:rsid w:val="003A4A54"/>
    <w:rsid w:val="003D1F71"/>
    <w:rsid w:val="003D7D72"/>
    <w:rsid w:val="00431E40"/>
    <w:rsid w:val="00433056"/>
    <w:rsid w:val="00433C5D"/>
    <w:rsid w:val="0044167E"/>
    <w:rsid w:val="00443757"/>
    <w:rsid w:val="004913E7"/>
    <w:rsid w:val="004919F3"/>
    <w:rsid w:val="00493EAB"/>
    <w:rsid w:val="00496FBA"/>
    <w:rsid w:val="004B0763"/>
    <w:rsid w:val="004B0862"/>
    <w:rsid w:val="004C3091"/>
    <w:rsid w:val="004C3450"/>
    <w:rsid w:val="004D0606"/>
    <w:rsid w:val="004D1DC2"/>
    <w:rsid w:val="004D2762"/>
    <w:rsid w:val="005417C1"/>
    <w:rsid w:val="005474AB"/>
    <w:rsid w:val="00564A94"/>
    <w:rsid w:val="00567AEB"/>
    <w:rsid w:val="005741AF"/>
    <w:rsid w:val="00595D79"/>
    <w:rsid w:val="005C1A24"/>
    <w:rsid w:val="005C6249"/>
    <w:rsid w:val="005D7A58"/>
    <w:rsid w:val="005E043A"/>
    <w:rsid w:val="005E12AC"/>
    <w:rsid w:val="005E25FF"/>
    <w:rsid w:val="006816DF"/>
    <w:rsid w:val="0068414C"/>
    <w:rsid w:val="006878F9"/>
    <w:rsid w:val="006D0BC9"/>
    <w:rsid w:val="006D3516"/>
    <w:rsid w:val="007178BC"/>
    <w:rsid w:val="00726EED"/>
    <w:rsid w:val="007274C7"/>
    <w:rsid w:val="00745D10"/>
    <w:rsid w:val="0074703F"/>
    <w:rsid w:val="00761E38"/>
    <w:rsid w:val="007B6D6F"/>
    <w:rsid w:val="007C1C97"/>
    <w:rsid w:val="007C59CD"/>
    <w:rsid w:val="007D3518"/>
    <w:rsid w:val="007E7B89"/>
    <w:rsid w:val="007F44AD"/>
    <w:rsid w:val="00815E57"/>
    <w:rsid w:val="00856429"/>
    <w:rsid w:val="008713FE"/>
    <w:rsid w:val="00885AD9"/>
    <w:rsid w:val="008D5CB2"/>
    <w:rsid w:val="008E77B6"/>
    <w:rsid w:val="008F2000"/>
    <w:rsid w:val="0092258A"/>
    <w:rsid w:val="00952B75"/>
    <w:rsid w:val="00956D32"/>
    <w:rsid w:val="00964708"/>
    <w:rsid w:val="00990B55"/>
    <w:rsid w:val="009A2337"/>
    <w:rsid w:val="009A5D60"/>
    <w:rsid w:val="009C25EF"/>
    <w:rsid w:val="009D7059"/>
    <w:rsid w:val="00A05C68"/>
    <w:rsid w:val="00A141C6"/>
    <w:rsid w:val="00A237E8"/>
    <w:rsid w:val="00A24AD3"/>
    <w:rsid w:val="00A3015F"/>
    <w:rsid w:val="00A341E3"/>
    <w:rsid w:val="00A3485A"/>
    <w:rsid w:val="00A6025C"/>
    <w:rsid w:val="00A606CA"/>
    <w:rsid w:val="00A71B08"/>
    <w:rsid w:val="00A75647"/>
    <w:rsid w:val="00A82708"/>
    <w:rsid w:val="00A9612A"/>
    <w:rsid w:val="00AA1F2D"/>
    <w:rsid w:val="00AD2572"/>
    <w:rsid w:val="00B11E27"/>
    <w:rsid w:val="00B33984"/>
    <w:rsid w:val="00B42183"/>
    <w:rsid w:val="00B6465D"/>
    <w:rsid w:val="00BC168A"/>
    <w:rsid w:val="00BD702B"/>
    <w:rsid w:val="00BF091D"/>
    <w:rsid w:val="00C01315"/>
    <w:rsid w:val="00C32188"/>
    <w:rsid w:val="00C32F0C"/>
    <w:rsid w:val="00C33BD5"/>
    <w:rsid w:val="00C77D3A"/>
    <w:rsid w:val="00C83403"/>
    <w:rsid w:val="00C83470"/>
    <w:rsid w:val="00C94F49"/>
    <w:rsid w:val="00CD6528"/>
    <w:rsid w:val="00CF635F"/>
    <w:rsid w:val="00D00030"/>
    <w:rsid w:val="00D05FB8"/>
    <w:rsid w:val="00D06BC6"/>
    <w:rsid w:val="00D43DF9"/>
    <w:rsid w:val="00D827E8"/>
    <w:rsid w:val="00D85279"/>
    <w:rsid w:val="00D85BFD"/>
    <w:rsid w:val="00D87555"/>
    <w:rsid w:val="00D92FD7"/>
    <w:rsid w:val="00DC5B75"/>
    <w:rsid w:val="00DE7AFC"/>
    <w:rsid w:val="00DF18A9"/>
    <w:rsid w:val="00E936DE"/>
    <w:rsid w:val="00EC0D34"/>
    <w:rsid w:val="00EC57FE"/>
    <w:rsid w:val="00ED6F77"/>
    <w:rsid w:val="00EF4BBE"/>
    <w:rsid w:val="00EF5F19"/>
    <w:rsid w:val="00F35DD1"/>
    <w:rsid w:val="00F35E47"/>
    <w:rsid w:val="00F54BF0"/>
    <w:rsid w:val="00F7341E"/>
    <w:rsid w:val="00F85226"/>
    <w:rsid w:val="00F91926"/>
    <w:rsid w:val="00FB0308"/>
    <w:rsid w:val="00FB3368"/>
    <w:rsid w:val="00FB6037"/>
    <w:rsid w:val="00FE06D1"/>
    <w:rsid w:val="00FE2F54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05FDF2-2828-43E5-8E30-DD2776FE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D72"/>
    <w:pPr>
      <w:spacing w:before="240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178BC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3D7D72"/>
    <w:pPr>
      <w:ind w:left="720"/>
      <w:contextualSpacing/>
    </w:pPr>
  </w:style>
  <w:style w:type="paragraph" w:styleId="Header">
    <w:name w:val="header"/>
    <w:basedOn w:val="Normal"/>
    <w:link w:val="HeaderChar"/>
    <w:rsid w:val="00F35E4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F35E4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F35E4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35E47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F35E4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5E4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7178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24F34B8BE38458A19EA0C09119139" ma:contentTypeVersion="1" ma:contentTypeDescription="Create a new document." ma:contentTypeScope="" ma:versionID="3be5da23c6cfa4a158cdd34fd17305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B93311-FCB1-4E17-87C9-6A73A94AABE2}"/>
</file>

<file path=customXml/itemProps2.xml><?xml version="1.0" encoding="utf-8"?>
<ds:datastoreItem xmlns:ds="http://schemas.openxmlformats.org/officeDocument/2006/customXml" ds:itemID="{B63F7737-85E3-4A0B-AC10-81DC73417364}"/>
</file>

<file path=customXml/itemProps3.xml><?xml version="1.0" encoding="utf-8"?>
<ds:datastoreItem xmlns:ds="http://schemas.openxmlformats.org/officeDocument/2006/customXml" ds:itemID="{56D81A18-C57C-4280-8940-66D23A86C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874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Hunn</dc:creator>
  <cp:lastModifiedBy>Howell, Claire</cp:lastModifiedBy>
  <cp:revision>4</cp:revision>
  <dcterms:created xsi:type="dcterms:W3CDTF">2016-10-11T06:05:00Z</dcterms:created>
  <dcterms:modified xsi:type="dcterms:W3CDTF">2016-10-11T06:16:00Z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0x010100C5E24F34B8BE38458A19EA0C09119139</vt:lpwstr>
  </property>
</Properties>
</file>