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45CE" w14:textId="31C482DB" w:rsidR="00806F49" w:rsidRPr="00806F49" w:rsidRDefault="00806F49" w:rsidP="009F3A16">
      <w:pPr>
        <w:pStyle w:val="Heading1"/>
      </w:pPr>
      <w:r w:rsidRPr="00806F49">
        <w:t>Approved Arrangements</w:t>
      </w:r>
    </w:p>
    <w:p w14:paraId="25859FA4" w14:textId="5EC5C59E" w:rsidR="00064698" w:rsidRDefault="00064698" w:rsidP="00315A8A">
      <w:pPr>
        <w:pStyle w:val="Subtitle"/>
      </w:pPr>
      <w:r>
        <w:t>F</w:t>
      </w:r>
      <w:r w:rsidR="006D1784">
        <w:t>or 1</w:t>
      </w:r>
      <w:r w:rsidR="007A108C">
        <w:t>3</w:t>
      </w:r>
      <w:r w:rsidR="009F3A16">
        <w:t>.1—</w:t>
      </w:r>
      <w:r w:rsidR="007A108C">
        <w:t>Second conveyance</w:t>
      </w:r>
    </w:p>
    <w:p w14:paraId="124A2C13" w14:textId="6926D8B7" w:rsidR="002F17E3" w:rsidRPr="002F17E3" w:rsidRDefault="00806F49" w:rsidP="00315A8A">
      <w:pPr>
        <w:pStyle w:val="Subtitle"/>
      </w:pPr>
      <w:r w:rsidRPr="00806F49">
        <w:t>Requirements</w:t>
      </w:r>
      <w:r w:rsidR="009F3A16">
        <w:t>—</w:t>
      </w:r>
      <w:r w:rsidR="007A108C">
        <w:t>Version 3.</w:t>
      </w:r>
      <w:r w:rsidR="009155C8">
        <w:t>3</w:t>
      </w:r>
    </w:p>
    <w:p w14:paraId="6D0E5BAB" w14:textId="5ADF94B9" w:rsidR="009114A9" w:rsidRDefault="00806F49" w:rsidP="009114A9">
      <w:r>
        <w:rPr>
          <w:noProof/>
          <w:lang w:eastAsia="en-AU"/>
        </w:rPr>
        <w:drawing>
          <wp:inline distT="0" distB="0" distL="0" distR="0" wp14:anchorId="079B1103" wp14:editId="62E854B0">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9114A9">
        <w:br w:type="page"/>
      </w:r>
    </w:p>
    <w:p w14:paraId="4289920B" w14:textId="296D9C35" w:rsidR="00806F49" w:rsidRPr="00C10BEB" w:rsidRDefault="00806F49" w:rsidP="00315A8A">
      <w:r w:rsidRPr="00C10BEB">
        <w:lastRenderedPageBreak/>
        <w:t>© Commonwealth of Australia</w:t>
      </w:r>
    </w:p>
    <w:p w14:paraId="32B4923A" w14:textId="44188727" w:rsidR="00806F49" w:rsidRPr="009F3A16" w:rsidRDefault="00806F49" w:rsidP="00315A8A">
      <w:pPr>
        <w:rPr>
          <w:b/>
          <w:sz w:val="21"/>
          <w:szCs w:val="21"/>
        </w:rPr>
      </w:pPr>
      <w:r w:rsidRPr="009F3A16">
        <w:rPr>
          <w:b/>
          <w:sz w:val="21"/>
          <w:szCs w:val="21"/>
        </w:rPr>
        <w:t>Ownership of intellectual property rights</w:t>
      </w:r>
    </w:p>
    <w:p w14:paraId="545A99EE" w14:textId="77777777" w:rsidR="00806F49" w:rsidRPr="009F3A16" w:rsidRDefault="00806F49" w:rsidP="00315A8A">
      <w:pPr>
        <w:rPr>
          <w:sz w:val="21"/>
          <w:szCs w:val="21"/>
        </w:rPr>
      </w:pPr>
      <w:r w:rsidRPr="009F3A16">
        <w:rPr>
          <w:sz w:val="21"/>
          <w:szCs w:val="21"/>
        </w:rPr>
        <w:t>Unless otherwise noted, copyright (and any other intellectual property rights, if any) in this publication is owned by the Commonwealth of Australia (referred to as the Commonwealth).</w:t>
      </w:r>
    </w:p>
    <w:p w14:paraId="32D017A7" w14:textId="77777777" w:rsidR="00806F49" w:rsidRPr="009F3A16" w:rsidRDefault="00806F49" w:rsidP="00315A8A">
      <w:pPr>
        <w:rPr>
          <w:b/>
          <w:sz w:val="21"/>
          <w:szCs w:val="21"/>
        </w:rPr>
      </w:pPr>
      <w:r w:rsidRPr="009F3A16">
        <w:rPr>
          <w:b/>
          <w:sz w:val="21"/>
          <w:szCs w:val="21"/>
        </w:rPr>
        <w:t>Creative Commons Licence</w:t>
      </w:r>
    </w:p>
    <w:p w14:paraId="7428337D" w14:textId="77777777" w:rsidR="00806F49" w:rsidRPr="009F3A16" w:rsidRDefault="00806F49" w:rsidP="00315A8A">
      <w:pPr>
        <w:rPr>
          <w:sz w:val="21"/>
          <w:szCs w:val="21"/>
        </w:rPr>
      </w:pPr>
      <w:r w:rsidRPr="009F3A16">
        <w:rPr>
          <w:sz w:val="21"/>
          <w:szCs w:val="21"/>
        </w:rPr>
        <w:t xml:space="preserve">All material in this publication is licensed under a Creative Commons Attribution 3.0 Australia Licence, save for content supplied by third parties, </w:t>
      </w:r>
      <w:proofErr w:type="gramStart"/>
      <w:r w:rsidRPr="009F3A16">
        <w:rPr>
          <w:sz w:val="21"/>
          <w:szCs w:val="21"/>
        </w:rPr>
        <w:t>logos</w:t>
      </w:r>
      <w:proofErr w:type="gramEnd"/>
      <w:r w:rsidRPr="009F3A16">
        <w:rPr>
          <w:sz w:val="21"/>
          <w:szCs w:val="21"/>
        </w:rPr>
        <w:t xml:space="preserve"> and the Commonwealth Coat of Arms.</w:t>
      </w:r>
    </w:p>
    <w:p w14:paraId="454C29BC" w14:textId="77777777" w:rsidR="00806F49" w:rsidRPr="009F3A16" w:rsidRDefault="00806F49" w:rsidP="00315A8A">
      <w:pPr>
        <w:rPr>
          <w:sz w:val="21"/>
          <w:szCs w:val="21"/>
        </w:rPr>
      </w:pPr>
      <w:r w:rsidRPr="009F3A16">
        <w:rPr>
          <w:sz w:val="21"/>
          <w:szCs w:val="21"/>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9F3A16">
        <w:rPr>
          <w:sz w:val="21"/>
          <w:szCs w:val="21"/>
        </w:rPr>
        <w:t>deed.en</w:t>
      </w:r>
      <w:proofErr w:type="spellEnd"/>
      <w:r w:rsidRPr="009F3A16">
        <w:rPr>
          <w:sz w:val="21"/>
          <w:szCs w:val="21"/>
        </w:rPr>
        <w:t>. The full licence terms are available from creativecommons.org/licenses/by/3.0/au/</w:t>
      </w:r>
      <w:proofErr w:type="spellStart"/>
      <w:r w:rsidRPr="009F3A16">
        <w:rPr>
          <w:sz w:val="21"/>
          <w:szCs w:val="21"/>
        </w:rPr>
        <w:t>legalcode</w:t>
      </w:r>
      <w:proofErr w:type="spellEnd"/>
      <w:r w:rsidRPr="009F3A16">
        <w:rPr>
          <w:sz w:val="21"/>
          <w:szCs w:val="21"/>
        </w:rPr>
        <w:t>.</w:t>
      </w:r>
    </w:p>
    <w:p w14:paraId="15E9FDB9" w14:textId="13A29EF8" w:rsidR="00806F49" w:rsidRPr="009F3A16" w:rsidRDefault="005D2608" w:rsidP="00315A8A">
      <w:pPr>
        <w:rPr>
          <w:sz w:val="21"/>
          <w:szCs w:val="21"/>
        </w:rPr>
      </w:pPr>
      <w:r w:rsidRPr="005D2608">
        <w:rPr>
          <w:sz w:val="21"/>
          <w:szCs w:val="21"/>
        </w:rPr>
        <w:t>This publication (and any material sourced from it) should be attributed as: Approved Arrangements section, 2017, Approved arrangement for Class 13.1 Second conveyance requirements, (Approved arrangement for Class 13.1 Second conveyance requirements prepared for the Department of Agriculture</w:t>
      </w:r>
      <w:r w:rsidR="00E16294">
        <w:rPr>
          <w:sz w:val="21"/>
          <w:szCs w:val="21"/>
        </w:rPr>
        <w:t>,</w:t>
      </w:r>
      <w:r w:rsidRPr="005D2608">
        <w:rPr>
          <w:sz w:val="21"/>
          <w:szCs w:val="21"/>
        </w:rPr>
        <w:t xml:space="preserve"> </w:t>
      </w:r>
      <w:proofErr w:type="gramStart"/>
      <w:r w:rsidRPr="005D2608">
        <w:rPr>
          <w:sz w:val="21"/>
          <w:szCs w:val="21"/>
        </w:rPr>
        <w:t>Water</w:t>
      </w:r>
      <w:proofErr w:type="gramEnd"/>
      <w:r w:rsidRPr="005D2608">
        <w:rPr>
          <w:sz w:val="21"/>
          <w:szCs w:val="21"/>
        </w:rPr>
        <w:t xml:space="preserve"> </w:t>
      </w:r>
      <w:r w:rsidR="00E16294">
        <w:rPr>
          <w:sz w:val="21"/>
          <w:szCs w:val="21"/>
        </w:rPr>
        <w:t>and the Environment</w:t>
      </w:r>
      <w:r w:rsidRPr="005D2608">
        <w:rPr>
          <w:sz w:val="21"/>
          <w:szCs w:val="21"/>
        </w:rPr>
        <w:t>), Canberra.</w:t>
      </w:r>
    </w:p>
    <w:p w14:paraId="4CB74F50" w14:textId="3E98A741" w:rsidR="00806F49" w:rsidRPr="009F3A16" w:rsidRDefault="00806F49" w:rsidP="00315A8A">
      <w:pPr>
        <w:rPr>
          <w:b/>
          <w:sz w:val="21"/>
          <w:szCs w:val="21"/>
        </w:rPr>
      </w:pPr>
      <w:r w:rsidRPr="009F3A16">
        <w:rPr>
          <w:b/>
          <w:sz w:val="21"/>
          <w:szCs w:val="21"/>
        </w:rPr>
        <w:t>Department of Agriculture</w:t>
      </w:r>
      <w:r w:rsidR="00E16294">
        <w:rPr>
          <w:b/>
          <w:sz w:val="21"/>
          <w:szCs w:val="21"/>
        </w:rPr>
        <w:t>,</w:t>
      </w:r>
      <w:r w:rsidRPr="009F3A16">
        <w:rPr>
          <w:b/>
          <w:sz w:val="21"/>
          <w:szCs w:val="21"/>
        </w:rPr>
        <w:t xml:space="preserve"> </w:t>
      </w:r>
      <w:proofErr w:type="gramStart"/>
      <w:r w:rsidRPr="009F3A16">
        <w:rPr>
          <w:b/>
          <w:sz w:val="21"/>
          <w:szCs w:val="21"/>
        </w:rPr>
        <w:t>Water</w:t>
      </w:r>
      <w:proofErr w:type="gramEnd"/>
      <w:r w:rsidRPr="009F3A16">
        <w:rPr>
          <w:b/>
          <w:sz w:val="21"/>
          <w:szCs w:val="21"/>
        </w:rPr>
        <w:t xml:space="preserve"> </w:t>
      </w:r>
      <w:r w:rsidR="00E16294">
        <w:rPr>
          <w:b/>
          <w:sz w:val="21"/>
          <w:szCs w:val="21"/>
        </w:rPr>
        <w:t>and the Environment</w:t>
      </w:r>
    </w:p>
    <w:p w14:paraId="11699495" w14:textId="77777777" w:rsidR="00315A8A" w:rsidRDefault="00806F49" w:rsidP="00315A8A">
      <w:pPr>
        <w:rPr>
          <w:sz w:val="21"/>
          <w:szCs w:val="21"/>
        </w:rPr>
      </w:pPr>
      <w:r w:rsidRPr="009F3A16">
        <w:rPr>
          <w:sz w:val="21"/>
          <w:szCs w:val="21"/>
        </w:rPr>
        <w:t>Postal address GPO Box 858</w:t>
      </w:r>
    </w:p>
    <w:p w14:paraId="2738DD92" w14:textId="1EF3FE25" w:rsidR="00806F49" w:rsidRPr="009F3A16" w:rsidRDefault="00806F49" w:rsidP="00315A8A">
      <w:pPr>
        <w:rPr>
          <w:sz w:val="21"/>
          <w:szCs w:val="21"/>
        </w:rPr>
      </w:pPr>
      <w:r w:rsidRPr="009F3A16">
        <w:rPr>
          <w:sz w:val="21"/>
          <w:szCs w:val="21"/>
        </w:rPr>
        <w:t>Canberra ACT 2601</w:t>
      </w:r>
    </w:p>
    <w:p w14:paraId="4B98FEC8" w14:textId="3E95914E" w:rsidR="00806F49" w:rsidRPr="009F3A16" w:rsidRDefault="00E16294" w:rsidP="00315A8A">
      <w:pPr>
        <w:rPr>
          <w:sz w:val="21"/>
          <w:szCs w:val="21"/>
        </w:rPr>
      </w:pPr>
      <w:r>
        <w:rPr>
          <w:sz w:val="21"/>
          <w:szCs w:val="21"/>
        </w:rPr>
        <w:t>Telephone</w:t>
      </w:r>
      <w:r w:rsidRPr="009F3A16">
        <w:rPr>
          <w:sz w:val="21"/>
          <w:szCs w:val="21"/>
        </w:rPr>
        <w:t xml:space="preserve"> </w:t>
      </w:r>
      <w:r>
        <w:rPr>
          <w:sz w:val="21"/>
          <w:szCs w:val="21"/>
        </w:rPr>
        <w:t>1800 900 090</w:t>
      </w:r>
    </w:p>
    <w:p w14:paraId="47732934" w14:textId="0AF432E9" w:rsidR="00806F49" w:rsidRPr="009F3A16" w:rsidRDefault="00806F49" w:rsidP="00315A8A">
      <w:pPr>
        <w:rPr>
          <w:sz w:val="21"/>
          <w:szCs w:val="21"/>
        </w:rPr>
      </w:pPr>
      <w:r w:rsidRPr="009F3A16">
        <w:rPr>
          <w:sz w:val="21"/>
          <w:szCs w:val="21"/>
        </w:rPr>
        <w:t xml:space="preserve">Web </w:t>
      </w:r>
      <w:hyperlink r:id="rId12" w:history="1">
        <w:r w:rsidR="00E16294">
          <w:rPr>
            <w:rStyle w:val="Hyperlink"/>
            <w:rFonts w:cstheme="majorHAnsi"/>
            <w:sz w:val="21"/>
            <w:szCs w:val="21"/>
          </w:rPr>
          <w:t>awe</w:t>
        </w:r>
        <w:r w:rsidRPr="009F3A16">
          <w:rPr>
            <w:rStyle w:val="Hyperlink"/>
            <w:rFonts w:cstheme="majorHAnsi"/>
            <w:sz w:val="21"/>
            <w:szCs w:val="21"/>
          </w:rPr>
          <w:t>.gov.au</w:t>
        </w:r>
      </w:hyperlink>
    </w:p>
    <w:p w14:paraId="280094F8" w14:textId="77777777" w:rsidR="00806F49" w:rsidRPr="009F3A16" w:rsidRDefault="00806F49" w:rsidP="00315A8A">
      <w:pPr>
        <w:rPr>
          <w:sz w:val="21"/>
          <w:szCs w:val="21"/>
        </w:rPr>
      </w:pPr>
      <w:r w:rsidRPr="009F3A16">
        <w:rPr>
          <w:sz w:val="21"/>
          <w:szCs w:val="21"/>
        </w:rPr>
        <w:t xml:space="preserve">Inquiries regarding the licence and any use of this document should be sent to: </w:t>
      </w:r>
      <w:hyperlink r:id="rId13" w:history="1">
        <w:r w:rsidRPr="009F3A16">
          <w:rPr>
            <w:rStyle w:val="Hyperlink"/>
            <w:rFonts w:cstheme="majorHAnsi"/>
            <w:sz w:val="21"/>
            <w:szCs w:val="21"/>
          </w:rPr>
          <w:t>copyright@agriculture.gov.au</w:t>
        </w:r>
      </w:hyperlink>
      <w:r w:rsidRPr="009F3A16">
        <w:rPr>
          <w:sz w:val="21"/>
          <w:szCs w:val="21"/>
        </w:rPr>
        <w:t>.</w:t>
      </w:r>
    </w:p>
    <w:p w14:paraId="395FC935" w14:textId="3BED50A7" w:rsidR="00806F49" w:rsidRPr="009F3A16" w:rsidRDefault="00806F49" w:rsidP="00315A8A">
      <w:pPr>
        <w:rPr>
          <w:sz w:val="21"/>
          <w:szCs w:val="21"/>
        </w:rPr>
      </w:pPr>
      <w:r w:rsidRPr="009F3A16">
        <w:rPr>
          <w:sz w:val="21"/>
          <w:szCs w:val="21"/>
        </w:rPr>
        <w:t>The Australian Government acting through the Department of Agriculture</w:t>
      </w:r>
      <w:r w:rsidR="00E16294">
        <w:rPr>
          <w:sz w:val="21"/>
          <w:szCs w:val="21"/>
        </w:rPr>
        <w:t>,</w:t>
      </w:r>
      <w:r w:rsidRPr="009F3A16">
        <w:rPr>
          <w:sz w:val="21"/>
          <w:szCs w:val="21"/>
        </w:rPr>
        <w:t xml:space="preserve"> Water </w:t>
      </w:r>
      <w:r w:rsidR="00E16294">
        <w:rPr>
          <w:sz w:val="21"/>
          <w:szCs w:val="21"/>
        </w:rPr>
        <w:t>and the Environment</w:t>
      </w:r>
      <w:r w:rsidR="00E16294" w:rsidRPr="009F3A16">
        <w:rPr>
          <w:sz w:val="21"/>
          <w:szCs w:val="21"/>
        </w:rPr>
        <w:t xml:space="preserve"> </w:t>
      </w:r>
      <w:r w:rsidRPr="009F3A16">
        <w:rPr>
          <w:sz w:val="21"/>
          <w:szCs w:val="21"/>
        </w:rPr>
        <w:t xml:space="preserve">has exercised due care and skill in the preparation and compilation of the information and data in this publication. Notwithstanding, the department, its employees and advisers disclaim all liability, including liability for negligence, for any loss, damage, injury, </w:t>
      </w:r>
      <w:proofErr w:type="gramStart"/>
      <w:r w:rsidRPr="009F3A16">
        <w:rPr>
          <w:sz w:val="21"/>
          <w:szCs w:val="21"/>
        </w:rPr>
        <w:t>expense</w:t>
      </w:r>
      <w:proofErr w:type="gramEnd"/>
      <w:r w:rsidRPr="009F3A16">
        <w:rPr>
          <w:sz w:val="21"/>
          <w:szCs w:val="21"/>
        </w:rPr>
        <w:t xml:space="preserve"> or cost incurred by any person as a result of accessing, using or relying upon any of the information or data in this publication to the maximum extent permitted by law.</w:t>
      </w:r>
    </w:p>
    <w:p w14:paraId="2AB6CB4D" w14:textId="77777777" w:rsidR="00806F49" w:rsidRPr="00315A8A" w:rsidRDefault="00806F49" w:rsidP="00315A8A">
      <w:pPr>
        <w:rPr>
          <w:rStyle w:val="Strong"/>
        </w:rPr>
      </w:pPr>
      <w:bookmarkStart w:id="1" w:name="_Toc451349357"/>
      <w:r w:rsidRPr="00315A8A">
        <w:rPr>
          <w:rStyle w:val="Strong"/>
        </w:rPr>
        <w:t>Version control</w:t>
      </w:r>
      <w:bookmarkEnd w:id="1"/>
    </w:p>
    <w:p w14:paraId="4F05FF17" w14:textId="53527F8C" w:rsidR="00806F49" w:rsidRPr="00315A8A" w:rsidRDefault="00806F49" w:rsidP="00315A8A">
      <w:pPr>
        <w:rPr>
          <w:sz w:val="21"/>
          <w:szCs w:val="21"/>
        </w:rPr>
      </w:pPr>
      <w:r w:rsidRPr="009F3A16">
        <w:rPr>
          <w:sz w:val="21"/>
          <w:szCs w:val="21"/>
        </w:rPr>
        <w:t>Updates to this document will occur automatically on the department’s website and the revision table below will list the a</w:t>
      </w:r>
      <w:r w:rsidR="00917D4E" w:rsidRPr="009F3A16">
        <w:rPr>
          <w:sz w:val="21"/>
          <w:szCs w:val="21"/>
        </w:rPr>
        <w:t>mendments as they are approved.</w:t>
      </w:r>
    </w:p>
    <w:tbl>
      <w:tblPr>
        <w:tblW w:w="10100" w:type="dxa"/>
        <w:tblBorders>
          <w:top w:val="single" w:sz="4" w:space="0" w:color="auto"/>
          <w:bottom w:val="single" w:sz="4" w:space="0" w:color="auto"/>
        </w:tblBorders>
        <w:tblLayout w:type="fixed"/>
        <w:tblLook w:val="04A0" w:firstRow="1" w:lastRow="0" w:firstColumn="1" w:lastColumn="0" w:noHBand="0" w:noVBand="1"/>
      </w:tblPr>
      <w:tblGrid>
        <w:gridCol w:w="1192"/>
        <w:gridCol w:w="1044"/>
        <w:gridCol w:w="4770"/>
        <w:gridCol w:w="3094"/>
      </w:tblGrid>
      <w:tr w:rsidR="007A108C" w:rsidRPr="00C10BEB" w14:paraId="33B67075" w14:textId="77777777" w:rsidTr="009F3A16">
        <w:trPr>
          <w:trHeight w:val="725"/>
          <w:tblHeader/>
        </w:trPr>
        <w:tc>
          <w:tcPr>
            <w:tcW w:w="1192" w:type="dxa"/>
            <w:tcBorders>
              <w:top w:val="single" w:sz="12" w:space="0" w:color="C00000"/>
              <w:left w:val="nil"/>
              <w:bottom w:val="single" w:sz="12" w:space="0" w:color="C00000"/>
              <w:right w:val="nil"/>
            </w:tcBorders>
            <w:shd w:val="clear" w:color="auto" w:fill="F2DBDB" w:themeFill="accent2" w:themeFillTint="33"/>
            <w:vAlign w:val="center"/>
          </w:tcPr>
          <w:bookmarkEnd w:id="0"/>
          <w:p w14:paraId="341802AD" w14:textId="311B6E36" w:rsidR="007A108C" w:rsidRPr="00C10BEB" w:rsidRDefault="007A108C" w:rsidP="00315A8A">
            <w:pPr>
              <w:pStyle w:val="TableHeading"/>
            </w:pPr>
            <w:r w:rsidRPr="00C10BEB">
              <w:lastRenderedPageBreak/>
              <w:t>Date</w:t>
            </w:r>
          </w:p>
        </w:tc>
        <w:tc>
          <w:tcPr>
            <w:tcW w:w="1044" w:type="dxa"/>
            <w:tcBorders>
              <w:top w:val="single" w:sz="12" w:space="0" w:color="C00000"/>
              <w:left w:val="nil"/>
              <w:bottom w:val="single" w:sz="12" w:space="0" w:color="C00000"/>
              <w:right w:val="nil"/>
            </w:tcBorders>
            <w:shd w:val="clear" w:color="auto" w:fill="F2DBDB" w:themeFill="accent2" w:themeFillTint="33"/>
            <w:vAlign w:val="center"/>
          </w:tcPr>
          <w:p w14:paraId="182B8137" w14:textId="77777777" w:rsidR="007A108C" w:rsidRPr="00C10BEB" w:rsidRDefault="007A108C" w:rsidP="00315A8A">
            <w:pPr>
              <w:pStyle w:val="TableHeading"/>
            </w:pPr>
            <w:r w:rsidRPr="00C10BEB">
              <w:t>Version</w:t>
            </w:r>
          </w:p>
        </w:tc>
        <w:tc>
          <w:tcPr>
            <w:tcW w:w="4770" w:type="dxa"/>
            <w:tcBorders>
              <w:top w:val="single" w:sz="12" w:space="0" w:color="C00000"/>
              <w:left w:val="nil"/>
              <w:bottom w:val="single" w:sz="12" w:space="0" w:color="C0504D" w:themeColor="accent2"/>
              <w:right w:val="nil"/>
            </w:tcBorders>
            <w:shd w:val="clear" w:color="auto" w:fill="F2DBDB" w:themeFill="accent2" w:themeFillTint="33"/>
            <w:vAlign w:val="center"/>
          </w:tcPr>
          <w:p w14:paraId="5808D0B4" w14:textId="77777777" w:rsidR="007A108C" w:rsidRPr="00C10BEB" w:rsidRDefault="007A108C" w:rsidP="00315A8A">
            <w:pPr>
              <w:pStyle w:val="TableHeading"/>
            </w:pPr>
            <w:r w:rsidRPr="00C10BEB">
              <w:t>Amendments</w:t>
            </w:r>
          </w:p>
        </w:tc>
        <w:tc>
          <w:tcPr>
            <w:tcW w:w="3094" w:type="dxa"/>
            <w:tcBorders>
              <w:top w:val="single" w:sz="12" w:space="0" w:color="C00000"/>
              <w:left w:val="nil"/>
              <w:bottom w:val="single" w:sz="12" w:space="0" w:color="C00000"/>
              <w:right w:val="nil"/>
            </w:tcBorders>
            <w:shd w:val="clear" w:color="auto" w:fill="F2DBDB" w:themeFill="accent2" w:themeFillTint="33"/>
            <w:vAlign w:val="center"/>
          </w:tcPr>
          <w:p w14:paraId="653B6C4B" w14:textId="77777777" w:rsidR="007A108C" w:rsidRPr="00C10BEB" w:rsidRDefault="007A108C" w:rsidP="00315A8A">
            <w:pPr>
              <w:pStyle w:val="TableHeading"/>
            </w:pPr>
            <w:r w:rsidRPr="00C10BEB">
              <w:t>Approved by</w:t>
            </w:r>
          </w:p>
        </w:tc>
      </w:tr>
      <w:tr w:rsidR="007A108C" w:rsidRPr="00C10BEB" w14:paraId="7BFBE595" w14:textId="77777777" w:rsidTr="009F3A16">
        <w:trPr>
          <w:trHeight w:val="669"/>
          <w:tblHeader/>
        </w:trPr>
        <w:tc>
          <w:tcPr>
            <w:tcW w:w="1192" w:type="dxa"/>
            <w:tcBorders>
              <w:top w:val="single" w:sz="12" w:space="0" w:color="C00000"/>
              <w:left w:val="nil"/>
              <w:bottom w:val="single" w:sz="2" w:space="0" w:color="auto"/>
              <w:right w:val="nil"/>
            </w:tcBorders>
            <w:vAlign w:val="center"/>
          </w:tcPr>
          <w:p w14:paraId="790511F7" w14:textId="77777777" w:rsidR="007A108C" w:rsidRPr="007E17AF" w:rsidRDefault="007A108C" w:rsidP="00315A8A">
            <w:pPr>
              <w:pStyle w:val="TableText"/>
            </w:pPr>
          </w:p>
        </w:tc>
        <w:tc>
          <w:tcPr>
            <w:tcW w:w="1044" w:type="dxa"/>
            <w:tcBorders>
              <w:top w:val="single" w:sz="12" w:space="0" w:color="C00000"/>
              <w:left w:val="nil"/>
              <w:bottom w:val="single" w:sz="2" w:space="0" w:color="auto"/>
              <w:right w:val="nil"/>
            </w:tcBorders>
            <w:shd w:val="clear" w:color="auto" w:fill="auto"/>
            <w:vAlign w:val="center"/>
          </w:tcPr>
          <w:p w14:paraId="528F2C49" w14:textId="77777777" w:rsidR="007A108C" w:rsidRPr="007E17AF" w:rsidRDefault="007A108C" w:rsidP="00315A8A">
            <w:pPr>
              <w:pStyle w:val="TableText"/>
            </w:pPr>
            <w:r w:rsidRPr="007E17AF">
              <w:t>1.0</w:t>
            </w:r>
          </w:p>
        </w:tc>
        <w:tc>
          <w:tcPr>
            <w:tcW w:w="4770" w:type="dxa"/>
            <w:tcBorders>
              <w:top w:val="single" w:sz="12" w:space="0" w:color="C0504D" w:themeColor="accent2"/>
              <w:left w:val="nil"/>
              <w:bottom w:val="single" w:sz="2" w:space="0" w:color="auto"/>
              <w:right w:val="nil"/>
            </w:tcBorders>
            <w:vAlign w:val="center"/>
          </w:tcPr>
          <w:p w14:paraId="59A2DA97" w14:textId="77777777" w:rsidR="007A108C" w:rsidRPr="007E17AF" w:rsidRDefault="007A108C" w:rsidP="00315A8A">
            <w:pPr>
              <w:pStyle w:val="TableText"/>
            </w:pPr>
            <w:r w:rsidRPr="007E17AF">
              <w:t>First Release</w:t>
            </w:r>
          </w:p>
        </w:tc>
        <w:tc>
          <w:tcPr>
            <w:tcW w:w="3094" w:type="dxa"/>
            <w:tcBorders>
              <w:top w:val="single" w:sz="12" w:space="0" w:color="C00000"/>
              <w:left w:val="nil"/>
              <w:bottom w:val="single" w:sz="2" w:space="0" w:color="auto"/>
              <w:right w:val="nil"/>
            </w:tcBorders>
            <w:shd w:val="clear" w:color="auto" w:fill="auto"/>
            <w:vAlign w:val="center"/>
          </w:tcPr>
          <w:p w14:paraId="57A8A62D" w14:textId="77777777" w:rsidR="007A108C" w:rsidRPr="007E17AF" w:rsidRDefault="007A108C" w:rsidP="00315A8A">
            <w:pPr>
              <w:pStyle w:val="TableText"/>
            </w:pPr>
            <w:r w:rsidRPr="007E17AF">
              <w:t>Compliance Partnerships section</w:t>
            </w:r>
          </w:p>
        </w:tc>
      </w:tr>
      <w:tr w:rsidR="007A108C" w:rsidRPr="00C10BEB" w14:paraId="0AA1D8AD" w14:textId="77777777" w:rsidTr="009F3A16">
        <w:trPr>
          <w:trHeight w:val="669"/>
          <w:tblHeader/>
        </w:trPr>
        <w:tc>
          <w:tcPr>
            <w:tcW w:w="1192" w:type="dxa"/>
            <w:tcBorders>
              <w:top w:val="single" w:sz="2" w:space="0" w:color="auto"/>
              <w:left w:val="nil"/>
              <w:bottom w:val="single" w:sz="2" w:space="0" w:color="auto"/>
              <w:right w:val="nil"/>
            </w:tcBorders>
            <w:vAlign w:val="center"/>
          </w:tcPr>
          <w:p w14:paraId="09A39226" w14:textId="77777777" w:rsidR="007A108C" w:rsidRPr="007E17AF" w:rsidRDefault="007A108C" w:rsidP="00315A8A">
            <w:pPr>
              <w:pStyle w:val="TableText"/>
            </w:pPr>
            <w:r w:rsidRPr="007E17AF">
              <w:t>May</w:t>
            </w:r>
            <w:r>
              <w:t xml:space="preserve"> </w:t>
            </w:r>
            <w:r w:rsidRPr="007E17AF">
              <w:t>2016</w:t>
            </w:r>
          </w:p>
        </w:tc>
        <w:tc>
          <w:tcPr>
            <w:tcW w:w="1044" w:type="dxa"/>
            <w:tcBorders>
              <w:top w:val="single" w:sz="2" w:space="0" w:color="auto"/>
              <w:left w:val="nil"/>
              <w:bottom w:val="single" w:sz="2" w:space="0" w:color="auto"/>
              <w:right w:val="nil"/>
            </w:tcBorders>
            <w:shd w:val="clear" w:color="auto" w:fill="auto"/>
            <w:vAlign w:val="center"/>
          </w:tcPr>
          <w:p w14:paraId="632A6996" w14:textId="77777777" w:rsidR="007A108C" w:rsidRPr="007E17AF" w:rsidRDefault="007A108C" w:rsidP="00315A8A">
            <w:pPr>
              <w:pStyle w:val="TableText"/>
            </w:pPr>
            <w:r w:rsidRPr="007E17AF">
              <w:t>2.0</w:t>
            </w:r>
          </w:p>
        </w:tc>
        <w:tc>
          <w:tcPr>
            <w:tcW w:w="4770" w:type="dxa"/>
            <w:tcBorders>
              <w:top w:val="single" w:sz="2" w:space="0" w:color="auto"/>
              <w:left w:val="nil"/>
              <w:bottom w:val="single" w:sz="2" w:space="0" w:color="auto"/>
              <w:right w:val="nil"/>
            </w:tcBorders>
            <w:vAlign w:val="center"/>
          </w:tcPr>
          <w:p w14:paraId="6D2178A8" w14:textId="77777777" w:rsidR="007A108C" w:rsidRPr="007E17AF" w:rsidRDefault="007A108C" w:rsidP="00315A8A">
            <w:pPr>
              <w:pStyle w:val="TableText"/>
            </w:pPr>
            <w:r w:rsidRPr="007E17AF">
              <w:t>Post-consultation amendments</w:t>
            </w:r>
          </w:p>
        </w:tc>
        <w:tc>
          <w:tcPr>
            <w:tcW w:w="3094" w:type="dxa"/>
            <w:tcBorders>
              <w:top w:val="single" w:sz="2" w:space="0" w:color="auto"/>
              <w:left w:val="nil"/>
              <w:bottom w:val="single" w:sz="2" w:space="0" w:color="auto"/>
              <w:right w:val="nil"/>
            </w:tcBorders>
            <w:shd w:val="clear" w:color="auto" w:fill="auto"/>
            <w:vAlign w:val="center"/>
          </w:tcPr>
          <w:p w14:paraId="381EA4B7" w14:textId="77777777" w:rsidR="007A108C" w:rsidRPr="007E17AF" w:rsidRDefault="007A108C" w:rsidP="00315A8A">
            <w:pPr>
              <w:pStyle w:val="TableText"/>
            </w:pPr>
            <w:r w:rsidRPr="007E17AF">
              <w:t>Approved Arrangements section</w:t>
            </w:r>
          </w:p>
        </w:tc>
      </w:tr>
      <w:tr w:rsidR="007A108C" w:rsidRPr="00C10BEB" w14:paraId="7CBFF504" w14:textId="77777777" w:rsidTr="009F3A16">
        <w:trPr>
          <w:trHeight w:val="654"/>
          <w:tblHeader/>
        </w:trPr>
        <w:tc>
          <w:tcPr>
            <w:tcW w:w="1192" w:type="dxa"/>
            <w:tcBorders>
              <w:top w:val="single" w:sz="2" w:space="0" w:color="auto"/>
              <w:left w:val="nil"/>
              <w:bottom w:val="single" w:sz="2" w:space="0" w:color="auto"/>
              <w:right w:val="nil"/>
            </w:tcBorders>
            <w:vAlign w:val="center"/>
          </w:tcPr>
          <w:p w14:paraId="7E02104D" w14:textId="77777777" w:rsidR="007A108C" w:rsidRPr="007E17AF" w:rsidRDefault="007A108C" w:rsidP="00315A8A">
            <w:pPr>
              <w:pStyle w:val="TableText"/>
            </w:pPr>
            <w:r w:rsidRPr="007E17AF">
              <w:t>May 2016</w:t>
            </w:r>
          </w:p>
        </w:tc>
        <w:tc>
          <w:tcPr>
            <w:tcW w:w="1044" w:type="dxa"/>
            <w:tcBorders>
              <w:top w:val="single" w:sz="2" w:space="0" w:color="auto"/>
              <w:left w:val="nil"/>
              <w:bottom w:val="single" w:sz="2" w:space="0" w:color="auto"/>
              <w:right w:val="nil"/>
            </w:tcBorders>
            <w:shd w:val="clear" w:color="auto" w:fill="auto"/>
            <w:vAlign w:val="center"/>
          </w:tcPr>
          <w:p w14:paraId="303867AA" w14:textId="77777777" w:rsidR="007A108C" w:rsidRPr="007E17AF" w:rsidRDefault="007A108C" w:rsidP="00315A8A">
            <w:pPr>
              <w:pStyle w:val="TableText"/>
            </w:pPr>
            <w:r w:rsidRPr="007E17AF">
              <w:t>2.1</w:t>
            </w:r>
          </w:p>
        </w:tc>
        <w:tc>
          <w:tcPr>
            <w:tcW w:w="4770" w:type="dxa"/>
            <w:tcBorders>
              <w:top w:val="single" w:sz="2" w:space="0" w:color="auto"/>
              <w:left w:val="nil"/>
              <w:bottom w:val="single" w:sz="2" w:space="0" w:color="auto"/>
              <w:right w:val="nil"/>
            </w:tcBorders>
            <w:vAlign w:val="center"/>
          </w:tcPr>
          <w:p w14:paraId="7EEDAAD0" w14:textId="77777777" w:rsidR="007A108C" w:rsidRPr="007E17AF" w:rsidRDefault="007A108C" w:rsidP="00315A8A">
            <w:pPr>
              <w:pStyle w:val="TableText"/>
            </w:pPr>
            <w:r w:rsidRPr="007E17AF">
              <w:t>Addition of reference to ‘Listed Human Diseases’</w:t>
            </w:r>
          </w:p>
        </w:tc>
        <w:tc>
          <w:tcPr>
            <w:tcW w:w="3094" w:type="dxa"/>
            <w:tcBorders>
              <w:top w:val="single" w:sz="2" w:space="0" w:color="auto"/>
              <w:left w:val="nil"/>
              <w:bottom w:val="single" w:sz="2" w:space="0" w:color="auto"/>
              <w:right w:val="nil"/>
            </w:tcBorders>
            <w:shd w:val="clear" w:color="auto" w:fill="auto"/>
            <w:vAlign w:val="center"/>
          </w:tcPr>
          <w:p w14:paraId="7EBEE764" w14:textId="77777777" w:rsidR="007A108C" w:rsidRPr="007E17AF" w:rsidRDefault="007A108C" w:rsidP="00315A8A">
            <w:pPr>
              <w:pStyle w:val="TableText"/>
            </w:pPr>
            <w:r w:rsidRPr="007E17AF">
              <w:t>Approved Arrangements section</w:t>
            </w:r>
          </w:p>
        </w:tc>
      </w:tr>
      <w:tr w:rsidR="007A108C" w:rsidRPr="00C10BEB" w14:paraId="4D41AACF" w14:textId="77777777" w:rsidTr="009F3A16">
        <w:trPr>
          <w:trHeight w:val="1830"/>
          <w:tblHeader/>
        </w:trPr>
        <w:tc>
          <w:tcPr>
            <w:tcW w:w="1192" w:type="dxa"/>
            <w:tcBorders>
              <w:top w:val="single" w:sz="2" w:space="0" w:color="auto"/>
              <w:left w:val="nil"/>
              <w:bottom w:val="single" w:sz="2" w:space="0" w:color="auto"/>
              <w:right w:val="nil"/>
            </w:tcBorders>
            <w:vAlign w:val="center"/>
          </w:tcPr>
          <w:p w14:paraId="6B2786DF" w14:textId="5A0C2E9B" w:rsidR="007A108C" w:rsidRPr="007E17AF" w:rsidRDefault="00315A8A" w:rsidP="00315A8A">
            <w:pPr>
              <w:pStyle w:val="TableText"/>
            </w:pPr>
            <w:r>
              <w:t>May 2016</w:t>
            </w:r>
          </w:p>
        </w:tc>
        <w:tc>
          <w:tcPr>
            <w:tcW w:w="1044" w:type="dxa"/>
            <w:tcBorders>
              <w:top w:val="single" w:sz="2" w:space="0" w:color="auto"/>
              <w:left w:val="nil"/>
              <w:bottom w:val="single" w:sz="2" w:space="0" w:color="auto"/>
              <w:right w:val="nil"/>
            </w:tcBorders>
            <w:shd w:val="clear" w:color="auto" w:fill="auto"/>
            <w:vAlign w:val="center"/>
          </w:tcPr>
          <w:p w14:paraId="666E12EB" w14:textId="77777777" w:rsidR="007A108C" w:rsidRPr="007E17AF" w:rsidRDefault="007A108C" w:rsidP="00315A8A">
            <w:pPr>
              <w:pStyle w:val="TableText"/>
            </w:pPr>
            <w:r w:rsidRPr="007E17AF">
              <w:t>3.0</w:t>
            </w:r>
          </w:p>
        </w:tc>
        <w:tc>
          <w:tcPr>
            <w:tcW w:w="4770" w:type="dxa"/>
            <w:tcBorders>
              <w:top w:val="single" w:sz="2" w:space="0" w:color="auto"/>
              <w:left w:val="nil"/>
              <w:bottom w:val="single" w:sz="2" w:space="0" w:color="auto"/>
              <w:right w:val="nil"/>
            </w:tcBorders>
            <w:vAlign w:val="center"/>
          </w:tcPr>
          <w:p w14:paraId="27D8AF98" w14:textId="77777777" w:rsidR="007A108C" w:rsidRPr="007E17AF" w:rsidRDefault="007A108C" w:rsidP="00315A8A">
            <w:pPr>
              <w:pStyle w:val="TableBullet"/>
            </w:pPr>
            <w:r w:rsidRPr="007E17AF">
              <w:t>Change to international goods definition</w:t>
            </w:r>
            <w:r>
              <w:t>.</w:t>
            </w:r>
          </w:p>
          <w:p w14:paraId="3ED5151D" w14:textId="77777777" w:rsidR="007A108C" w:rsidRPr="007E17AF" w:rsidRDefault="007A108C" w:rsidP="00315A8A">
            <w:pPr>
              <w:pStyle w:val="TableBullet"/>
            </w:pPr>
            <w:r w:rsidRPr="007E17AF">
              <w:t>Addition of requirements to manage risks associated with expansio</w:t>
            </w:r>
            <w:r>
              <w:t xml:space="preserve">n of goods eligible for receipt and </w:t>
            </w:r>
            <w:r w:rsidRPr="007E17AF">
              <w:t>for the reporting of intent to transfer to an exposed conveyance and land waste and/or used goods in Australian Territory.</w:t>
            </w:r>
          </w:p>
        </w:tc>
        <w:tc>
          <w:tcPr>
            <w:tcW w:w="3094" w:type="dxa"/>
            <w:tcBorders>
              <w:top w:val="single" w:sz="2" w:space="0" w:color="auto"/>
              <w:left w:val="nil"/>
              <w:bottom w:val="single" w:sz="2" w:space="0" w:color="auto"/>
              <w:right w:val="nil"/>
            </w:tcBorders>
            <w:shd w:val="clear" w:color="auto" w:fill="auto"/>
            <w:vAlign w:val="center"/>
          </w:tcPr>
          <w:p w14:paraId="0F97CA89" w14:textId="77777777" w:rsidR="007A108C" w:rsidRPr="007E17AF" w:rsidRDefault="007A108C" w:rsidP="00315A8A">
            <w:pPr>
              <w:pStyle w:val="TableText"/>
            </w:pPr>
            <w:r w:rsidRPr="007E17AF">
              <w:t>Approved Arrangements section</w:t>
            </w:r>
          </w:p>
        </w:tc>
      </w:tr>
      <w:tr w:rsidR="007A108C" w:rsidRPr="00C10BEB" w14:paraId="67475998" w14:textId="77777777" w:rsidTr="005D2608">
        <w:trPr>
          <w:trHeight w:val="877"/>
          <w:tblHeader/>
        </w:trPr>
        <w:tc>
          <w:tcPr>
            <w:tcW w:w="1192" w:type="dxa"/>
            <w:tcBorders>
              <w:top w:val="single" w:sz="2" w:space="0" w:color="auto"/>
              <w:left w:val="nil"/>
              <w:bottom w:val="single" w:sz="2" w:space="0" w:color="auto"/>
              <w:right w:val="nil"/>
            </w:tcBorders>
            <w:vAlign w:val="center"/>
          </w:tcPr>
          <w:p w14:paraId="6B429426" w14:textId="77777777" w:rsidR="007A108C" w:rsidRPr="007E17AF" w:rsidRDefault="007A108C" w:rsidP="00315A8A">
            <w:pPr>
              <w:pStyle w:val="TableText"/>
            </w:pPr>
            <w:r>
              <w:t>June</w:t>
            </w:r>
            <w:r w:rsidRPr="007E17AF">
              <w:t xml:space="preserve"> 2016</w:t>
            </w:r>
          </w:p>
        </w:tc>
        <w:tc>
          <w:tcPr>
            <w:tcW w:w="1044" w:type="dxa"/>
            <w:tcBorders>
              <w:top w:val="single" w:sz="2" w:space="0" w:color="auto"/>
              <w:left w:val="nil"/>
              <w:bottom w:val="single" w:sz="2" w:space="0" w:color="auto"/>
              <w:right w:val="nil"/>
            </w:tcBorders>
            <w:shd w:val="clear" w:color="auto" w:fill="auto"/>
            <w:vAlign w:val="center"/>
          </w:tcPr>
          <w:p w14:paraId="743A648C" w14:textId="77777777" w:rsidR="007A108C" w:rsidRPr="007E17AF" w:rsidRDefault="007A108C" w:rsidP="00315A8A">
            <w:pPr>
              <w:pStyle w:val="TableText"/>
            </w:pPr>
            <w:r w:rsidRPr="007E17AF">
              <w:t>3.1</w:t>
            </w:r>
          </w:p>
        </w:tc>
        <w:tc>
          <w:tcPr>
            <w:tcW w:w="4770" w:type="dxa"/>
            <w:tcBorders>
              <w:top w:val="single" w:sz="2" w:space="0" w:color="auto"/>
              <w:left w:val="nil"/>
              <w:bottom w:val="single" w:sz="2" w:space="0" w:color="auto"/>
              <w:right w:val="nil"/>
            </w:tcBorders>
            <w:vAlign w:val="center"/>
          </w:tcPr>
          <w:p w14:paraId="7F303AAD" w14:textId="77777777" w:rsidR="007A108C" w:rsidRDefault="007A108C" w:rsidP="00315A8A">
            <w:pPr>
              <w:pStyle w:val="TableBullet"/>
            </w:pPr>
            <w:r w:rsidRPr="007E17AF">
              <w:t>Document formatting changes</w:t>
            </w:r>
            <w:r>
              <w:t>.</w:t>
            </w:r>
          </w:p>
          <w:p w14:paraId="78480DBC" w14:textId="77777777" w:rsidR="007A108C" w:rsidRPr="007E17AF" w:rsidRDefault="007A108C" w:rsidP="00315A8A">
            <w:pPr>
              <w:pStyle w:val="TableBullet"/>
            </w:pPr>
            <w:r>
              <w:t>Amendment to vector management requirements to provide clarification.</w:t>
            </w:r>
          </w:p>
        </w:tc>
        <w:tc>
          <w:tcPr>
            <w:tcW w:w="3094" w:type="dxa"/>
            <w:tcBorders>
              <w:top w:val="single" w:sz="2" w:space="0" w:color="auto"/>
              <w:left w:val="nil"/>
              <w:bottom w:val="single" w:sz="2" w:space="0" w:color="auto"/>
              <w:right w:val="nil"/>
            </w:tcBorders>
            <w:shd w:val="clear" w:color="auto" w:fill="auto"/>
            <w:vAlign w:val="center"/>
          </w:tcPr>
          <w:p w14:paraId="7F43CE1E" w14:textId="77777777" w:rsidR="007A108C" w:rsidRPr="007E17AF" w:rsidRDefault="007A108C" w:rsidP="00315A8A">
            <w:pPr>
              <w:pStyle w:val="TableText"/>
            </w:pPr>
            <w:r w:rsidRPr="007E17AF">
              <w:t>Approved Arrangements section</w:t>
            </w:r>
          </w:p>
        </w:tc>
      </w:tr>
      <w:tr w:rsidR="005D2608" w:rsidRPr="00C10BEB" w14:paraId="3F4B318C" w14:textId="77777777" w:rsidTr="00512BB6">
        <w:trPr>
          <w:trHeight w:val="877"/>
          <w:tblHeader/>
        </w:trPr>
        <w:tc>
          <w:tcPr>
            <w:tcW w:w="1192" w:type="dxa"/>
            <w:tcBorders>
              <w:top w:val="single" w:sz="2" w:space="0" w:color="auto"/>
              <w:left w:val="nil"/>
              <w:bottom w:val="single" w:sz="2" w:space="0" w:color="auto"/>
              <w:right w:val="nil"/>
            </w:tcBorders>
            <w:vAlign w:val="center"/>
          </w:tcPr>
          <w:p w14:paraId="2F3A143F" w14:textId="7871232C" w:rsidR="005D2608" w:rsidRDefault="005D2608" w:rsidP="00315A8A">
            <w:pPr>
              <w:pStyle w:val="TableText"/>
            </w:pPr>
            <w:r>
              <w:t>August 2017</w:t>
            </w:r>
          </w:p>
        </w:tc>
        <w:tc>
          <w:tcPr>
            <w:tcW w:w="1044" w:type="dxa"/>
            <w:tcBorders>
              <w:top w:val="single" w:sz="2" w:space="0" w:color="auto"/>
              <w:left w:val="nil"/>
              <w:bottom w:val="single" w:sz="2" w:space="0" w:color="auto"/>
              <w:right w:val="nil"/>
            </w:tcBorders>
            <w:shd w:val="clear" w:color="auto" w:fill="auto"/>
            <w:vAlign w:val="center"/>
          </w:tcPr>
          <w:p w14:paraId="62278189" w14:textId="650B99BD" w:rsidR="005D2608" w:rsidRPr="007E17AF" w:rsidRDefault="005D2608" w:rsidP="00315A8A">
            <w:pPr>
              <w:pStyle w:val="TableText"/>
            </w:pPr>
            <w:r>
              <w:t>3.2</w:t>
            </w:r>
          </w:p>
        </w:tc>
        <w:tc>
          <w:tcPr>
            <w:tcW w:w="4770" w:type="dxa"/>
            <w:tcBorders>
              <w:top w:val="single" w:sz="2" w:space="0" w:color="auto"/>
              <w:left w:val="nil"/>
              <w:bottom w:val="single" w:sz="2" w:space="0" w:color="auto"/>
              <w:right w:val="nil"/>
            </w:tcBorders>
            <w:vAlign w:val="center"/>
          </w:tcPr>
          <w:p w14:paraId="7364F358" w14:textId="23DB7997" w:rsidR="005D2608" w:rsidRPr="006A29A1" w:rsidRDefault="005D2608" w:rsidP="005D2608">
            <w:pPr>
              <w:pStyle w:val="TableBullet"/>
            </w:pPr>
            <w:r w:rsidRPr="006A29A1">
              <w:t>Amendment to definitions, and addition of requirements to support international provisioning of food (</w:t>
            </w:r>
            <w:r w:rsidR="00372BC4" w:rsidRPr="006A29A1">
              <w:t>s</w:t>
            </w:r>
            <w:r w:rsidRPr="006A29A1">
              <w:t>hip’s stores)</w:t>
            </w:r>
          </w:p>
          <w:p w14:paraId="6B6BBCBC" w14:textId="77777777" w:rsidR="005D2608" w:rsidRPr="006A29A1" w:rsidRDefault="005D2608" w:rsidP="005D2608">
            <w:pPr>
              <w:pStyle w:val="TableBullet"/>
            </w:pPr>
            <w:r w:rsidRPr="006A29A1">
              <w:t>Addition of record keeping requirements to manage interactions that impact eligibility to operate under the AA.</w:t>
            </w:r>
          </w:p>
          <w:p w14:paraId="20A15E01" w14:textId="39161764" w:rsidR="004D6E97" w:rsidRPr="007E17AF" w:rsidRDefault="004D6E97" w:rsidP="005D2608">
            <w:pPr>
              <w:pStyle w:val="TableBullet"/>
            </w:pPr>
            <w:r w:rsidRPr="006A29A1">
              <w:t>Amendment to content to address accessibility and style guide requirements</w:t>
            </w:r>
          </w:p>
        </w:tc>
        <w:tc>
          <w:tcPr>
            <w:tcW w:w="3094" w:type="dxa"/>
            <w:tcBorders>
              <w:top w:val="single" w:sz="2" w:space="0" w:color="auto"/>
              <w:left w:val="nil"/>
              <w:bottom w:val="single" w:sz="2" w:space="0" w:color="auto"/>
              <w:right w:val="nil"/>
            </w:tcBorders>
            <w:shd w:val="clear" w:color="auto" w:fill="auto"/>
            <w:vAlign w:val="center"/>
          </w:tcPr>
          <w:p w14:paraId="69A02227" w14:textId="4A608229" w:rsidR="005D2608" w:rsidRPr="007E17AF" w:rsidRDefault="005D2608" w:rsidP="00315A8A">
            <w:pPr>
              <w:pStyle w:val="TableText"/>
            </w:pPr>
            <w:r>
              <w:t>Approved Arrangements section</w:t>
            </w:r>
          </w:p>
        </w:tc>
      </w:tr>
      <w:tr w:rsidR="00396D1E" w:rsidRPr="00C10BEB" w14:paraId="4AB898BE" w14:textId="77777777" w:rsidTr="00E16294">
        <w:trPr>
          <w:trHeight w:val="877"/>
          <w:tblHeader/>
        </w:trPr>
        <w:tc>
          <w:tcPr>
            <w:tcW w:w="1192" w:type="dxa"/>
            <w:tcBorders>
              <w:top w:val="single" w:sz="2" w:space="0" w:color="auto"/>
              <w:left w:val="nil"/>
              <w:bottom w:val="single" w:sz="2" w:space="0" w:color="auto"/>
              <w:right w:val="nil"/>
            </w:tcBorders>
            <w:vAlign w:val="center"/>
          </w:tcPr>
          <w:p w14:paraId="14313AEF" w14:textId="26C8A098" w:rsidR="00396D1E" w:rsidRDefault="00396D1E" w:rsidP="00315A8A">
            <w:pPr>
              <w:pStyle w:val="TableText"/>
            </w:pPr>
            <w:r>
              <w:t xml:space="preserve">February 2018 </w:t>
            </w:r>
          </w:p>
        </w:tc>
        <w:tc>
          <w:tcPr>
            <w:tcW w:w="1044" w:type="dxa"/>
            <w:tcBorders>
              <w:top w:val="single" w:sz="2" w:space="0" w:color="auto"/>
              <w:left w:val="nil"/>
              <w:bottom w:val="single" w:sz="2" w:space="0" w:color="auto"/>
              <w:right w:val="nil"/>
            </w:tcBorders>
            <w:shd w:val="clear" w:color="auto" w:fill="auto"/>
            <w:vAlign w:val="center"/>
          </w:tcPr>
          <w:p w14:paraId="3FAE8C8F" w14:textId="79C5AC73" w:rsidR="00396D1E" w:rsidRDefault="00396D1E" w:rsidP="00315A8A">
            <w:pPr>
              <w:pStyle w:val="TableText"/>
            </w:pPr>
            <w:r>
              <w:t xml:space="preserve">3.3 </w:t>
            </w:r>
          </w:p>
        </w:tc>
        <w:tc>
          <w:tcPr>
            <w:tcW w:w="4770" w:type="dxa"/>
            <w:tcBorders>
              <w:top w:val="single" w:sz="2" w:space="0" w:color="auto"/>
              <w:left w:val="nil"/>
              <w:bottom w:val="single" w:sz="2" w:space="0" w:color="auto"/>
              <w:right w:val="nil"/>
            </w:tcBorders>
            <w:vAlign w:val="center"/>
          </w:tcPr>
          <w:p w14:paraId="26532A75" w14:textId="126A8ACD" w:rsidR="00396D1E" w:rsidRPr="006A29A1" w:rsidRDefault="00396D1E" w:rsidP="00396D1E">
            <w:pPr>
              <w:pStyle w:val="TableBullet"/>
            </w:pPr>
            <w:r>
              <w:t xml:space="preserve">Amendment to </w:t>
            </w:r>
            <w:proofErr w:type="spellStart"/>
            <w:r>
              <w:t>disinsection</w:t>
            </w:r>
            <w:proofErr w:type="spellEnd"/>
            <w:r>
              <w:t xml:space="preserve"> requirements to provide clarification of applicable policy.</w:t>
            </w:r>
          </w:p>
        </w:tc>
        <w:tc>
          <w:tcPr>
            <w:tcW w:w="3094" w:type="dxa"/>
            <w:tcBorders>
              <w:top w:val="single" w:sz="2" w:space="0" w:color="auto"/>
              <w:left w:val="nil"/>
              <w:bottom w:val="single" w:sz="2" w:space="0" w:color="auto"/>
              <w:right w:val="nil"/>
            </w:tcBorders>
            <w:shd w:val="clear" w:color="auto" w:fill="auto"/>
            <w:vAlign w:val="center"/>
          </w:tcPr>
          <w:p w14:paraId="5F90A28B" w14:textId="512E74CB" w:rsidR="00396D1E" w:rsidRDefault="00396D1E" w:rsidP="00315A8A">
            <w:pPr>
              <w:pStyle w:val="TableText"/>
            </w:pPr>
            <w:r>
              <w:t>Approved Arrangements section</w:t>
            </w:r>
          </w:p>
        </w:tc>
      </w:tr>
      <w:tr w:rsidR="00E16294" w:rsidRPr="00C10BEB" w14:paraId="2391B9C4" w14:textId="77777777" w:rsidTr="00E16294">
        <w:trPr>
          <w:trHeight w:val="877"/>
          <w:tblHeader/>
        </w:trPr>
        <w:tc>
          <w:tcPr>
            <w:tcW w:w="1192" w:type="dxa"/>
            <w:tcBorders>
              <w:top w:val="single" w:sz="2" w:space="0" w:color="auto"/>
              <w:left w:val="nil"/>
              <w:bottom w:val="single" w:sz="12" w:space="0" w:color="C00000"/>
              <w:right w:val="nil"/>
            </w:tcBorders>
            <w:vAlign w:val="center"/>
          </w:tcPr>
          <w:p w14:paraId="372D972A" w14:textId="1C703718" w:rsidR="00E16294" w:rsidRDefault="00757CB6" w:rsidP="00E16294">
            <w:pPr>
              <w:pStyle w:val="TableText"/>
            </w:pPr>
            <w:r>
              <w:t>6</w:t>
            </w:r>
            <w:r w:rsidR="00E16294">
              <w:t xml:space="preserve"> </w:t>
            </w:r>
            <w:r>
              <w:t>December</w:t>
            </w:r>
            <w:r w:rsidR="00E16294">
              <w:t xml:space="preserve"> 2021</w:t>
            </w:r>
          </w:p>
        </w:tc>
        <w:tc>
          <w:tcPr>
            <w:tcW w:w="1044" w:type="dxa"/>
            <w:tcBorders>
              <w:top w:val="single" w:sz="2" w:space="0" w:color="auto"/>
              <w:left w:val="nil"/>
              <w:bottom w:val="single" w:sz="12" w:space="0" w:color="C00000"/>
              <w:right w:val="nil"/>
            </w:tcBorders>
            <w:shd w:val="clear" w:color="auto" w:fill="auto"/>
            <w:vAlign w:val="center"/>
          </w:tcPr>
          <w:p w14:paraId="6B0CEA97" w14:textId="46671776" w:rsidR="00E16294" w:rsidRDefault="00E16294" w:rsidP="00E16294">
            <w:pPr>
              <w:pStyle w:val="TableText"/>
            </w:pPr>
            <w:r>
              <w:t>3.3</w:t>
            </w:r>
          </w:p>
        </w:tc>
        <w:tc>
          <w:tcPr>
            <w:tcW w:w="4770" w:type="dxa"/>
            <w:tcBorders>
              <w:top w:val="single" w:sz="2" w:space="0" w:color="auto"/>
              <w:left w:val="nil"/>
              <w:bottom w:val="single" w:sz="12" w:space="0" w:color="C00000"/>
              <w:right w:val="nil"/>
            </w:tcBorders>
          </w:tcPr>
          <w:p w14:paraId="699095DE" w14:textId="750305B6" w:rsidR="00E16294" w:rsidRDefault="00E16294" w:rsidP="00E16294">
            <w:pPr>
              <w:pStyle w:val="TableBullet"/>
              <w:spacing w:before="240"/>
            </w:pPr>
            <w:r>
              <w:t>Added biosecurity risk information to the purpose statement in Table 1.</w:t>
            </w:r>
          </w:p>
        </w:tc>
        <w:tc>
          <w:tcPr>
            <w:tcW w:w="3094" w:type="dxa"/>
            <w:tcBorders>
              <w:top w:val="single" w:sz="2" w:space="0" w:color="auto"/>
              <w:left w:val="nil"/>
              <w:bottom w:val="single" w:sz="12" w:space="0" w:color="C00000"/>
              <w:right w:val="nil"/>
            </w:tcBorders>
            <w:shd w:val="clear" w:color="auto" w:fill="auto"/>
            <w:vAlign w:val="center"/>
          </w:tcPr>
          <w:p w14:paraId="6AD25EF4" w14:textId="563AF8AB" w:rsidR="00E16294" w:rsidRDefault="00E16294" w:rsidP="00E16294">
            <w:pPr>
              <w:pStyle w:val="TableText"/>
            </w:pPr>
            <w:r w:rsidRPr="00475EA3">
              <w:t>Approved Arrangements section</w:t>
            </w:r>
          </w:p>
        </w:tc>
      </w:tr>
    </w:tbl>
    <w:p w14:paraId="3745106F" w14:textId="77777777" w:rsidR="00A43F64" w:rsidRDefault="00A43F64">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25A56B2B" w14:textId="77777777" w:rsidR="00A50834" w:rsidRDefault="00A50834">
          <w:pPr>
            <w:pStyle w:val="TOCHeading"/>
          </w:pPr>
          <w:r>
            <w:t>Contents</w:t>
          </w:r>
        </w:p>
        <w:p w14:paraId="4E830E29" w14:textId="4FE44970" w:rsidR="006B7CD4"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9535792" w:history="1">
            <w:r w:rsidR="006B7CD4" w:rsidRPr="00372E57">
              <w:rPr>
                <w:rStyle w:val="Hyperlink"/>
              </w:rPr>
              <w:t>Guide to using this document</w:t>
            </w:r>
            <w:r w:rsidR="006B7CD4">
              <w:rPr>
                <w:webHidden/>
              </w:rPr>
              <w:tab/>
            </w:r>
            <w:r w:rsidR="006B7CD4">
              <w:rPr>
                <w:webHidden/>
              </w:rPr>
              <w:fldChar w:fldCharType="begin"/>
            </w:r>
            <w:r w:rsidR="006B7CD4">
              <w:rPr>
                <w:webHidden/>
              </w:rPr>
              <w:instrText xml:space="preserve"> PAGEREF _Toc489535792 \h </w:instrText>
            </w:r>
            <w:r w:rsidR="006B7CD4">
              <w:rPr>
                <w:webHidden/>
              </w:rPr>
            </w:r>
            <w:r w:rsidR="006B7CD4">
              <w:rPr>
                <w:webHidden/>
              </w:rPr>
              <w:fldChar w:fldCharType="separate"/>
            </w:r>
            <w:r w:rsidR="006378CE">
              <w:rPr>
                <w:webHidden/>
              </w:rPr>
              <w:t>5</w:t>
            </w:r>
            <w:r w:rsidR="006B7CD4">
              <w:rPr>
                <w:webHidden/>
              </w:rPr>
              <w:fldChar w:fldCharType="end"/>
            </w:r>
          </w:hyperlink>
        </w:p>
        <w:p w14:paraId="14C32020" w14:textId="0E5EC5A0" w:rsidR="006B7CD4" w:rsidRDefault="003D7A12">
          <w:pPr>
            <w:pStyle w:val="TOC2"/>
            <w:rPr>
              <w:rFonts w:asciiTheme="minorHAnsi" w:eastAsiaTheme="minorEastAsia" w:hAnsiTheme="minorHAnsi"/>
              <w:lang w:eastAsia="en-AU"/>
            </w:rPr>
          </w:pPr>
          <w:hyperlink w:anchor="_Toc489535793" w:history="1">
            <w:r w:rsidR="006B7CD4" w:rsidRPr="00372E57">
              <w:rPr>
                <w:rStyle w:val="Hyperlink"/>
              </w:rPr>
              <w:t>Definitions</w:t>
            </w:r>
            <w:r w:rsidR="006B7CD4">
              <w:rPr>
                <w:webHidden/>
              </w:rPr>
              <w:tab/>
            </w:r>
            <w:r w:rsidR="006B7CD4">
              <w:rPr>
                <w:webHidden/>
              </w:rPr>
              <w:fldChar w:fldCharType="begin"/>
            </w:r>
            <w:r w:rsidR="006B7CD4">
              <w:rPr>
                <w:webHidden/>
              </w:rPr>
              <w:instrText xml:space="preserve"> PAGEREF _Toc489535793 \h </w:instrText>
            </w:r>
            <w:r w:rsidR="006B7CD4">
              <w:rPr>
                <w:webHidden/>
              </w:rPr>
            </w:r>
            <w:r w:rsidR="006B7CD4">
              <w:rPr>
                <w:webHidden/>
              </w:rPr>
              <w:fldChar w:fldCharType="separate"/>
            </w:r>
            <w:r w:rsidR="006378CE">
              <w:rPr>
                <w:webHidden/>
              </w:rPr>
              <w:t>5</w:t>
            </w:r>
            <w:r w:rsidR="006B7CD4">
              <w:rPr>
                <w:webHidden/>
              </w:rPr>
              <w:fldChar w:fldCharType="end"/>
            </w:r>
          </w:hyperlink>
        </w:p>
        <w:p w14:paraId="1CB42E50" w14:textId="24E46146" w:rsidR="006B7CD4" w:rsidRDefault="003D7A12">
          <w:pPr>
            <w:pStyle w:val="TOC2"/>
            <w:rPr>
              <w:rFonts w:asciiTheme="minorHAnsi" w:eastAsiaTheme="minorEastAsia" w:hAnsiTheme="minorHAnsi"/>
              <w:lang w:eastAsia="en-AU"/>
            </w:rPr>
          </w:pPr>
          <w:hyperlink w:anchor="_Toc489535794" w:history="1">
            <w:r w:rsidR="006B7CD4" w:rsidRPr="00372E57">
              <w:rPr>
                <w:rStyle w:val="Hyperlink"/>
              </w:rPr>
              <w:t>Other documents</w:t>
            </w:r>
            <w:r w:rsidR="006B7CD4">
              <w:rPr>
                <w:webHidden/>
              </w:rPr>
              <w:tab/>
            </w:r>
            <w:r w:rsidR="006B7CD4">
              <w:rPr>
                <w:webHidden/>
              </w:rPr>
              <w:fldChar w:fldCharType="begin"/>
            </w:r>
            <w:r w:rsidR="006B7CD4">
              <w:rPr>
                <w:webHidden/>
              </w:rPr>
              <w:instrText xml:space="preserve"> PAGEREF _Toc489535794 \h </w:instrText>
            </w:r>
            <w:r w:rsidR="006B7CD4">
              <w:rPr>
                <w:webHidden/>
              </w:rPr>
            </w:r>
            <w:r w:rsidR="006B7CD4">
              <w:rPr>
                <w:webHidden/>
              </w:rPr>
              <w:fldChar w:fldCharType="separate"/>
            </w:r>
            <w:r w:rsidR="006378CE">
              <w:rPr>
                <w:webHidden/>
              </w:rPr>
              <w:t>6</w:t>
            </w:r>
            <w:r w:rsidR="006B7CD4">
              <w:rPr>
                <w:webHidden/>
              </w:rPr>
              <w:fldChar w:fldCharType="end"/>
            </w:r>
          </w:hyperlink>
        </w:p>
        <w:p w14:paraId="47617FDD" w14:textId="57EDD4D4" w:rsidR="006B7CD4" w:rsidRDefault="003D7A12">
          <w:pPr>
            <w:pStyle w:val="TOC2"/>
            <w:rPr>
              <w:rFonts w:asciiTheme="minorHAnsi" w:eastAsiaTheme="minorEastAsia" w:hAnsiTheme="minorHAnsi"/>
              <w:lang w:eastAsia="en-AU"/>
            </w:rPr>
          </w:pPr>
          <w:hyperlink w:anchor="_Toc489535795" w:history="1">
            <w:r w:rsidR="006B7CD4" w:rsidRPr="00372E57">
              <w:rPr>
                <w:rStyle w:val="Hyperlink"/>
              </w:rPr>
              <w:t>Nonconformity guide</w:t>
            </w:r>
            <w:r w:rsidR="006B7CD4">
              <w:rPr>
                <w:webHidden/>
              </w:rPr>
              <w:tab/>
            </w:r>
            <w:r w:rsidR="006B7CD4">
              <w:rPr>
                <w:webHidden/>
              </w:rPr>
              <w:fldChar w:fldCharType="begin"/>
            </w:r>
            <w:r w:rsidR="006B7CD4">
              <w:rPr>
                <w:webHidden/>
              </w:rPr>
              <w:instrText xml:space="preserve"> PAGEREF _Toc489535795 \h </w:instrText>
            </w:r>
            <w:r w:rsidR="006B7CD4">
              <w:rPr>
                <w:webHidden/>
              </w:rPr>
            </w:r>
            <w:r w:rsidR="006B7CD4">
              <w:rPr>
                <w:webHidden/>
              </w:rPr>
              <w:fldChar w:fldCharType="separate"/>
            </w:r>
            <w:r w:rsidR="006378CE">
              <w:rPr>
                <w:webHidden/>
              </w:rPr>
              <w:t>6</w:t>
            </w:r>
            <w:r w:rsidR="006B7CD4">
              <w:rPr>
                <w:webHidden/>
              </w:rPr>
              <w:fldChar w:fldCharType="end"/>
            </w:r>
          </w:hyperlink>
        </w:p>
        <w:p w14:paraId="02732219" w14:textId="66BFEA17" w:rsidR="006B7CD4" w:rsidRDefault="003D7A12">
          <w:pPr>
            <w:pStyle w:val="TOC2"/>
            <w:rPr>
              <w:rFonts w:asciiTheme="minorHAnsi" w:eastAsiaTheme="minorEastAsia" w:hAnsiTheme="minorHAnsi"/>
              <w:lang w:eastAsia="en-AU"/>
            </w:rPr>
          </w:pPr>
          <w:hyperlink w:anchor="_Toc489535796" w:history="1">
            <w:r w:rsidR="006B7CD4" w:rsidRPr="00372E57">
              <w:rPr>
                <w:rStyle w:val="Hyperlink"/>
              </w:rPr>
              <w:t>Applicable legislation</w:t>
            </w:r>
            <w:r w:rsidR="006B7CD4">
              <w:rPr>
                <w:webHidden/>
              </w:rPr>
              <w:tab/>
            </w:r>
            <w:r w:rsidR="006B7CD4">
              <w:rPr>
                <w:webHidden/>
              </w:rPr>
              <w:fldChar w:fldCharType="begin"/>
            </w:r>
            <w:r w:rsidR="006B7CD4">
              <w:rPr>
                <w:webHidden/>
              </w:rPr>
              <w:instrText xml:space="preserve"> PAGEREF _Toc489535796 \h </w:instrText>
            </w:r>
            <w:r w:rsidR="006B7CD4">
              <w:rPr>
                <w:webHidden/>
              </w:rPr>
            </w:r>
            <w:r w:rsidR="006B7CD4">
              <w:rPr>
                <w:webHidden/>
              </w:rPr>
              <w:fldChar w:fldCharType="separate"/>
            </w:r>
            <w:r w:rsidR="006378CE">
              <w:rPr>
                <w:webHidden/>
              </w:rPr>
              <w:t>6</w:t>
            </w:r>
            <w:r w:rsidR="006B7CD4">
              <w:rPr>
                <w:webHidden/>
              </w:rPr>
              <w:fldChar w:fldCharType="end"/>
            </w:r>
          </w:hyperlink>
        </w:p>
        <w:p w14:paraId="15EFC046" w14:textId="4E3CDFE3" w:rsidR="006B7CD4" w:rsidRDefault="003D7A12">
          <w:pPr>
            <w:pStyle w:val="TOC1"/>
            <w:rPr>
              <w:rFonts w:asciiTheme="minorHAnsi" w:eastAsiaTheme="minorEastAsia" w:hAnsiTheme="minorHAnsi"/>
              <w:b w:val="0"/>
              <w:lang w:eastAsia="en-AU"/>
            </w:rPr>
          </w:pPr>
          <w:hyperlink w:anchor="_Toc489535797" w:history="1">
            <w:r w:rsidR="006B7CD4" w:rsidRPr="00372E57">
              <w:rPr>
                <w:rStyle w:val="Hyperlink"/>
              </w:rPr>
              <w:t>AA Requirements</w:t>
            </w:r>
            <w:r w:rsidR="006B7CD4">
              <w:rPr>
                <w:webHidden/>
              </w:rPr>
              <w:tab/>
            </w:r>
            <w:r w:rsidR="006B7CD4">
              <w:rPr>
                <w:webHidden/>
              </w:rPr>
              <w:fldChar w:fldCharType="begin"/>
            </w:r>
            <w:r w:rsidR="006B7CD4">
              <w:rPr>
                <w:webHidden/>
              </w:rPr>
              <w:instrText xml:space="preserve"> PAGEREF _Toc489535797 \h </w:instrText>
            </w:r>
            <w:r w:rsidR="006B7CD4">
              <w:rPr>
                <w:webHidden/>
              </w:rPr>
            </w:r>
            <w:r w:rsidR="006B7CD4">
              <w:rPr>
                <w:webHidden/>
              </w:rPr>
              <w:fldChar w:fldCharType="separate"/>
            </w:r>
            <w:r w:rsidR="006378CE">
              <w:rPr>
                <w:webHidden/>
              </w:rPr>
              <w:t>7</w:t>
            </w:r>
            <w:r w:rsidR="006B7CD4">
              <w:rPr>
                <w:webHidden/>
              </w:rPr>
              <w:fldChar w:fldCharType="end"/>
            </w:r>
          </w:hyperlink>
        </w:p>
        <w:p w14:paraId="226F68EC" w14:textId="77777777" w:rsidR="00A50834" w:rsidRDefault="002A3865">
          <w:r>
            <w:rPr>
              <w:b/>
              <w:noProof/>
            </w:rPr>
            <w:fldChar w:fldCharType="end"/>
          </w:r>
        </w:p>
      </w:sdtContent>
    </w:sdt>
    <w:p w14:paraId="2718F2D6" w14:textId="77777777" w:rsidR="00806F49" w:rsidRDefault="00806F49">
      <w:pPr>
        <w:spacing w:after="0" w:line="240" w:lineRule="auto"/>
        <w:rPr>
          <w:lang w:eastAsia="ja-JP"/>
        </w:rPr>
      </w:pPr>
      <w:r>
        <w:rPr>
          <w:lang w:eastAsia="ja-JP"/>
        </w:rPr>
        <w:br w:type="page"/>
      </w:r>
    </w:p>
    <w:p w14:paraId="0328D210" w14:textId="77777777" w:rsidR="00064698" w:rsidRDefault="00064698" w:rsidP="00064698">
      <w:pPr>
        <w:pStyle w:val="Heading2"/>
        <w:numPr>
          <w:ilvl w:val="0"/>
          <w:numId w:val="0"/>
        </w:numPr>
        <w:ind w:left="720" w:hanging="720"/>
      </w:pPr>
      <w:bookmarkStart w:id="2" w:name="_Toc489535792"/>
      <w:r>
        <w:lastRenderedPageBreak/>
        <w:t>Guide to using this document</w:t>
      </w:r>
      <w:bookmarkEnd w:id="2"/>
    </w:p>
    <w:p w14:paraId="500F6CE1" w14:textId="63AAB25F" w:rsidR="00064698" w:rsidRDefault="00064698" w:rsidP="00064698">
      <w:r>
        <w:t xml:space="preserve">This document sets out the requirements that must be met before the relevant </w:t>
      </w:r>
      <w:r w:rsidR="00691204">
        <w:t>d</w:t>
      </w:r>
      <w:r>
        <w:t xml:space="preserve">irector will consider approval for the provision of biosecurity activities under section 406 of the </w:t>
      </w:r>
      <w:r w:rsidRPr="00315A8A">
        <w:rPr>
          <w:rStyle w:val="Emphasis"/>
        </w:rPr>
        <w:t>Biosecurity Act 2015</w:t>
      </w:r>
      <w:r>
        <w:t xml:space="preserve">, otherwise known as an </w:t>
      </w:r>
      <w:r w:rsidR="00691204">
        <w:t>a</w:t>
      </w:r>
      <w:r>
        <w:t xml:space="preserve">pproved </w:t>
      </w:r>
      <w:r w:rsidR="00691204">
        <w:t>a</w:t>
      </w:r>
      <w:r>
        <w:t>rrangement (AA).</w:t>
      </w:r>
    </w:p>
    <w:p w14:paraId="7AD0CF00" w14:textId="77777777" w:rsidR="00064698" w:rsidRDefault="00064698" w:rsidP="00064698">
      <w:r>
        <w:t xml:space="preserve">This document specifies the requirements to be met for the approval, </w:t>
      </w:r>
      <w:proofErr w:type="gramStart"/>
      <w:r>
        <w:t>operation</w:t>
      </w:r>
      <w:proofErr w:type="gramEnd"/>
      <w:r>
        <w:t xml:space="preserve"> and audit of this class of AA. Compliance with the requirements will be assessed by audit.</w:t>
      </w:r>
    </w:p>
    <w:p w14:paraId="37A22CFC" w14:textId="115C8390" w:rsidR="00064698" w:rsidRDefault="00064698" w:rsidP="00064698">
      <w:r>
        <w:t xml:space="preserve">In the event of any inconsistency between these requirements and any Import Permit condition, the Import Permit condition applies. If the </w:t>
      </w:r>
      <w:r w:rsidR="00691204">
        <w:t>a</w:t>
      </w:r>
      <w:r>
        <w:t xml:space="preserve">pplicant chooses to use automatic language translation services in connection with this document, it is done so at the </w:t>
      </w:r>
      <w:r w:rsidR="00691204">
        <w:t>a</w:t>
      </w:r>
      <w:r>
        <w:t>pplicant’s risk.</w:t>
      </w:r>
    </w:p>
    <w:p w14:paraId="63A48E4B" w14:textId="732D2C25" w:rsidR="00064698" w:rsidRDefault="00064698" w:rsidP="00064698">
      <w:r>
        <w:t>Unless specified otherwise, any references to ‘the department’ or ‘departmental’ means the Department of Agriculture</w:t>
      </w:r>
      <w:r w:rsidR="00E16294">
        <w:t>,</w:t>
      </w:r>
      <w:r>
        <w:t xml:space="preserve"> </w:t>
      </w:r>
      <w:proofErr w:type="gramStart"/>
      <w:r>
        <w:t>Water</w:t>
      </w:r>
      <w:proofErr w:type="gramEnd"/>
      <w:r>
        <w:t xml:space="preserve"> </w:t>
      </w:r>
      <w:r w:rsidR="00E16294">
        <w:t>and the Environment</w:t>
      </w:r>
      <w:r>
        <w:t>. Any references to contacting the department mean contacting your closest regional office.</w:t>
      </w:r>
    </w:p>
    <w:p w14:paraId="3AF3CFC7" w14:textId="41BCBDA2" w:rsidR="00064698" w:rsidRDefault="00064698" w:rsidP="00064698">
      <w:r>
        <w:t xml:space="preserve">Further information on </w:t>
      </w:r>
      <w:r w:rsidR="00691204">
        <w:t>AAs</w:t>
      </w:r>
      <w:r>
        <w:t xml:space="preserve">, </w:t>
      </w:r>
      <w:r w:rsidR="00691204">
        <w:t xml:space="preserve">AA </w:t>
      </w:r>
      <w:r>
        <w:t xml:space="preserve">regional contact details and copies of relevant </w:t>
      </w:r>
      <w:r w:rsidR="00691204">
        <w:t xml:space="preserve">AA </w:t>
      </w:r>
      <w:r>
        <w:t>documentation is availab</w:t>
      </w:r>
      <w:r w:rsidR="00315A8A">
        <w:t xml:space="preserve">le on the </w:t>
      </w:r>
      <w:hyperlink r:id="rId14" w:history="1">
        <w:r w:rsidR="00315A8A" w:rsidRPr="00315A8A">
          <w:rPr>
            <w:rStyle w:val="Hyperlink"/>
          </w:rPr>
          <w:t>department’s website</w:t>
        </w:r>
      </w:hyperlink>
      <w:r w:rsidR="00315A8A">
        <w:t>.</w:t>
      </w:r>
    </w:p>
    <w:p w14:paraId="3676DAC9" w14:textId="77777777" w:rsidR="00064698" w:rsidRDefault="00064698" w:rsidP="00064698">
      <w:pPr>
        <w:pStyle w:val="Heading3"/>
      </w:pPr>
      <w:bookmarkStart w:id="3" w:name="_Toc489535793"/>
      <w:r>
        <w:t>Definitions</w:t>
      </w:r>
      <w:bookmarkEnd w:id="3"/>
    </w:p>
    <w:p w14:paraId="08B43487" w14:textId="77777777" w:rsidR="007A108C" w:rsidRDefault="007A108C" w:rsidP="007A108C">
      <w:r>
        <w:t>This document is to be read in conjunction with the definitions provided in the:</w:t>
      </w:r>
    </w:p>
    <w:p w14:paraId="044FDAEA" w14:textId="77777777" w:rsidR="007A108C" w:rsidRPr="00315A8A" w:rsidRDefault="007A108C" w:rsidP="007A108C">
      <w:pPr>
        <w:pStyle w:val="ListBullet"/>
        <w:rPr>
          <w:rStyle w:val="Emphasis"/>
        </w:rPr>
      </w:pPr>
      <w:r w:rsidRPr="00315A8A">
        <w:rPr>
          <w:rStyle w:val="Emphasis"/>
        </w:rPr>
        <w:t>Biosecurity Act 2015</w:t>
      </w:r>
    </w:p>
    <w:p w14:paraId="068DFB82" w14:textId="77777777" w:rsidR="007A108C" w:rsidRDefault="007A108C" w:rsidP="007A108C">
      <w:pPr>
        <w:pStyle w:val="ListBullet"/>
      </w:pPr>
      <w:r>
        <w:t>Biosecurity (Exposed Conveyances - Exceptions from Biosecurity Control) Determination 2016</w:t>
      </w:r>
    </w:p>
    <w:p w14:paraId="0FF65C0F" w14:textId="77777777" w:rsidR="007A108C" w:rsidRDefault="007A108C" w:rsidP="007A108C">
      <w:pPr>
        <w:pStyle w:val="ListBullet"/>
      </w:pPr>
      <w:r>
        <w:t>Biosecurity (Pre-arrival Notices and Reports) Regulation 2016</w:t>
      </w:r>
    </w:p>
    <w:p w14:paraId="793656E8" w14:textId="77777777" w:rsidR="007A108C" w:rsidRPr="00C0658B" w:rsidRDefault="007A108C" w:rsidP="007A108C">
      <w:pPr>
        <w:pStyle w:val="ListBullet"/>
      </w:pPr>
      <w:r w:rsidRPr="00C0658B">
        <w:t>Approved Arrangements Glossary</w:t>
      </w:r>
    </w:p>
    <w:p w14:paraId="34B0E99C" w14:textId="5CBAE389" w:rsidR="007A108C" w:rsidRDefault="007A108C" w:rsidP="007A108C">
      <w:r>
        <w:t xml:space="preserve">which may contain words, and/or phrases that have special meaning within the context of the AA. Further arrangement specific terms are defined </w:t>
      </w:r>
      <w:r w:rsidR="00315A8A">
        <w:t>in the table</w:t>
      </w:r>
      <w:r>
        <w:t>.</w:t>
      </w:r>
    </w:p>
    <w:p w14:paraId="7F46C0D1" w14:textId="4BAFEA32" w:rsidR="00315A8A" w:rsidRDefault="00315A8A" w:rsidP="00315A8A">
      <w:pPr>
        <w:pStyle w:val="Caption"/>
      </w:pPr>
      <w:r>
        <w:lastRenderedPageBreak/>
        <w:t>Table A Terms and definitions</w:t>
      </w:r>
    </w:p>
    <w:tbl>
      <w:tblPr>
        <w:tblW w:w="9498" w:type="dxa"/>
        <w:tblInd w:w="-10" w:type="dxa"/>
        <w:tblBorders>
          <w:top w:val="single" w:sz="4" w:space="0" w:color="auto"/>
          <w:bottom w:val="single" w:sz="4" w:space="0" w:color="auto"/>
        </w:tblBorders>
        <w:tblLook w:val="01E0" w:firstRow="1" w:lastRow="1" w:firstColumn="1" w:lastColumn="1" w:noHBand="0" w:noVBand="0"/>
      </w:tblPr>
      <w:tblGrid>
        <w:gridCol w:w="2268"/>
        <w:gridCol w:w="7230"/>
      </w:tblGrid>
      <w:tr w:rsidR="007A108C" w:rsidRPr="00E73B93" w14:paraId="2B158E99" w14:textId="77777777" w:rsidTr="00315A8A">
        <w:trPr>
          <w:cantSplit/>
          <w:tblHeader/>
        </w:trPr>
        <w:tc>
          <w:tcPr>
            <w:tcW w:w="2268" w:type="dxa"/>
            <w:shd w:val="clear" w:color="auto" w:fill="auto"/>
          </w:tcPr>
          <w:p w14:paraId="01FECBBC" w14:textId="77777777" w:rsidR="007A108C" w:rsidRPr="007A108C" w:rsidRDefault="007A108C" w:rsidP="007A108C">
            <w:pPr>
              <w:pStyle w:val="TableHeading"/>
            </w:pPr>
            <w:r w:rsidRPr="007A108C">
              <w:t>Term</w:t>
            </w:r>
          </w:p>
        </w:tc>
        <w:tc>
          <w:tcPr>
            <w:tcW w:w="7230" w:type="dxa"/>
            <w:shd w:val="clear" w:color="auto" w:fill="auto"/>
          </w:tcPr>
          <w:p w14:paraId="26DA9868" w14:textId="77777777" w:rsidR="007A108C" w:rsidRPr="007A108C" w:rsidRDefault="007A108C" w:rsidP="007A108C">
            <w:pPr>
              <w:pStyle w:val="TableHeading"/>
            </w:pPr>
            <w:r w:rsidRPr="007A108C">
              <w:t>Definition</w:t>
            </w:r>
          </w:p>
        </w:tc>
      </w:tr>
      <w:tr w:rsidR="007A108C" w:rsidRPr="005531F5" w14:paraId="257B1291" w14:textId="77777777" w:rsidTr="00315A8A">
        <w:trPr>
          <w:cantSplit/>
          <w:tblHeader/>
        </w:trPr>
        <w:tc>
          <w:tcPr>
            <w:tcW w:w="2268" w:type="dxa"/>
            <w:vAlign w:val="center"/>
          </w:tcPr>
          <w:p w14:paraId="750C52A1" w14:textId="7D03DB7C" w:rsidR="006A29A1" w:rsidRPr="006A29A1" w:rsidRDefault="007A108C" w:rsidP="007A108C">
            <w:pPr>
              <w:pStyle w:val="TableText"/>
            </w:pPr>
            <w:r w:rsidRPr="006A29A1">
              <w:t>Accredited Person</w:t>
            </w:r>
          </w:p>
        </w:tc>
        <w:tc>
          <w:tcPr>
            <w:tcW w:w="7230" w:type="dxa"/>
          </w:tcPr>
          <w:p w14:paraId="74CADC87" w14:textId="57A474BB" w:rsidR="007A108C" w:rsidRPr="006A29A1" w:rsidRDefault="007A108C" w:rsidP="00372BC4">
            <w:pPr>
              <w:pStyle w:val="TableText"/>
            </w:pPr>
            <w:r w:rsidRPr="006A29A1">
              <w:t xml:space="preserve">A person who has successfully completed </w:t>
            </w:r>
            <w:r w:rsidR="00D14CBE" w:rsidRPr="006A29A1">
              <w:t xml:space="preserve">either the online </w:t>
            </w:r>
            <w:r w:rsidR="00372BC4" w:rsidRPr="006A29A1">
              <w:t>b</w:t>
            </w:r>
            <w:r w:rsidR="00A93D60" w:rsidRPr="006A29A1">
              <w:t xml:space="preserve">iosecurity </w:t>
            </w:r>
            <w:r w:rsidR="00372BC4" w:rsidRPr="006A29A1">
              <w:t>a</w:t>
            </w:r>
            <w:r w:rsidRPr="006A29A1">
              <w:t xml:space="preserve">wareness </w:t>
            </w:r>
            <w:r w:rsidR="00D14CBE" w:rsidRPr="006A29A1">
              <w:t xml:space="preserve">training or in-house </w:t>
            </w:r>
            <w:r w:rsidRPr="006A29A1">
              <w:t>training.</w:t>
            </w:r>
          </w:p>
        </w:tc>
      </w:tr>
      <w:tr w:rsidR="006A29A1" w:rsidRPr="005531F5" w14:paraId="4E4440D2" w14:textId="77777777" w:rsidTr="00315A8A">
        <w:trPr>
          <w:cantSplit/>
          <w:tblHeader/>
        </w:trPr>
        <w:tc>
          <w:tcPr>
            <w:tcW w:w="2268" w:type="dxa"/>
            <w:vAlign w:val="center"/>
          </w:tcPr>
          <w:p w14:paraId="657B5888" w14:textId="7082DBD9" w:rsidR="006A29A1" w:rsidRPr="006A29A1" w:rsidRDefault="006A29A1" w:rsidP="007A108C">
            <w:pPr>
              <w:pStyle w:val="TableText"/>
            </w:pPr>
            <w:r>
              <w:t>Biosecurity waste</w:t>
            </w:r>
          </w:p>
        </w:tc>
        <w:tc>
          <w:tcPr>
            <w:tcW w:w="7230" w:type="dxa"/>
          </w:tcPr>
          <w:p w14:paraId="48004AD9" w14:textId="1C5B83D7" w:rsidR="006A29A1" w:rsidRPr="006A29A1" w:rsidRDefault="006A29A1" w:rsidP="00372BC4">
            <w:pPr>
              <w:pStyle w:val="TableText"/>
            </w:pPr>
            <w:r w:rsidRPr="006A29A1">
              <w:t>Biosecurity risk material derived from the transfer, inspection and processing and handling of international goods, and international persons and their effects</w:t>
            </w:r>
            <w:r w:rsidR="00396D1E">
              <w:t>.</w:t>
            </w:r>
          </w:p>
        </w:tc>
      </w:tr>
      <w:tr w:rsidR="007A108C" w:rsidRPr="005531F5" w14:paraId="4DCFC4FD" w14:textId="77777777" w:rsidTr="00315A8A">
        <w:trPr>
          <w:cantSplit/>
          <w:tblHeader/>
        </w:trPr>
        <w:tc>
          <w:tcPr>
            <w:tcW w:w="2268" w:type="dxa"/>
            <w:vAlign w:val="center"/>
          </w:tcPr>
          <w:p w14:paraId="191D85D3" w14:textId="77777777" w:rsidR="007A108C" w:rsidRPr="006A29A1" w:rsidRDefault="007A108C" w:rsidP="007A108C">
            <w:pPr>
              <w:pStyle w:val="TableText"/>
            </w:pPr>
            <w:r w:rsidRPr="006A29A1">
              <w:t>Exempt exposed conveyance</w:t>
            </w:r>
          </w:p>
        </w:tc>
        <w:tc>
          <w:tcPr>
            <w:tcW w:w="7230" w:type="dxa"/>
          </w:tcPr>
          <w:p w14:paraId="1CA3AA7A" w14:textId="67129EA0" w:rsidR="007A108C" w:rsidRPr="006A29A1" w:rsidRDefault="007A108C" w:rsidP="007A108C">
            <w:pPr>
              <w:pStyle w:val="TableText"/>
            </w:pPr>
            <w:r w:rsidRPr="006A29A1">
              <w:t>A domestic conveyance that departs Australian Territory, interacts only with a second conveyances, then re-enters Australian Territory to end its journey</w:t>
            </w:r>
            <w:r w:rsidR="00315A8A" w:rsidRPr="006A29A1">
              <w:t>.</w:t>
            </w:r>
          </w:p>
        </w:tc>
      </w:tr>
      <w:tr w:rsidR="007A108C" w:rsidRPr="005531F5" w14:paraId="691191E1" w14:textId="77777777" w:rsidTr="00315A8A">
        <w:trPr>
          <w:cantSplit/>
          <w:tblHeader/>
        </w:trPr>
        <w:tc>
          <w:tcPr>
            <w:tcW w:w="2268" w:type="dxa"/>
            <w:vAlign w:val="center"/>
          </w:tcPr>
          <w:p w14:paraId="36C5005E" w14:textId="77777777" w:rsidR="007A108C" w:rsidRPr="006A29A1" w:rsidRDefault="007A108C" w:rsidP="007A108C">
            <w:pPr>
              <w:pStyle w:val="TableText"/>
            </w:pPr>
            <w:r w:rsidRPr="006A29A1">
              <w:t>International goods</w:t>
            </w:r>
          </w:p>
        </w:tc>
        <w:tc>
          <w:tcPr>
            <w:tcW w:w="7230" w:type="dxa"/>
          </w:tcPr>
          <w:p w14:paraId="781C19AA" w14:textId="6CE6D503" w:rsidR="007A108C" w:rsidRPr="006A29A1" w:rsidRDefault="007A108C" w:rsidP="006A29A1">
            <w:pPr>
              <w:pStyle w:val="TableText"/>
            </w:pPr>
            <w:r w:rsidRPr="006A29A1">
              <w:t>Goods of international origin, either</w:t>
            </w:r>
            <w:r w:rsidR="00A4049C" w:rsidRPr="006A29A1">
              <w:t xml:space="preserve"> </w:t>
            </w:r>
            <w:r w:rsidRPr="006A29A1">
              <w:t>new or used machinery and equipment, as defined in the department</w:t>
            </w:r>
            <w:r w:rsidR="00A4049C" w:rsidRPr="006A29A1">
              <w:t>’</w:t>
            </w:r>
            <w:r w:rsidRPr="006A29A1">
              <w:t>s BICON database</w:t>
            </w:r>
            <w:r w:rsidR="00A83FCC" w:rsidRPr="006A29A1">
              <w:t>,</w:t>
            </w:r>
            <w:r w:rsidR="007D003B" w:rsidRPr="006A29A1">
              <w:t xml:space="preserve"> or</w:t>
            </w:r>
            <w:r w:rsidR="006A29A1">
              <w:t xml:space="preserve"> of </w:t>
            </w:r>
            <w:r w:rsidR="007D003B" w:rsidRPr="006A29A1">
              <w:t xml:space="preserve">a </w:t>
            </w:r>
            <w:r w:rsidRPr="006A29A1">
              <w:t>tariff description/nature not of interest to the department, as determined by systems profiles</w:t>
            </w:r>
            <w:r w:rsidR="00665321" w:rsidRPr="006A29A1">
              <w:t>,</w:t>
            </w:r>
            <w:r w:rsidR="006A29A1">
              <w:t xml:space="preserve"> or ship’s stores.</w:t>
            </w:r>
          </w:p>
        </w:tc>
      </w:tr>
      <w:tr w:rsidR="007A108C" w:rsidRPr="005531F5" w14:paraId="55244218" w14:textId="77777777" w:rsidTr="00315A8A">
        <w:trPr>
          <w:cantSplit/>
          <w:tblHeader/>
        </w:trPr>
        <w:tc>
          <w:tcPr>
            <w:tcW w:w="2268" w:type="dxa"/>
            <w:vAlign w:val="center"/>
          </w:tcPr>
          <w:p w14:paraId="62166025" w14:textId="77777777" w:rsidR="007A108C" w:rsidRPr="005531F5" w:rsidRDefault="007A108C" w:rsidP="007A108C">
            <w:pPr>
              <w:pStyle w:val="TableText"/>
            </w:pPr>
            <w:r w:rsidRPr="005531F5">
              <w:t>International person</w:t>
            </w:r>
          </w:p>
        </w:tc>
        <w:tc>
          <w:tcPr>
            <w:tcW w:w="7230" w:type="dxa"/>
          </w:tcPr>
          <w:p w14:paraId="0F734B81" w14:textId="77777777" w:rsidR="007A108C" w:rsidRPr="005531F5" w:rsidRDefault="007A108C" w:rsidP="007A108C">
            <w:pPr>
              <w:pStyle w:val="TableText"/>
            </w:pPr>
            <w:r w:rsidRPr="005531F5">
              <w:t xml:space="preserve">Any person not defined in the definition for </w:t>
            </w:r>
            <w:r w:rsidRPr="00E73B93">
              <w:t xml:space="preserve">domestic person </w:t>
            </w:r>
            <w:r w:rsidRPr="005531F5">
              <w:t xml:space="preserve">under the </w:t>
            </w:r>
            <w:r w:rsidRPr="005531F5">
              <w:rPr>
                <w:i/>
              </w:rPr>
              <w:t xml:space="preserve">Biosecurity </w:t>
            </w:r>
            <w:r w:rsidRPr="00315A8A">
              <w:rPr>
                <w:rStyle w:val="Emphasis"/>
              </w:rPr>
              <w:t>(Exposed Conveyances – Exceptions from Biosecurity Control) Determination 2016</w:t>
            </w:r>
            <w:r w:rsidRPr="005531F5">
              <w:t>.</w:t>
            </w:r>
          </w:p>
        </w:tc>
      </w:tr>
      <w:tr w:rsidR="007A108C" w:rsidRPr="005531F5" w14:paraId="5175AA2E" w14:textId="77777777" w:rsidTr="00315A8A">
        <w:trPr>
          <w:cantSplit/>
          <w:tblHeader/>
        </w:trPr>
        <w:tc>
          <w:tcPr>
            <w:tcW w:w="2268" w:type="dxa"/>
            <w:vAlign w:val="center"/>
          </w:tcPr>
          <w:p w14:paraId="6B086F54" w14:textId="77777777" w:rsidR="007A108C" w:rsidRPr="005531F5" w:rsidRDefault="007A108C" w:rsidP="007A108C">
            <w:pPr>
              <w:pStyle w:val="TableText"/>
            </w:pPr>
            <w:r w:rsidRPr="005531F5">
              <w:t>Listed human health disease</w:t>
            </w:r>
          </w:p>
        </w:tc>
        <w:tc>
          <w:tcPr>
            <w:tcW w:w="7230" w:type="dxa"/>
          </w:tcPr>
          <w:p w14:paraId="3DA3D6D6" w14:textId="2B5712A5" w:rsidR="007A108C" w:rsidRPr="005531F5" w:rsidRDefault="007A108C" w:rsidP="007A108C">
            <w:pPr>
              <w:pStyle w:val="TableText"/>
            </w:pPr>
            <w:r w:rsidRPr="005531F5">
              <w:t>Diseases listed on the Australian Government Department of Health</w:t>
            </w:r>
            <w:r w:rsidR="00315A8A">
              <w:t xml:space="preserve"> </w:t>
            </w:r>
            <w:hyperlink r:id="rId15" w:history="1">
              <w:r w:rsidR="00315A8A" w:rsidRPr="00315A8A">
                <w:rPr>
                  <w:rStyle w:val="Hyperlink"/>
                </w:rPr>
                <w:t>website</w:t>
              </w:r>
            </w:hyperlink>
            <w:r w:rsidR="00315A8A">
              <w:t>.</w:t>
            </w:r>
          </w:p>
        </w:tc>
      </w:tr>
      <w:tr w:rsidR="007A108C" w:rsidRPr="005531F5" w14:paraId="36277522" w14:textId="77777777" w:rsidTr="00315A8A">
        <w:trPr>
          <w:cantSplit/>
          <w:tblHeader/>
        </w:trPr>
        <w:tc>
          <w:tcPr>
            <w:tcW w:w="2268" w:type="dxa"/>
            <w:vAlign w:val="center"/>
          </w:tcPr>
          <w:p w14:paraId="2A0E89C5" w14:textId="77777777" w:rsidR="007A108C" w:rsidRPr="005531F5" w:rsidRDefault="007A108C" w:rsidP="007A108C">
            <w:pPr>
              <w:pStyle w:val="TableText"/>
            </w:pPr>
            <w:r w:rsidRPr="005531F5">
              <w:t>Second conveyance</w:t>
            </w:r>
          </w:p>
        </w:tc>
        <w:tc>
          <w:tcPr>
            <w:tcW w:w="7230" w:type="dxa"/>
          </w:tcPr>
          <w:p w14:paraId="0AC802FE" w14:textId="505C3F5C" w:rsidR="007A108C" w:rsidRPr="005531F5" w:rsidRDefault="007A108C" w:rsidP="007A108C">
            <w:pPr>
              <w:pStyle w:val="TableText"/>
            </w:pPr>
            <w:r w:rsidRPr="005531F5">
              <w:t>A</w:t>
            </w:r>
            <w:r w:rsidR="00A83FCC">
              <w:t>n</w:t>
            </w:r>
            <w:r w:rsidRPr="005531F5">
              <w:t xml:space="preserve"> international conveyance to which a vessel that commenced its journey in Australian territory is exposed</w:t>
            </w:r>
            <w:r w:rsidRPr="005531F5">
              <w:rPr>
                <w:i/>
              </w:rPr>
              <w:t>*</w:t>
            </w:r>
            <w:r>
              <w:rPr>
                <w:i/>
              </w:rPr>
              <w:t>.</w:t>
            </w:r>
          </w:p>
        </w:tc>
      </w:tr>
      <w:tr w:rsidR="00665321" w:rsidRPr="005531F5" w14:paraId="34C674E5" w14:textId="77777777" w:rsidTr="00315A8A">
        <w:trPr>
          <w:cantSplit/>
          <w:tblHeader/>
        </w:trPr>
        <w:tc>
          <w:tcPr>
            <w:tcW w:w="2268" w:type="dxa"/>
            <w:vAlign w:val="center"/>
          </w:tcPr>
          <w:p w14:paraId="06AEFBFD" w14:textId="322B7568" w:rsidR="00665321" w:rsidRPr="005531F5" w:rsidRDefault="00665321" w:rsidP="007A108C">
            <w:pPr>
              <w:pStyle w:val="TableText"/>
            </w:pPr>
            <w:r>
              <w:t>Ship’s stores</w:t>
            </w:r>
          </w:p>
        </w:tc>
        <w:tc>
          <w:tcPr>
            <w:tcW w:w="7230" w:type="dxa"/>
          </w:tcPr>
          <w:p w14:paraId="0205D4EF" w14:textId="77063D4A" w:rsidR="00665321" w:rsidRPr="00665321" w:rsidRDefault="00665321" w:rsidP="007A108C">
            <w:pPr>
              <w:pStyle w:val="TableText"/>
            </w:pPr>
            <w:r w:rsidRPr="006A29A1">
              <w:rPr>
                <w:rFonts w:cstheme="majorHAnsi"/>
              </w:rPr>
              <w:t>Any internationally provisioned foodstuffs brought onboard the second conveyance for human consumption. Includes packaged, processed, raw and unprocessed foods. Excludes foodstuffs located within personal effects.</w:t>
            </w:r>
          </w:p>
        </w:tc>
      </w:tr>
    </w:tbl>
    <w:p w14:paraId="7B711301" w14:textId="4C2A4CBE" w:rsidR="007D003B" w:rsidRPr="006B7CD4" w:rsidRDefault="007D003B" w:rsidP="007D003B">
      <w:pPr>
        <w:spacing w:after="0" w:line="240" w:lineRule="auto"/>
        <w:ind w:right="141"/>
        <w:rPr>
          <w:rFonts w:cstheme="majorHAnsi"/>
          <w:i/>
          <w:sz w:val="18"/>
          <w:szCs w:val="18"/>
        </w:rPr>
      </w:pPr>
      <w:r w:rsidRPr="006B7CD4">
        <w:rPr>
          <w:rFonts w:cstheme="majorHAnsi"/>
          <w:i/>
          <w:sz w:val="18"/>
          <w:szCs w:val="18"/>
        </w:rPr>
        <w:t>*</w:t>
      </w:r>
      <w:proofErr w:type="gramStart"/>
      <w:r w:rsidRPr="006B7CD4">
        <w:rPr>
          <w:rFonts w:cstheme="majorHAnsi"/>
          <w:i/>
          <w:sz w:val="18"/>
          <w:szCs w:val="18"/>
        </w:rPr>
        <w:t>for</w:t>
      </w:r>
      <w:proofErr w:type="gramEnd"/>
      <w:r w:rsidRPr="006B7CD4">
        <w:rPr>
          <w:rFonts w:cstheme="majorHAnsi"/>
          <w:i/>
          <w:sz w:val="18"/>
          <w:szCs w:val="18"/>
        </w:rPr>
        <w:t xml:space="preserve"> the purposes of this arrangement, a second conveyance is an installation or Petroleum Industry Vessel subject to the Arrangement.</w:t>
      </w:r>
    </w:p>
    <w:p w14:paraId="0B4B7733" w14:textId="77777777" w:rsidR="00064698" w:rsidRDefault="00064698" w:rsidP="00064698">
      <w:pPr>
        <w:pStyle w:val="Heading3"/>
      </w:pPr>
      <w:bookmarkStart w:id="4" w:name="_Toc489535794"/>
      <w:r>
        <w:t>Other documents</w:t>
      </w:r>
      <w:bookmarkEnd w:id="4"/>
    </w:p>
    <w:p w14:paraId="6928A908" w14:textId="77777777" w:rsidR="00064698" w:rsidRDefault="00064698" w:rsidP="00064698">
      <w:r>
        <w:t xml:space="preserve">The </w:t>
      </w:r>
      <w:r w:rsidRPr="00315A8A">
        <w:rPr>
          <w:rStyle w:val="Emphasis"/>
        </w:rPr>
        <w:t>AA General Policies</w:t>
      </w:r>
      <w:r>
        <w:t xml:space="preserve"> should be read in conjunction with these requirements. They will assist in understanding and complying with the obligations and requirements for the establishment and operation of an AA.</w:t>
      </w:r>
    </w:p>
    <w:p w14:paraId="57E97903" w14:textId="77777777" w:rsidR="00064698" w:rsidRDefault="00064698" w:rsidP="00064698">
      <w:pPr>
        <w:pStyle w:val="Heading3"/>
      </w:pPr>
      <w:bookmarkStart w:id="5" w:name="_Toc489535795"/>
      <w:r>
        <w:t>Nonconformity guide</w:t>
      </w:r>
      <w:bookmarkEnd w:id="5"/>
    </w:p>
    <w:p w14:paraId="32D45184" w14:textId="382611FC"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691204">
        <w:t>b</w:t>
      </w:r>
      <w:r>
        <w:t xml:space="preserve">iosecurity </w:t>
      </w:r>
      <w:r w:rsidR="00691204">
        <w:t>o</w:t>
      </w:r>
      <w:r>
        <w:t>fficer.</w:t>
      </w:r>
    </w:p>
    <w:p w14:paraId="1647FE3C" w14:textId="77777777" w:rsidR="00064698" w:rsidRDefault="00064698" w:rsidP="00064698">
      <w:r>
        <w:t xml:space="preserve">Nonconformity classifications are detailed in the </w:t>
      </w:r>
      <w:r w:rsidRPr="00315A8A">
        <w:rPr>
          <w:rStyle w:val="Emphasis"/>
        </w:rPr>
        <w:t>AA General Policies</w:t>
      </w:r>
      <w:r>
        <w:t>.</w:t>
      </w:r>
    </w:p>
    <w:p w14:paraId="62F10FFF" w14:textId="77777777" w:rsidR="007A108C" w:rsidRDefault="007A108C" w:rsidP="007A108C">
      <w:pPr>
        <w:pStyle w:val="Heading3"/>
      </w:pPr>
      <w:bookmarkStart w:id="6" w:name="_Toc489535796"/>
      <w:r>
        <w:t>Applicable legislation</w:t>
      </w:r>
      <w:bookmarkEnd w:id="6"/>
    </w:p>
    <w:p w14:paraId="54FF9F6C" w14:textId="77777777" w:rsidR="007A108C" w:rsidRDefault="007A108C" w:rsidP="007A108C">
      <w:r>
        <w:t>This AA operates in accordance with the:</w:t>
      </w:r>
    </w:p>
    <w:p w14:paraId="6D93E0C0" w14:textId="77777777" w:rsidR="007A108C" w:rsidRPr="00315A8A" w:rsidRDefault="007A108C" w:rsidP="007A108C">
      <w:pPr>
        <w:pStyle w:val="ListBullet"/>
        <w:rPr>
          <w:rStyle w:val="Emphasis"/>
        </w:rPr>
      </w:pPr>
      <w:r w:rsidRPr="00315A8A">
        <w:rPr>
          <w:rStyle w:val="Emphasis"/>
        </w:rPr>
        <w:t>Biosecurity Act 2015</w:t>
      </w:r>
    </w:p>
    <w:p w14:paraId="5D2222E1" w14:textId="77777777" w:rsidR="007A108C" w:rsidRDefault="007A108C" w:rsidP="007A108C">
      <w:pPr>
        <w:pStyle w:val="ListBullet"/>
      </w:pPr>
      <w:r>
        <w:t>Biosecurity (Exposed conveyances - exceptions from biosecurity control) Determination 2016</w:t>
      </w:r>
    </w:p>
    <w:p w14:paraId="01A0F8C5" w14:textId="77777777" w:rsidR="007A108C" w:rsidRPr="007A108C" w:rsidRDefault="007A108C" w:rsidP="007A108C">
      <w:pPr>
        <w:pStyle w:val="ListBullet"/>
      </w:pPr>
      <w:r>
        <w:t>Biosecurity (Pre-arrival notices and reports) Regulation 2016.</w:t>
      </w:r>
    </w:p>
    <w:p w14:paraId="177447AE" w14:textId="4F3F9BD8" w:rsidR="00064698" w:rsidRDefault="00064698" w:rsidP="00064698">
      <w:pPr>
        <w:pStyle w:val="Heading2"/>
        <w:numPr>
          <w:ilvl w:val="0"/>
          <w:numId w:val="0"/>
        </w:numPr>
        <w:ind w:left="720" w:hanging="720"/>
      </w:pPr>
      <w:bookmarkStart w:id="7" w:name="_Toc489535797"/>
      <w:r>
        <w:lastRenderedPageBreak/>
        <w:t xml:space="preserve">AA </w:t>
      </w:r>
      <w:r w:rsidR="00372BC4">
        <w:t>r</w:t>
      </w:r>
      <w:r w:rsidR="00806F49" w:rsidRPr="00806F49">
        <w:t>equirements</w:t>
      </w:r>
      <w:bookmarkEnd w:id="7"/>
    </w:p>
    <w:p w14:paraId="321DACE0" w14:textId="6B2478CB" w:rsidR="00315A8A" w:rsidRDefault="00315A8A" w:rsidP="00315A8A">
      <w:pPr>
        <w:pStyle w:val="Caption"/>
      </w:pPr>
      <w:r>
        <w:t>Table 1 Purpose</w:t>
      </w:r>
    </w:p>
    <w:tbl>
      <w:tblPr>
        <w:tblStyle w:val="TableGrid"/>
        <w:tblW w:w="0" w:type="auto"/>
        <w:tblLook w:val="04A0" w:firstRow="1" w:lastRow="0" w:firstColumn="1" w:lastColumn="0" w:noHBand="0" w:noVBand="1"/>
      </w:tblPr>
      <w:tblGrid>
        <w:gridCol w:w="4530"/>
        <w:gridCol w:w="4530"/>
      </w:tblGrid>
      <w:tr w:rsidR="00315A8A" w14:paraId="4DBC3673" w14:textId="77777777" w:rsidTr="00315A8A">
        <w:trPr>
          <w:cantSplit/>
          <w:tblHeader/>
        </w:trPr>
        <w:tc>
          <w:tcPr>
            <w:tcW w:w="4530" w:type="dxa"/>
          </w:tcPr>
          <w:p w14:paraId="0A795FA8" w14:textId="71098E58" w:rsidR="00315A8A" w:rsidRDefault="00315A8A" w:rsidP="00315A8A">
            <w:pPr>
              <w:pStyle w:val="TableHeading"/>
              <w:rPr>
                <w:lang w:eastAsia="ja-JP"/>
              </w:rPr>
            </w:pPr>
            <w:r>
              <w:rPr>
                <w:lang w:eastAsia="ja-JP"/>
              </w:rPr>
              <w:t>Requirements</w:t>
            </w:r>
          </w:p>
        </w:tc>
        <w:tc>
          <w:tcPr>
            <w:tcW w:w="4530" w:type="dxa"/>
          </w:tcPr>
          <w:p w14:paraId="6D576B4C" w14:textId="629E1E6A" w:rsidR="00315A8A" w:rsidRDefault="00315A8A" w:rsidP="00315A8A">
            <w:pPr>
              <w:pStyle w:val="TableHeading"/>
              <w:rPr>
                <w:lang w:eastAsia="ja-JP"/>
              </w:rPr>
            </w:pPr>
            <w:r>
              <w:rPr>
                <w:lang w:eastAsia="ja-JP"/>
              </w:rPr>
              <w:t>Nonconformity guide</w:t>
            </w:r>
          </w:p>
        </w:tc>
      </w:tr>
      <w:tr w:rsidR="00315A8A" w14:paraId="7CDA2BFC" w14:textId="77777777" w:rsidTr="00315A8A">
        <w:trPr>
          <w:cantSplit/>
          <w:tblHeader/>
        </w:trPr>
        <w:tc>
          <w:tcPr>
            <w:tcW w:w="4530" w:type="dxa"/>
          </w:tcPr>
          <w:p w14:paraId="3EA13B7E" w14:textId="77777777" w:rsidR="00E16294" w:rsidRDefault="00315A8A" w:rsidP="00E16294">
            <w:pPr>
              <w:pStyle w:val="TableText"/>
              <w:rPr>
                <w:lang w:eastAsia="ja-JP"/>
              </w:rPr>
            </w:pPr>
            <w:r w:rsidRPr="008540DB">
              <w:rPr>
                <w:lang w:eastAsia="ja-JP"/>
              </w:rPr>
              <w:t xml:space="preserve">1.1 </w:t>
            </w:r>
            <w:r w:rsidR="00E16294">
              <w:rPr>
                <w:lang w:eastAsia="ja-JP"/>
              </w:rPr>
              <w:t>Class 13.1 approved arrangement is utilised for the management of the biosecurity risks associated with the receipt of international goods and persons onto installations and petroleum industry vessels (second conveyances).</w:t>
            </w:r>
          </w:p>
          <w:p w14:paraId="627A3E66" w14:textId="77777777" w:rsidR="00E16294" w:rsidRDefault="00E16294" w:rsidP="00E16294">
            <w:pPr>
              <w:pStyle w:val="TableText"/>
              <w:rPr>
                <w:lang w:eastAsia="ja-JP"/>
              </w:rPr>
            </w:pPr>
            <w:r>
              <w:rPr>
                <w:lang w:eastAsia="ja-JP"/>
              </w:rPr>
              <w:t>Examples of the biosecurity risks include:</w:t>
            </w:r>
          </w:p>
          <w:p w14:paraId="06B8C153" w14:textId="44495CEC" w:rsidR="00E16294" w:rsidRDefault="00E16294" w:rsidP="00E16294">
            <w:pPr>
              <w:pStyle w:val="TableBullet"/>
              <w:numPr>
                <w:ilvl w:val="0"/>
                <w:numId w:val="4"/>
              </w:numPr>
              <w:ind w:left="284" w:hanging="284"/>
              <w:rPr>
                <w:lang w:eastAsia="ja-JP"/>
              </w:rPr>
            </w:pPr>
            <w:r>
              <w:rPr>
                <w:lang w:eastAsia="ja-JP"/>
              </w:rPr>
              <w:t xml:space="preserve">infestation of insects in or on the goods, packaging material or containers e.g., timber pests (e.g., termites, </w:t>
            </w:r>
            <w:proofErr w:type="gramStart"/>
            <w:r>
              <w:rPr>
                <w:lang w:eastAsia="ja-JP"/>
              </w:rPr>
              <w:t>ants</w:t>
            </w:r>
            <w:proofErr w:type="gramEnd"/>
            <w:r>
              <w:rPr>
                <w:lang w:eastAsia="ja-JP"/>
              </w:rPr>
              <w:t xml:space="preserve"> and larvae), stored product pests (e.g., beetles and larvae), insects seeking refuge (e.g., ants, bees, wasps, moths and spiders), and hitchhiker pests </w:t>
            </w:r>
          </w:p>
          <w:p w14:paraId="78DD40B3" w14:textId="08DA716E" w:rsidR="00E16294" w:rsidRDefault="00E16294" w:rsidP="00E16294">
            <w:pPr>
              <w:pStyle w:val="TableBullet"/>
              <w:numPr>
                <w:ilvl w:val="0"/>
                <w:numId w:val="4"/>
              </w:numPr>
              <w:ind w:left="284" w:hanging="284"/>
              <w:rPr>
                <w:lang w:eastAsia="ja-JP"/>
              </w:rPr>
            </w:pPr>
            <w:r>
              <w:rPr>
                <w:lang w:eastAsia="ja-JP"/>
              </w:rPr>
              <w:t>animals such as rodents, reptiles, geckos, birds that can inadvertently travel on goods or in containers</w:t>
            </w:r>
          </w:p>
          <w:p w14:paraId="5B081208" w14:textId="2382F279" w:rsidR="00E16294" w:rsidRDefault="00E16294" w:rsidP="00E16294">
            <w:pPr>
              <w:pStyle w:val="TableBullet"/>
              <w:numPr>
                <w:ilvl w:val="0"/>
                <w:numId w:val="4"/>
              </w:numPr>
              <w:ind w:left="284" w:hanging="284"/>
              <w:rPr>
                <w:lang w:eastAsia="ja-JP"/>
              </w:rPr>
            </w:pPr>
            <w:r>
              <w:rPr>
                <w:lang w:eastAsia="ja-JP"/>
              </w:rPr>
              <w:t>Giant African Snails and other snails that can attach to containers and machinery</w:t>
            </w:r>
          </w:p>
          <w:p w14:paraId="5FA8923F" w14:textId="063276BB" w:rsidR="00E16294" w:rsidRDefault="00E16294" w:rsidP="00E16294">
            <w:pPr>
              <w:pStyle w:val="TableBullet"/>
              <w:numPr>
                <w:ilvl w:val="0"/>
                <w:numId w:val="4"/>
              </w:numPr>
              <w:ind w:left="284" w:hanging="284"/>
              <w:rPr>
                <w:lang w:eastAsia="ja-JP"/>
              </w:rPr>
            </w:pPr>
            <w:r>
              <w:rPr>
                <w:lang w:eastAsia="ja-JP"/>
              </w:rPr>
              <w:t>contamination of soil or plant material in or on goods, packaging material or containers e.g., soil can contain seeds of exotic plants or weeds, plant diseases, insects and insect eggs, and soil-borne animal diseases such as foot and mouth disease</w:t>
            </w:r>
          </w:p>
          <w:p w14:paraId="60FF76D1" w14:textId="55937924" w:rsidR="00E16294" w:rsidRDefault="00E16294" w:rsidP="00E16294">
            <w:pPr>
              <w:pStyle w:val="TableBullet"/>
              <w:numPr>
                <w:ilvl w:val="0"/>
                <w:numId w:val="4"/>
              </w:numPr>
              <w:ind w:left="284" w:hanging="284"/>
              <w:rPr>
                <w:lang w:eastAsia="ja-JP"/>
              </w:rPr>
            </w:pPr>
            <w:r>
              <w:rPr>
                <w:lang w:eastAsia="ja-JP"/>
              </w:rPr>
              <w:t>other contamination such as water can contain mosquito larvae and algae. Mosquitos are vectors for various diseases</w:t>
            </w:r>
          </w:p>
          <w:p w14:paraId="437E1A66" w14:textId="1B69177D" w:rsidR="00E16294" w:rsidRDefault="00E16294" w:rsidP="00E16294">
            <w:pPr>
              <w:pStyle w:val="TableBullet"/>
              <w:numPr>
                <w:ilvl w:val="0"/>
                <w:numId w:val="4"/>
              </w:numPr>
              <w:ind w:left="284" w:hanging="284"/>
              <w:rPr>
                <w:lang w:eastAsia="ja-JP"/>
              </w:rPr>
            </w:pPr>
            <w:r>
              <w:rPr>
                <w:lang w:eastAsia="ja-JP"/>
              </w:rPr>
              <w:t>packaging material of biosecurity concern e.g., dunnage, untreated timber or bamboo packaging, bark on timber which can contain plant diseases and fungal spores</w:t>
            </w:r>
          </w:p>
          <w:p w14:paraId="57C7992A" w14:textId="47C111B4" w:rsidR="00E16294" w:rsidRDefault="00E16294" w:rsidP="00E16294">
            <w:pPr>
              <w:pStyle w:val="TableBullet"/>
              <w:numPr>
                <w:ilvl w:val="0"/>
                <w:numId w:val="4"/>
              </w:numPr>
              <w:ind w:left="284" w:hanging="284"/>
              <w:rPr>
                <w:lang w:eastAsia="ja-JP"/>
              </w:rPr>
            </w:pPr>
            <w:r>
              <w:rPr>
                <w:lang w:eastAsia="ja-JP"/>
              </w:rPr>
              <w:t>plant diseases associated with goods (including waste) that are made of or contain plant material e.g., Karnal bunt of wheat, citrus greening, leaf blight</w:t>
            </w:r>
          </w:p>
          <w:p w14:paraId="1F4BBF7E" w14:textId="44D49945" w:rsidR="00E16294" w:rsidRDefault="00E16294" w:rsidP="00E16294">
            <w:pPr>
              <w:pStyle w:val="TableBullet"/>
              <w:numPr>
                <w:ilvl w:val="0"/>
                <w:numId w:val="4"/>
              </w:numPr>
              <w:ind w:left="284" w:hanging="284"/>
              <w:rPr>
                <w:lang w:eastAsia="ja-JP"/>
              </w:rPr>
            </w:pPr>
            <w:r>
              <w:rPr>
                <w:lang w:eastAsia="ja-JP"/>
              </w:rPr>
              <w:t>animal diseases associated with goods (including waste) that are made of or contain animal material e.g., foot and mouth disease</w:t>
            </w:r>
          </w:p>
          <w:p w14:paraId="37FE1971" w14:textId="6B78802F" w:rsidR="00E16294" w:rsidRDefault="00E16294" w:rsidP="00E16294">
            <w:pPr>
              <w:pStyle w:val="TableBullet"/>
              <w:numPr>
                <w:ilvl w:val="0"/>
                <w:numId w:val="4"/>
              </w:numPr>
              <w:ind w:left="284" w:hanging="284"/>
              <w:rPr>
                <w:lang w:eastAsia="ja-JP"/>
              </w:rPr>
            </w:pPr>
            <w:r>
              <w:rPr>
                <w:lang w:eastAsia="ja-JP"/>
              </w:rPr>
              <w:t xml:space="preserve">listed human health diseases e.g., human influenza, plague, severe acute respiratory </w:t>
            </w:r>
            <w:proofErr w:type="spellStart"/>
            <w:r>
              <w:rPr>
                <w:lang w:eastAsia="ja-JP"/>
              </w:rPr>
              <w:t>syndrone</w:t>
            </w:r>
            <w:proofErr w:type="spellEnd"/>
            <w:r>
              <w:rPr>
                <w:lang w:eastAsia="ja-JP"/>
              </w:rPr>
              <w:t xml:space="preserve"> (SARS), smallpox etc.</w:t>
            </w:r>
          </w:p>
          <w:p w14:paraId="4881ACB9" w14:textId="4AEDF3EA" w:rsidR="00315A8A" w:rsidRPr="008540DB" w:rsidRDefault="00E16294" w:rsidP="00E16294">
            <w:pPr>
              <w:pStyle w:val="TableText"/>
              <w:rPr>
                <w:lang w:eastAsia="ja-JP"/>
              </w:rPr>
            </w:pPr>
            <w:r>
              <w:rPr>
                <w:lang w:eastAsia="ja-JP"/>
              </w:rPr>
              <w:t xml:space="preserve">Information on biosecurity import conditions and biosecurity risks for imported goods, containers, other cargo and arriving vessels is available on the </w:t>
            </w:r>
            <w:hyperlink r:id="rId16" w:history="1">
              <w:r w:rsidRPr="00E16294">
                <w:rPr>
                  <w:rStyle w:val="Hyperlink"/>
                  <w:lang w:eastAsia="ja-JP"/>
                </w:rPr>
                <w:t>department's website</w:t>
              </w:r>
            </w:hyperlink>
            <w:r>
              <w:rPr>
                <w:lang w:eastAsia="ja-JP"/>
              </w:rPr>
              <w:t>.</w:t>
            </w:r>
          </w:p>
        </w:tc>
        <w:tc>
          <w:tcPr>
            <w:tcW w:w="4530" w:type="dxa"/>
          </w:tcPr>
          <w:p w14:paraId="31CC11F8" w14:textId="381EAFEA" w:rsidR="00315A8A" w:rsidRDefault="00315A8A" w:rsidP="00315A8A">
            <w:pPr>
              <w:pStyle w:val="TableText"/>
              <w:rPr>
                <w:lang w:eastAsia="ja-JP"/>
              </w:rPr>
            </w:pPr>
            <w:r w:rsidRPr="008540DB">
              <w:rPr>
                <w:lang w:eastAsia="ja-JP"/>
              </w:rPr>
              <w:t>Not applicable</w:t>
            </w:r>
          </w:p>
        </w:tc>
      </w:tr>
    </w:tbl>
    <w:p w14:paraId="3FF8B1F1" w14:textId="3479E00C" w:rsidR="00315A8A" w:rsidRDefault="00315A8A" w:rsidP="00315A8A">
      <w:pPr>
        <w:pStyle w:val="Caption"/>
        <w:spacing w:before="240"/>
      </w:pPr>
      <w:r>
        <w:lastRenderedPageBreak/>
        <w:t>Table 2 Scope</w:t>
      </w:r>
    </w:p>
    <w:tbl>
      <w:tblPr>
        <w:tblStyle w:val="TableGrid"/>
        <w:tblW w:w="0" w:type="auto"/>
        <w:tblLook w:val="04A0" w:firstRow="1" w:lastRow="0" w:firstColumn="1" w:lastColumn="0" w:noHBand="0" w:noVBand="1"/>
      </w:tblPr>
      <w:tblGrid>
        <w:gridCol w:w="4530"/>
        <w:gridCol w:w="4530"/>
      </w:tblGrid>
      <w:tr w:rsidR="00315A8A" w14:paraId="72BB0A5A" w14:textId="77777777" w:rsidTr="00315A8A">
        <w:trPr>
          <w:cantSplit/>
          <w:tblHeader/>
        </w:trPr>
        <w:tc>
          <w:tcPr>
            <w:tcW w:w="4530" w:type="dxa"/>
          </w:tcPr>
          <w:p w14:paraId="60561364" w14:textId="516F4174" w:rsidR="00315A8A" w:rsidRDefault="00315A8A" w:rsidP="00315A8A">
            <w:pPr>
              <w:pStyle w:val="TableHeading"/>
              <w:rPr>
                <w:lang w:eastAsia="ja-JP"/>
              </w:rPr>
            </w:pPr>
            <w:r>
              <w:rPr>
                <w:lang w:eastAsia="ja-JP"/>
              </w:rPr>
              <w:t>Requirements</w:t>
            </w:r>
          </w:p>
        </w:tc>
        <w:tc>
          <w:tcPr>
            <w:tcW w:w="4530" w:type="dxa"/>
          </w:tcPr>
          <w:p w14:paraId="6132BE4A" w14:textId="27F3E2CF" w:rsidR="00315A8A" w:rsidRDefault="00315A8A" w:rsidP="00315A8A">
            <w:pPr>
              <w:pStyle w:val="TableHeading"/>
              <w:rPr>
                <w:lang w:eastAsia="ja-JP"/>
              </w:rPr>
            </w:pPr>
            <w:r>
              <w:rPr>
                <w:lang w:eastAsia="ja-JP"/>
              </w:rPr>
              <w:t>Nonconformity guide</w:t>
            </w:r>
          </w:p>
        </w:tc>
      </w:tr>
      <w:tr w:rsidR="00315A8A" w14:paraId="0B29AA57" w14:textId="77777777" w:rsidTr="00315A8A">
        <w:trPr>
          <w:cantSplit/>
          <w:tblHeader/>
        </w:trPr>
        <w:tc>
          <w:tcPr>
            <w:tcW w:w="4530" w:type="dxa"/>
          </w:tcPr>
          <w:p w14:paraId="7E181C43" w14:textId="6BFEE781" w:rsidR="00315A8A" w:rsidRPr="008540DB" w:rsidRDefault="00315A8A" w:rsidP="00315A8A">
            <w:pPr>
              <w:pStyle w:val="TableText"/>
            </w:pPr>
            <w:r w:rsidRPr="008540DB">
              <w:rPr>
                <w:lang w:eastAsia="ja-JP"/>
              </w:rPr>
              <w:t xml:space="preserve">2.1 </w:t>
            </w:r>
            <w:r w:rsidRPr="008540DB">
              <w:t>The scope of the second conveyances AA is limited to</w:t>
            </w:r>
            <w:r w:rsidR="00185484" w:rsidRPr="008540DB">
              <w:t xml:space="preserve"> the</w:t>
            </w:r>
            <w:r w:rsidRPr="008540DB">
              <w:t>:</w:t>
            </w:r>
          </w:p>
          <w:p w14:paraId="20FD2DE4" w14:textId="39CBD0B5" w:rsidR="00185484" w:rsidRPr="008540DB" w:rsidRDefault="00315A8A" w:rsidP="009155C8">
            <w:pPr>
              <w:pStyle w:val="TableBullet"/>
              <w:numPr>
                <w:ilvl w:val="0"/>
                <w:numId w:val="4"/>
              </w:numPr>
              <w:ind w:left="284" w:hanging="284"/>
              <w:rPr>
                <w:lang w:eastAsia="ja-JP"/>
              </w:rPr>
            </w:pPr>
            <w:r w:rsidRPr="008540DB">
              <w:rPr>
                <w:lang w:eastAsia="ja-JP"/>
              </w:rPr>
              <w:t>management o</w:t>
            </w:r>
            <w:r w:rsidR="00372BC4" w:rsidRPr="008540DB">
              <w:rPr>
                <w:lang w:eastAsia="ja-JP"/>
              </w:rPr>
              <w:t>f</w:t>
            </w:r>
            <w:r w:rsidRPr="008540DB">
              <w:rPr>
                <w:lang w:eastAsia="ja-JP"/>
              </w:rPr>
              <w:t xml:space="preserve"> risks associated with the receipt of international goods</w:t>
            </w:r>
            <w:r w:rsidR="00185484" w:rsidRPr="008540DB">
              <w:rPr>
                <w:lang w:eastAsia="ja-JP"/>
              </w:rPr>
              <w:t xml:space="preserve"> and/</w:t>
            </w:r>
            <w:r w:rsidRPr="008540DB">
              <w:rPr>
                <w:lang w:eastAsia="ja-JP"/>
              </w:rPr>
              <w:t xml:space="preserve">or </w:t>
            </w:r>
            <w:r w:rsidR="00185484" w:rsidRPr="008540DB">
              <w:rPr>
                <w:lang w:eastAsia="ja-JP"/>
              </w:rPr>
              <w:t xml:space="preserve">international </w:t>
            </w:r>
            <w:r w:rsidRPr="008540DB">
              <w:rPr>
                <w:lang w:eastAsia="ja-JP"/>
              </w:rPr>
              <w:t xml:space="preserve">persons </w:t>
            </w:r>
            <w:r w:rsidR="00185484" w:rsidRPr="008540DB">
              <w:rPr>
                <w:lang w:eastAsia="ja-JP"/>
              </w:rPr>
              <w:t xml:space="preserve"> </w:t>
            </w:r>
          </w:p>
          <w:p w14:paraId="0C890700" w14:textId="1B3CD934" w:rsidR="00315A8A" w:rsidRPr="008540DB" w:rsidRDefault="00315A8A" w:rsidP="009155C8">
            <w:pPr>
              <w:pStyle w:val="TableBullet"/>
              <w:numPr>
                <w:ilvl w:val="0"/>
                <w:numId w:val="4"/>
              </w:numPr>
              <w:ind w:left="284" w:hanging="284"/>
              <w:rPr>
                <w:lang w:eastAsia="ja-JP"/>
              </w:rPr>
            </w:pPr>
            <w:r w:rsidRPr="008540DB">
              <w:rPr>
                <w:lang w:eastAsia="ja-JP"/>
              </w:rPr>
              <w:t xml:space="preserve">collection, storage, </w:t>
            </w:r>
            <w:proofErr w:type="gramStart"/>
            <w:r w:rsidRPr="008540DB">
              <w:rPr>
                <w:lang w:eastAsia="ja-JP"/>
              </w:rPr>
              <w:t>treatment</w:t>
            </w:r>
            <w:proofErr w:type="gramEnd"/>
            <w:r w:rsidRPr="008540DB">
              <w:rPr>
                <w:lang w:eastAsia="ja-JP"/>
              </w:rPr>
              <w:t xml:space="preserve"> and transfer of biosecurity waste generated by and related to biosecurity activities performed on a second conveyance subject to this AA.</w:t>
            </w:r>
          </w:p>
        </w:tc>
        <w:tc>
          <w:tcPr>
            <w:tcW w:w="4530" w:type="dxa"/>
          </w:tcPr>
          <w:p w14:paraId="7FDE387A" w14:textId="3F3A6D64" w:rsidR="00315A8A" w:rsidRPr="008540DB" w:rsidRDefault="00185484" w:rsidP="00315A8A">
            <w:pPr>
              <w:pStyle w:val="TableText"/>
              <w:rPr>
                <w:lang w:eastAsia="ja-JP"/>
              </w:rPr>
            </w:pPr>
            <w:r w:rsidRPr="008540DB">
              <w:rPr>
                <w:lang w:eastAsia="ja-JP"/>
              </w:rPr>
              <w:t>Not applicable</w:t>
            </w:r>
          </w:p>
        </w:tc>
      </w:tr>
    </w:tbl>
    <w:p w14:paraId="4C9DE735" w14:textId="39A3AA85" w:rsidR="00315A8A" w:rsidRDefault="00315A8A" w:rsidP="00315A8A">
      <w:pPr>
        <w:pStyle w:val="Caption"/>
        <w:spacing w:before="240"/>
      </w:pPr>
      <w:r>
        <w:t>Table 3 Prerequisite</w:t>
      </w:r>
    </w:p>
    <w:tbl>
      <w:tblPr>
        <w:tblStyle w:val="TableGrid"/>
        <w:tblW w:w="0" w:type="auto"/>
        <w:tblLook w:val="04A0" w:firstRow="1" w:lastRow="0" w:firstColumn="1" w:lastColumn="0" w:noHBand="0" w:noVBand="1"/>
      </w:tblPr>
      <w:tblGrid>
        <w:gridCol w:w="4530"/>
        <w:gridCol w:w="4530"/>
      </w:tblGrid>
      <w:tr w:rsidR="00315A8A" w14:paraId="391AC66F" w14:textId="77777777" w:rsidTr="00315A8A">
        <w:trPr>
          <w:cantSplit/>
          <w:tblHeader/>
        </w:trPr>
        <w:tc>
          <w:tcPr>
            <w:tcW w:w="4530" w:type="dxa"/>
          </w:tcPr>
          <w:p w14:paraId="4DF239D7" w14:textId="187831AC" w:rsidR="00315A8A" w:rsidRDefault="00315A8A" w:rsidP="00315A8A">
            <w:pPr>
              <w:pStyle w:val="TableHeading"/>
              <w:rPr>
                <w:lang w:eastAsia="ja-JP"/>
              </w:rPr>
            </w:pPr>
            <w:r>
              <w:rPr>
                <w:lang w:eastAsia="ja-JP"/>
              </w:rPr>
              <w:t>Requirements</w:t>
            </w:r>
          </w:p>
        </w:tc>
        <w:tc>
          <w:tcPr>
            <w:tcW w:w="4530" w:type="dxa"/>
          </w:tcPr>
          <w:p w14:paraId="60A1C54B" w14:textId="369EA873" w:rsidR="00315A8A" w:rsidRDefault="00315A8A" w:rsidP="00315A8A">
            <w:pPr>
              <w:pStyle w:val="TableHeading"/>
              <w:rPr>
                <w:lang w:eastAsia="ja-JP"/>
              </w:rPr>
            </w:pPr>
            <w:r>
              <w:rPr>
                <w:lang w:eastAsia="ja-JP"/>
              </w:rPr>
              <w:t>Nonconformity guide</w:t>
            </w:r>
          </w:p>
        </w:tc>
      </w:tr>
      <w:tr w:rsidR="00315A8A" w14:paraId="10E09627" w14:textId="77777777" w:rsidTr="00315A8A">
        <w:trPr>
          <w:cantSplit/>
          <w:tblHeader/>
        </w:trPr>
        <w:tc>
          <w:tcPr>
            <w:tcW w:w="4530" w:type="dxa"/>
          </w:tcPr>
          <w:p w14:paraId="533B5149" w14:textId="4F653B34" w:rsidR="00315A8A" w:rsidRDefault="00644DE7" w:rsidP="00315A8A">
            <w:pPr>
              <w:pStyle w:val="TableText"/>
              <w:rPr>
                <w:lang w:eastAsia="ja-JP"/>
              </w:rPr>
            </w:pPr>
            <w:r>
              <w:rPr>
                <w:lang w:eastAsia="ja-JP"/>
              </w:rPr>
              <w:t xml:space="preserve">3.1 </w:t>
            </w:r>
            <w:r w:rsidRPr="007A108C">
              <w:t xml:space="preserve">The second conveyance must meet the respective definitions for installation or petroleum industry vessel provided in the </w:t>
            </w:r>
            <w:r w:rsidRPr="00644DE7">
              <w:rPr>
                <w:rStyle w:val="Emphasis"/>
              </w:rPr>
              <w:t>Biosecurity Act 2015</w:t>
            </w:r>
            <w:r w:rsidRPr="007A108C">
              <w:t xml:space="preserve"> and Biosecurity (Exposed Conveyances – Exceptions from Biosecurity Control) Determination 2016.</w:t>
            </w:r>
          </w:p>
        </w:tc>
        <w:tc>
          <w:tcPr>
            <w:tcW w:w="4530" w:type="dxa"/>
          </w:tcPr>
          <w:p w14:paraId="25AA49DE" w14:textId="39CF0C87" w:rsidR="00315A8A" w:rsidRDefault="00644DE7" w:rsidP="00315A8A">
            <w:pPr>
              <w:pStyle w:val="TableText"/>
              <w:rPr>
                <w:lang w:eastAsia="ja-JP"/>
              </w:rPr>
            </w:pPr>
            <w:r>
              <w:rPr>
                <w:lang w:eastAsia="ja-JP"/>
              </w:rPr>
              <w:t>Not applicable</w:t>
            </w:r>
          </w:p>
        </w:tc>
      </w:tr>
      <w:tr w:rsidR="00315A8A" w14:paraId="7B4150F2" w14:textId="77777777" w:rsidTr="00315A8A">
        <w:trPr>
          <w:cantSplit/>
          <w:tblHeader/>
        </w:trPr>
        <w:tc>
          <w:tcPr>
            <w:tcW w:w="4530" w:type="dxa"/>
          </w:tcPr>
          <w:p w14:paraId="12ED1B1B" w14:textId="7BC978B4" w:rsidR="00315A8A" w:rsidRPr="008540DB" w:rsidRDefault="00644DE7" w:rsidP="00315A8A">
            <w:pPr>
              <w:pStyle w:val="TableText"/>
              <w:rPr>
                <w:lang w:eastAsia="ja-JP"/>
              </w:rPr>
            </w:pPr>
            <w:r w:rsidRPr="008540DB">
              <w:rPr>
                <w:lang w:eastAsia="ja-JP"/>
              </w:rPr>
              <w:t xml:space="preserve">3.2 </w:t>
            </w:r>
            <w:r w:rsidRPr="008540DB">
              <w:t>The second conveyance must be determined as low risk in accordance with s6(2) or (3) of the determination.</w:t>
            </w:r>
          </w:p>
        </w:tc>
        <w:tc>
          <w:tcPr>
            <w:tcW w:w="4530" w:type="dxa"/>
          </w:tcPr>
          <w:p w14:paraId="2D35927B" w14:textId="7B01C7D0" w:rsidR="00315A8A" w:rsidRPr="008540DB" w:rsidRDefault="005573EA" w:rsidP="00315A8A">
            <w:pPr>
              <w:pStyle w:val="TableText"/>
              <w:rPr>
                <w:lang w:eastAsia="ja-JP"/>
              </w:rPr>
            </w:pPr>
            <w:r w:rsidRPr="008540DB">
              <w:rPr>
                <w:lang w:eastAsia="ja-JP"/>
              </w:rPr>
              <w:t>Not applicable</w:t>
            </w:r>
          </w:p>
        </w:tc>
      </w:tr>
    </w:tbl>
    <w:p w14:paraId="3186509B" w14:textId="02498C1A" w:rsidR="00644DE7" w:rsidRDefault="00644DE7" w:rsidP="00644DE7">
      <w:pPr>
        <w:pStyle w:val="Caption"/>
        <w:spacing w:before="240"/>
      </w:pPr>
      <w:r>
        <w:t>Table 4A Operating requirements—Transfer of international goods</w:t>
      </w:r>
    </w:p>
    <w:tbl>
      <w:tblPr>
        <w:tblStyle w:val="TableGrid"/>
        <w:tblW w:w="0" w:type="auto"/>
        <w:tblLook w:val="04A0" w:firstRow="1" w:lastRow="0" w:firstColumn="1" w:lastColumn="0" w:noHBand="0" w:noVBand="1"/>
      </w:tblPr>
      <w:tblGrid>
        <w:gridCol w:w="4530"/>
        <w:gridCol w:w="4530"/>
      </w:tblGrid>
      <w:tr w:rsidR="00644DE7" w14:paraId="5773D3A5" w14:textId="77777777" w:rsidTr="00F573B3">
        <w:trPr>
          <w:cantSplit/>
          <w:tblHeader/>
        </w:trPr>
        <w:tc>
          <w:tcPr>
            <w:tcW w:w="4530" w:type="dxa"/>
          </w:tcPr>
          <w:p w14:paraId="125CEB8D" w14:textId="396B4936" w:rsidR="00644DE7" w:rsidRDefault="00644DE7" w:rsidP="00644DE7">
            <w:pPr>
              <w:pStyle w:val="TableHeading"/>
              <w:rPr>
                <w:lang w:eastAsia="ja-JP"/>
              </w:rPr>
            </w:pPr>
            <w:r>
              <w:rPr>
                <w:lang w:eastAsia="ja-JP"/>
              </w:rPr>
              <w:t>Requirements</w:t>
            </w:r>
          </w:p>
        </w:tc>
        <w:tc>
          <w:tcPr>
            <w:tcW w:w="4530" w:type="dxa"/>
          </w:tcPr>
          <w:p w14:paraId="11C541A3" w14:textId="2B0BB1B4" w:rsidR="00644DE7" w:rsidRDefault="00644DE7" w:rsidP="00644DE7">
            <w:pPr>
              <w:pStyle w:val="TableHeading"/>
              <w:rPr>
                <w:lang w:eastAsia="ja-JP"/>
              </w:rPr>
            </w:pPr>
            <w:r>
              <w:rPr>
                <w:lang w:eastAsia="ja-JP"/>
              </w:rPr>
              <w:t>Nonconformity guide</w:t>
            </w:r>
          </w:p>
        </w:tc>
      </w:tr>
      <w:tr w:rsidR="00644DE7" w14:paraId="62DD0377" w14:textId="77777777" w:rsidTr="00F573B3">
        <w:trPr>
          <w:cantSplit/>
        </w:trPr>
        <w:tc>
          <w:tcPr>
            <w:tcW w:w="4530" w:type="dxa"/>
          </w:tcPr>
          <w:p w14:paraId="01C350D6" w14:textId="7027E1FE" w:rsidR="00644DE7" w:rsidRPr="008540DB" w:rsidRDefault="00644DE7" w:rsidP="00644DE7">
            <w:pPr>
              <w:pStyle w:val="TableText"/>
            </w:pPr>
            <w:r>
              <w:rPr>
                <w:lang w:eastAsia="ja-JP"/>
              </w:rPr>
              <w:t xml:space="preserve">4.1 </w:t>
            </w:r>
            <w:r w:rsidRPr="007A108C">
              <w:t xml:space="preserve">Visible surfaces of international goods and associated transport or storage units and ancillary components must be inspected for biosecurity risk material immediately upon transfer onto the second </w:t>
            </w:r>
            <w:r w:rsidRPr="008540DB">
              <w:t>conveyance.</w:t>
            </w:r>
          </w:p>
          <w:p w14:paraId="118B3B15" w14:textId="4515CE00" w:rsidR="005573EA" w:rsidRDefault="005573EA" w:rsidP="000420E6">
            <w:pPr>
              <w:pStyle w:val="TableText"/>
              <w:rPr>
                <w:lang w:eastAsia="ja-JP"/>
              </w:rPr>
            </w:pPr>
            <w:r w:rsidRPr="008540DB">
              <w:t>Note</w:t>
            </w:r>
            <w:r w:rsidR="000420E6" w:rsidRPr="008540DB">
              <w:t>:</w:t>
            </w:r>
            <w:r w:rsidRPr="008540DB">
              <w:t xml:space="preserve"> the external packaging of </w:t>
            </w:r>
            <w:r w:rsidR="00372BC4" w:rsidRPr="008540DB">
              <w:t>s</w:t>
            </w:r>
            <w:r w:rsidRPr="008540DB">
              <w:t>hip’s stores is considered the ‘visible surface’.</w:t>
            </w:r>
          </w:p>
        </w:tc>
        <w:tc>
          <w:tcPr>
            <w:tcW w:w="4530" w:type="dxa"/>
          </w:tcPr>
          <w:p w14:paraId="25665BD0" w14:textId="11517939" w:rsidR="00644DE7" w:rsidRDefault="00644DE7" w:rsidP="00644DE7">
            <w:pPr>
              <w:pStyle w:val="TableText"/>
              <w:rPr>
                <w:lang w:eastAsia="ja-JP"/>
              </w:rPr>
            </w:pPr>
            <w:r>
              <w:rPr>
                <w:lang w:eastAsia="ja-JP"/>
              </w:rPr>
              <w:t>Major</w:t>
            </w:r>
          </w:p>
        </w:tc>
      </w:tr>
      <w:tr w:rsidR="00644DE7" w14:paraId="37F54BCA" w14:textId="77777777" w:rsidTr="00F573B3">
        <w:trPr>
          <w:cantSplit/>
        </w:trPr>
        <w:tc>
          <w:tcPr>
            <w:tcW w:w="4530" w:type="dxa"/>
          </w:tcPr>
          <w:p w14:paraId="53DAE251" w14:textId="79464292" w:rsidR="00644DE7" w:rsidRDefault="00644DE7" w:rsidP="00644DE7">
            <w:pPr>
              <w:pStyle w:val="TableText"/>
              <w:rPr>
                <w:lang w:eastAsia="ja-JP"/>
              </w:rPr>
            </w:pPr>
            <w:r>
              <w:rPr>
                <w:lang w:eastAsia="ja-JP"/>
              </w:rPr>
              <w:t xml:space="preserve">4.2 </w:t>
            </w:r>
            <w:r w:rsidRPr="007A108C">
              <w:t xml:space="preserve">External surfaces of shipping containers must be inspected upon receipt. This includes </w:t>
            </w:r>
            <w:proofErr w:type="spellStart"/>
            <w:r w:rsidRPr="008F2AC0">
              <w:t>tyne</w:t>
            </w:r>
            <w:proofErr w:type="spellEnd"/>
            <w:r w:rsidRPr="008F2AC0">
              <w:t xml:space="preserve"> pockets and</w:t>
            </w:r>
            <w:r w:rsidRPr="007A108C">
              <w:t xml:space="preserve"> twist locks.</w:t>
            </w:r>
          </w:p>
        </w:tc>
        <w:tc>
          <w:tcPr>
            <w:tcW w:w="4530" w:type="dxa"/>
          </w:tcPr>
          <w:p w14:paraId="0F292175" w14:textId="0E31EDD2" w:rsidR="00644DE7" w:rsidRDefault="00644DE7" w:rsidP="00644DE7">
            <w:pPr>
              <w:pStyle w:val="TableText"/>
              <w:rPr>
                <w:lang w:eastAsia="ja-JP"/>
              </w:rPr>
            </w:pPr>
            <w:r>
              <w:rPr>
                <w:lang w:eastAsia="ja-JP"/>
              </w:rPr>
              <w:t>Major</w:t>
            </w:r>
          </w:p>
        </w:tc>
      </w:tr>
      <w:tr w:rsidR="00644DE7" w14:paraId="792F1365" w14:textId="77777777" w:rsidTr="00F573B3">
        <w:trPr>
          <w:cantSplit/>
        </w:trPr>
        <w:tc>
          <w:tcPr>
            <w:tcW w:w="4530" w:type="dxa"/>
          </w:tcPr>
          <w:p w14:paraId="58694665" w14:textId="5CF71DD0" w:rsidR="00644DE7" w:rsidRDefault="00644DE7" w:rsidP="00372BC4">
            <w:pPr>
              <w:pStyle w:val="TableText"/>
              <w:rPr>
                <w:lang w:eastAsia="ja-JP"/>
              </w:rPr>
            </w:pPr>
            <w:r>
              <w:t xml:space="preserve">4.3 </w:t>
            </w:r>
            <w:r w:rsidRPr="007A108C">
              <w:t>Upon receipt of containers, their doors must be opened</w:t>
            </w:r>
            <w:r w:rsidR="00372BC4">
              <w:t>.</w:t>
            </w:r>
            <w:r w:rsidRPr="007A108C">
              <w:t xml:space="preserve"> </w:t>
            </w:r>
            <w:r w:rsidR="005A0072">
              <w:t>The v</w:t>
            </w:r>
            <w:r w:rsidRPr="007A108C">
              <w:t xml:space="preserve">isible internal surfaces and surfaces of goods visible from the container doors must be inspected for </w:t>
            </w:r>
            <w:r w:rsidR="00372BC4">
              <w:t>biosecurity risk material</w:t>
            </w:r>
            <w:r w:rsidRPr="007A108C">
              <w:t>.</w:t>
            </w:r>
          </w:p>
        </w:tc>
        <w:tc>
          <w:tcPr>
            <w:tcW w:w="4530" w:type="dxa"/>
          </w:tcPr>
          <w:p w14:paraId="59BE6B81" w14:textId="097BC47C" w:rsidR="00644DE7" w:rsidRDefault="00644DE7" w:rsidP="00644DE7">
            <w:pPr>
              <w:pStyle w:val="TableText"/>
              <w:rPr>
                <w:lang w:eastAsia="ja-JP"/>
              </w:rPr>
            </w:pPr>
            <w:r>
              <w:rPr>
                <w:lang w:eastAsia="ja-JP"/>
              </w:rPr>
              <w:t>Major</w:t>
            </w:r>
          </w:p>
        </w:tc>
      </w:tr>
      <w:tr w:rsidR="00644DE7" w14:paraId="2CD6AF45" w14:textId="77777777" w:rsidTr="00F573B3">
        <w:trPr>
          <w:cantSplit/>
        </w:trPr>
        <w:tc>
          <w:tcPr>
            <w:tcW w:w="4530" w:type="dxa"/>
          </w:tcPr>
          <w:p w14:paraId="2385F60D" w14:textId="2847BACF" w:rsidR="00644DE7" w:rsidRPr="008540DB" w:rsidRDefault="00644DE7" w:rsidP="00644DE7">
            <w:pPr>
              <w:pStyle w:val="TableText"/>
            </w:pPr>
            <w:r>
              <w:rPr>
                <w:lang w:eastAsia="ja-JP"/>
              </w:rPr>
              <w:t xml:space="preserve">4.4 </w:t>
            </w:r>
            <w:r>
              <w:t xml:space="preserve">If live or dead animals or live insects are detected on international goods or in </w:t>
            </w:r>
            <w:r w:rsidRPr="008540DB">
              <w:t>containers</w:t>
            </w:r>
            <w:r w:rsidR="005573EA" w:rsidRPr="008540DB">
              <w:t xml:space="preserve"> at any time: </w:t>
            </w:r>
          </w:p>
          <w:p w14:paraId="653D2517" w14:textId="77777777" w:rsidR="00644DE7" w:rsidRDefault="00644DE7" w:rsidP="009155C8">
            <w:pPr>
              <w:pStyle w:val="TableBullet"/>
              <w:numPr>
                <w:ilvl w:val="0"/>
                <w:numId w:val="26"/>
              </w:numPr>
              <w:ind w:left="284" w:hanging="284"/>
              <w:rPr>
                <w:lang w:eastAsia="ja-JP"/>
              </w:rPr>
            </w:pPr>
            <w:r w:rsidRPr="008540DB">
              <w:rPr>
                <w:lang w:eastAsia="ja-JP"/>
              </w:rPr>
              <w:t>the container doors must be closed</w:t>
            </w:r>
            <w:r>
              <w:rPr>
                <w:lang w:eastAsia="ja-JP"/>
              </w:rPr>
              <w:t xml:space="preserve"> immediately</w:t>
            </w:r>
          </w:p>
          <w:p w14:paraId="75C4D16C" w14:textId="4C1408F9" w:rsidR="00644DE7" w:rsidRDefault="00644DE7" w:rsidP="009155C8">
            <w:pPr>
              <w:pStyle w:val="TableBullet"/>
              <w:numPr>
                <w:ilvl w:val="0"/>
                <w:numId w:val="26"/>
              </w:numPr>
              <w:ind w:left="284" w:hanging="284"/>
              <w:rPr>
                <w:lang w:eastAsia="ja-JP"/>
              </w:rPr>
            </w:pPr>
            <w:r>
              <w:rPr>
                <w:lang w:eastAsia="ja-JP"/>
              </w:rPr>
              <w:t xml:space="preserve">an insecticide spray must be applied </w:t>
            </w:r>
          </w:p>
          <w:p w14:paraId="1E07FA3C" w14:textId="1AA315EC" w:rsidR="00644DE7" w:rsidRDefault="00644DE7" w:rsidP="009155C8">
            <w:pPr>
              <w:pStyle w:val="TableBullet"/>
              <w:numPr>
                <w:ilvl w:val="0"/>
                <w:numId w:val="26"/>
              </w:numPr>
              <w:ind w:left="284" w:hanging="284"/>
              <w:rPr>
                <w:lang w:eastAsia="ja-JP"/>
              </w:rPr>
            </w:pPr>
            <w:r>
              <w:rPr>
                <w:lang w:eastAsia="ja-JP"/>
              </w:rPr>
              <w:t>the department must be contacted immediately.</w:t>
            </w:r>
          </w:p>
        </w:tc>
        <w:tc>
          <w:tcPr>
            <w:tcW w:w="4530" w:type="dxa"/>
          </w:tcPr>
          <w:p w14:paraId="3317A30B" w14:textId="0A6D35F2" w:rsidR="00644DE7" w:rsidRDefault="00644DE7" w:rsidP="00644DE7">
            <w:pPr>
              <w:pStyle w:val="TableText"/>
              <w:rPr>
                <w:lang w:eastAsia="ja-JP"/>
              </w:rPr>
            </w:pPr>
            <w:r>
              <w:rPr>
                <w:lang w:eastAsia="ja-JP"/>
              </w:rPr>
              <w:t>Major or critical</w:t>
            </w:r>
          </w:p>
        </w:tc>
      </w:tr>
      <w:tr w:rsidR="00644DE7" w14:paraId="627C594C" w14:textId="77777777" w:rsidTr="00F573B3">
        <w:trPr>
          <w:cantSplit/>
        </w:trPr>
        <w:tc>
          <w:tcPr>
            <w:tcW w:w="4530" w:type="dxa"/>
          </w:tcPr>
          <w:p w14:paraId="430EAE7A" w14:textId="1767FC7B" w:rsidR="00644DE7" w:rsidRDefault="00644DE7" w:rsidP="00372BC4">
            <w:pPr>
              <w:pStyle w:val="TableText"/>
              <w:rPr>
                <w:lang w:eastAsia="ja-JP"/>
              </w:rPr>
            </w:pPr>
            <w:r>
              <w:rPr>
                <w:lang w:eastAsia="ja-JP"/>
              </w:rPr>
              <w:t xml:space="preserve">4.5 </w:t>
            </w:r>
            <w:r w:rsidRPr="007A108C">
              <w:t xml:space="preserve">As containerised goods are unpacked, the internal surfaces of the container that become visible and visible surfaces of the goods being unpacked must be fully inspected for </w:t>
            </w:r>
            <w:r w:rsidR="00372BC4">
              <w:t>biosecurity risk material</w:t>
            </w:r>
            <w:r w:rsidRPr="007A108C">
              <w:t>.</w:t>
            </w:r>
          </w:p>
        </w:tc>
        <w:tc>
          <w:tcPr>
            <w:tcW w:w="4530" w:type="dxa"/>
          </w:tcPr>
          <w:p w14:paraId="254851F1" w14:textId="60E4AEF3" w:rsidR="00644DE7" w:rsidRDefault="00644DE7" w:rsidP="00644DE7">
            <w:pPr>
              <w:pStyle w:val="TableText"/>
              <w:rPr>
                <w:lang w:eastAsia="ja-JP"/>
              </w:rPr>
            </w:pPr>
            <w:r>
              <w:rPr>
                <w:lang w:eastAsia="ja-JP"/>
              </w:rPr>
              <w:t>Major</w:t>
            </w:r>
          </w:p>
        </w:tc>
      </w:tr>
      <w:tr w:rsidR="00644DE7" w14:paraId="7756F38A" w14:textId="77777777" w:rsidTr="00F573B3">
        <w:trPr>
          <w:cantSplit/>
        </w:trPr>
        <w:tc>
          <w:tcPr>
            <w:tcW w:w="4530" w:type="dxa"/>
          </w:tcPr>
          <w:p w14:paraId="577AB524" w14:textId="7A1B597F" w:rsidR="00644DE7" w:rsidRDefault="00644DE7" w:rsidP="00644DE7">
            <w:pPr>
              <w:pStyle w:val="TableText"/>
              <w:rPr>
                <w:lang w:eastAsia="ja-JP"/>
              </w:rPr>
            </w:pPr>
            <w:r>
              <w:rPr>
                <w:lang w:eastAsia="ja-JP"/>
              </w:rPr>
              <w:t xml:space="preserve">4.6 </w:t>
            </w:r>
            <w:r w:rsidRPr="007A108C">
              <w:t>Internal surfaces of workshop style containers must be fully inspected upon receipt.</w:t>
            </w:r>
          </w:p>
        </w:tc>
        <w:tc>
          <w:tcPr>
            <w:tcW w:w="4530" w:type="dxa"/>
          </w:tcPr>
          <w:p w14:paraId="1983FB93" w14:textId="70321330" w:rsidR="00644DE7" w:rsidRDefault="00644DE7" w:rsidP="00644DE7">
            <w:pPr>
              <w:pStyle w:val="TableText"/>
              <w:rPr>
                <w:lang w:eastAsia="ja-JP"/>
              </w:rPr>
            </w:pPr>
            <w:r>
              <w:rPr>
                <w:lang w:eastAsia="ja-JP"/>
              </w:rPr>
              <w:t>Major</w:t>
            </w:r>
          </w:p>
        </w:tc>
      </w:tr>
      <w:tr w:rsidR="00644DE7" w14:paraId="0B81DF07" w14:textId="77777777" w:rsidTr="00F573B3">
        <w:trPr>
          <w:cantSplit/>
        </w:trPr>
        <w:tc>
          <w:tcPr>
            <w:tcW w:w="4530" w:type="dxa"/>
          </w:tcPr>
          <w:p w14:paraId="5DC9FDBA" w14:textId="0B4DC1B8" w:rsidR="00644DE7" w:rsidRDefault="00644DE7" w:rsidP="00372BC4">
            <w:pPr>
              <w:pStyle w:val="TableText"/>
              <w:rPr>
                <w:lang w:eastAsia="ja-JP"/>
              </w:rPr>
            </w:pPr>
            <w:r>
              <w:rPr>
                <w:lang w:eastAsia="ja-JP"/>
              </w:rPr>
              <w:t xml:space="preserve">4.7 </w:t>
            </w:r>
            <w:r w:rsidR="00372BC4">
              <w:t>Biosecurity risk material</w:t>
            </w:r>
            <w:r w:rsidR="00372BC4" w:rsidRPr="007A108C">
              <w:t xml:space="preserve"> </w:t>
            </w:r>
            <w:r w:rsidRPr="007A108C">
              <w:t>identified within containers or on international goods must be immediately removed and disposed of as biosecurity waste.</w:t>
            </w:r>
          </w:p>
        </w:tc>
        <w:tc>
          <w:tcPr>
            <w:tcW w:w="4530" w:type="dxa"/>
          </w:tcPr>
          <w:p w14:paraId="2917A782" w14:textId="22BF7015" w:rsidR="00644DE7" w:rsidRDefault="00644DE7" w:rsidP="00644DE7">
            <w:pPr>
              <w:pStyle w:val="TableText"/>
              <w:rPr>
                <w:lang w:eastAsia="ja-JP"/>
              </w:rPr>
            </w:pPr>
            <w:r>
              <w:rPr>
                <w:lang w:eastAsia="ja-JP"/>
              </w:rPr>
              <w:t>Major or critical</w:t>
            </w:r>
          </w:p>
        </w:tc>
      </w:tr>
      <w:tr w:rsidR="00644DE7" w14:paraId="03BCC392" w14:textId="77777777" w:rsidTr="00F573B3">
        <w:trPr>
          <w:cantSplit/>
        </w:trPr>
        <w:tc>
          <w:tcPr>
            <w:tcW w:w="4530" w:type="dxa"/>
          </w:tcPr>
          <w:p w14:paraId="10DD6DFF" w14:textId="77777777" w:rsidR="00644DE7" w:rsidRDefault="00644DE7" w:rsidP="009155C8">
            <w:pPr>
              <w:pStyle w:val="TableBullet"/>
            </w:pPr>
            <w:r>
              <w:rPr>
                <w:lang w:eastAsia="ja-JP"/>
              </w:rPr>
              <w:lastRenderedPageBreak/>
              <w:t xml:space="preserve">4.8 </w:t>
            </w:r>
            <w:r>
              <w:t xml:space="preserve">Timber packaging/dunnage (including ISPM 15 compliant timber) associated with international goods transferred onto the second conveyance must be examined for the </w:t>
            </w:r>
            <w:r>
              <w:rPr>
                <w:lang w:eastAsia="ja-JP"/>
              </w:rPr>
              <w:t>presence</w:t>
            </w:r>
            <w:r>
              <w:t xml:space="preserve"> of:</w:t>
            </w:r>
          </w:p>
          <w:p w14:paraId="19D1933A" w14:textId="77777777" w:rsidR="00644DE7" w:rsidRDefault="00644DE7" w:rsidP="009155C8">
            <w:pPr>
              <w:pStyle w:val="TableBullet"/>
              <w:numPr>
                <w:ilvl w:val="0"/>
                <w:numId w:val="26"/>
              </w:numPr>
              <w:ind w:left="284" w:hanging="284"/>
              <w:rPr>
                <w:lang w:eastAsia="ja-JP"/>
              </w:rPr>
            </w:pPr>
            <w:r>
              <w:rPr>
                <w:lang w:eastAsia="ja-JP"/>
              </w:rPr>
              <w:t>live insects and insect damage (including holes with frass)</w:t>
            </w:r>
          </w:p>
          <w:p w14:paraId="718B5842" w14:textId="1809C568" w:rsidR="00644DE7" w:rsidRDefault="00644DE7" w:rsidP="009155C8">
            <w:pPr>
              <w:pStyle w:val="TableBullet"/>
              <w:numPr>
                <w:ilvl w:val="0"/>
                <w:numId w:val="26"/>
              </w:numPr>
              <w:ind w:left="284" w:hanging="284"/>
              <w:rPr>
                <w:lang w:eastAsia="ja-JP"/>
              </w:rPr>
            </w:pPr>
            <w:r>
              <w:rPr>
                <w:lang w:eastAsia="ja-JP"/>
              </w:rPr>
              <w:t>bark.</w:t>
            </w:r>
          </w:p>
        </w:tc>
        <w:tc>
          <w:tcPr>
            <w:tcW w:w="4530" w:type="dxa"/>
          </w:tcPr>
          <w:p w14:paraId="09C5C900" w14:textId="044EC74A" w:rsidR="00644DE7" w:rsidRDefault="00644DE7" w:rsidP="00644DE7">
            <w:pPr>
              <w:pStyle w:val="TableText"/>
              <w:rPr>
                <w:lang w:eastAsia="ja-JP"/>
              </w:rPr>
            </w:pPr>
            <w:r>
              <w:rPr>
                <w:lang w:eastAsia="ja-JP"/>
              </w:rPr>
              <w:t>Major</w:t>
            </w:r>
          </w:p>
        </w:tc>
      </w:tr>
      <w:tr w:rsidR="00644DE7" w14:paraId="7FFD3CA4" w14:textId="77777777" w:rsidTr="00F573B3">
        <w:trPr>
          <w:cantSplit/>
        </w:trPr>
        <w:tc>
          <w:tcPr>
            <w:tcW w:w="4530" w:type="dxa"/>
          </w:tcPr>
          <w:p w14:paraId="658E08A0" w14:textId="373F6CD6" w:rsidR="00644DE7" w:rsidRDefault="00644DE7" w:rsidP="00644DE7">
            <w:pPr>
              <w:pStyle w:val="TableText"/>
              <w:rPr>
                <w:lang w:eastAsia="ja-JP"/>
              </w:rPr>
            </w:pPr>
            <w:r>
              <w:rPr>
                <w:lang w:eastAsia="ja-JP"/>
              </w:rPr>
              <w:t xml:space="preserve">4.9 </w:t>
            </w:r>
            <w:r w:rsidRPr="007A108C">
              <w:t>If live insects and/or insect damage (including holes with frass) are detected on the timber packaging/dunnage the department must be contacted immediately.</w:t>
            </w:r>
          </w:p>
        </w:tc>
        <w:tc>
          <w:tcPr>
            <w:tcW w:w="4530" w:type="dxa"/>
          </w:tcPr>
          <w:p w14:paraId="14EDC076" w14:textId="1C7213D4" w:rsidR="00644DE7" w:rsidRDefault="00644DE7" w:rsidP="00644DE7">
            <w:pPr>
              <w:pStyle w:val="TableText"/>
              <w:rPr>
                <w:lang w:eastAsia="ja-JP"/>
              </w:rPr>
            </w:pPr>
            <w:r>
              <w:rPr>
                <w:lang w:eastAsia="ja-JP"/>
              </w:rPr>
              <w:t>Major or critical</w:t>
            </w:r>
          </w:p>
        </w:tc>
      </w:tr>
      <w:tr w:rsidR="00644DE7" w14:paraId="3FF99D14" w14:textId="77777777" w:rsidTr="00F573B3">
        <w:trPr>
          <w:cantSplit/>
        </w:trPr>
        <w:tc>
          <w:tcPr>
            <w:tcW w:w="4530" w:type="dxa"/>
          </w:tcPr>
          <w:p w14:paraId="4A750951" w14:textId="1E95122C" w:rsidR="00644DE7" w:rsidRDefault="00644DE7" w:rsidP="00644DE7">
            <w:pPr>
              <w:pStyle w:val="TableText"/>
              <w:rPr>
                <w:lang w:eastAsia="ja-JP"/>
              </w:rPr>
            </w:pPr>
            <w:r>
              <w:rPr>
                <w:lang w:eastAsia="ja-JP"/>
              </w:rPr>
              <w:t xml:space="preserve">4.10 </w:t>
            </w:r>
            <w:r w:rsidRPr="007A108C">
              <w:t>Bark detected on timber packaging/dunnage must be removed and disposed of as biosecurity waste.</w:t>
            </w:r>
          </w:p>
        </w:tc>
        <w:tc>
          <w:tcPr>
            <w:tcW w:w="4530" w:type="dxa"/>
          </w:tcPr>
          <w:p w14:paraId="06F35467" w14:textId="15A601D3" w:rsidR="00644DE7" w:rsidRDefault="00644DE7" w:rsidP="00644DE7">
            <w:pPr>
              <w:pStyle w:val="TableText"/>
              <w:rPr>
                <w:lang w:eastAsia="ja-JP"/>
              </w:rPr>
            </w:pPr>
            <w:r>
              <w:rPr>
                <w:lang w:eastAsia="ja-JP"/>
              </w:rPr>
              <w:t>Major</w:t>
            </w:r>
          </w:p>
        </w:tc>
      </w:tr>
      <w:tr w:rsidR="00341459" w14:paraId="501B9D26" w14:textId="77777777" w:rsidTr="00F573B3">
        <w:trPr>
          <w:cantSplit/>
        </w:trPr>
        <w:tc>
          <w:tcPr>
            <w:tcW w:w="4530" w:type="dxa"/>
          </w:tcPr>
          <w:p w14:paraId="6E500344" w14:textId="6B4A558D" w:rsidR="00341459" w:rsidRDefault="00341459" w:rsidP="00B949F2">
            <w:pPr>
              <w:pStyle w:val="TableText"/>
              <w:rPr>
                <w:lang w:eastAsia="ja-JP"/>
              </w:rPr>
            </w:pPr>
            <w:r>
              <w:rPr>
                <w:lang w:eastAsia="ja-JP"/>
              </w:rPr>
              <w:t xml:space="preserve">4.11 </w:t>
            </w:r>
            <w:r w:rsidRPr="007A108C">
              <w:t>Timber packaging/dunnage must be stored in a c</w:t>
            </w:r>
            <w:r w:rsidRPr="008540DB">
              <w:t xml:space="preserve">learly defined </w:t>
            </w:r>
            <w:r w:rsidR="00B949F2" w:rsidRPr="008540DB">
              <w:t xml:space="preserve">biosecurity </w:t>
            </w:r>
            <w:r w:rsidRPr="008540DB">
              <w:t xml:space="preserve">area or a </w:t>
            </w:r>
            <w:r w:rsidR="00B949F2" w:rsidRPr="008540DB">
              <w:t>biosecurity</w:t>
            </w:r>
            <w:r w:rsidR="00B949F2" w:rsidRPr="007A108C">
              <w:t xml:space="preserve"> </w:t>
            </w:r>
            <w:r w:rsidRPr="007A108C">
              <w:t>dunnage container until treatment or movement.</w:t>
            </w:r>
          </w:p>
        </w:tc>
        <w:tc>
          <w:tcPr>
            <w:tcW w:w="4530" w:type="dxa"/>
          </w:tcPr>
          <w:p w14:paraId="0E9A4A28" w14:textId="5D2E7E58" w:rsidR="00341459" w:rsidRDefault="00341459" w:rsidP="00644DE7">
            <w:pPr>
              <w:pStyle w:val="TableText"/>
              <w:rPr>
                <w:lang w:eastAsia="ja-JP"/>
              </w:rPr>
            </w:pPr>
            <w:r>
              <w:rPr>
                <w:lang w:eastAsia="ja-JP"/>
              </w:rPr>
              <w:t>Major</w:t>
            </w:r>
          </w:p>
        </w:tc>
      </w:tr>
      <w:tr w:rsidR="00341459" w14:paraId="22983AC2" w14:textId="77777777" w:rsidTr="00F573B3">
        <w:trPr>
          <w:cantSplit/>
        </w:trPr>
        <w:tc>
          <w:tcPr>
            <w:tcW w:w="4530" w:type="dxa"/>
          </w:tcPr>
          <w:p w14:paraId="15686DCC" w14:textId="405A9883" w:rsidR="00341459" w:rsidRDefault="00341459" w:rsidP="00355870">
            <w:pPr>
              <w:pStyle w:val="TableText"/>
              <w:rPr>
                <w:lang w:eastAsia="ja-JP"/>
              </w:rPr>
            </w:pPr>
            <w:r>
              <w:rPr>
                <w:lang w:eastAsia="ja-JP"/>
              </w:rPr>
              <w:t xml:space="preserve">4.12 </w:t>
            </w:r>
            <w:r w:rsidRPr="007A108C">
              <w:t xml:space="preserve">ISPM 15 compliant timber packaging/dunnage </w:t>
            </w:r>
            <w:r w:rsidR="00503C72">
              <w:t xml:space="preserve">that </w:t>
            </w:r>
            <w:proofErr w:type="gramStart"/>
            <w:r w:rsidR="00503C72">
              <w:t>comes into contact with</w:t>
            </w:r>
            <w:proofErr w:type="gramEnd"/>
            <w:r w:rsidR="00503C72">
              <w:t xml:space="preserve"> other imported timber packaging/dunnage</w:t>
            </w:r>
            <w:r w:rsidR="00355870">
              <w:t xml:space="preserve"> must be </w:t>
            </w:r>
            <w:r w:rsidR="00A21F8D" w:rsidRPr="007A108C">
              <w:t>stored in a c</w:t>
            </w:r>
            <w:r w:rsidR="00A21F8D" w:rsidRPr="008540DB">
              <w:t>learly defined biosecurity area or a biosecurity</w:t>
            </w:r>
            <w:r w:rsidR="00A21F8D" w:rsidRPr="007A108C">
              <w:t xml:space="preserve"> dunnage container until treatment or movement</w:t>
            </w:r>
            <w:r w:rsidR="00A21F8D">
              <w:t>.</w:t>
            </w:r>
          </w:p>
        </w:tc>
        <w:tc>
          <w:tcPr>
            <w:tcW w:w="4530" w:type="dxa"/>
          </w:tcPr>
          <w:p w14:paraId="6248EC25" w14:textId="09F03BD9" w:rsidR="00341459" w:rsidRDefault="00341459" w:rsidP="00644DE7">
            <w:pPr>
              <w:pStyle w:val="TableText"/>
              <w:rPr>
                <w:lang w:eastAsia="ja-JP"/>
              </w:rPr>
            </w:pPr>
            <w:r>
              <w:rPr>
                <w:lang w:eastAsia="ja-JP"/>
              </w:rPr>
              <w:t>Major</w:t>
            </w:r>
          </w:p>
        </w:tc>
      </w:tr>
    </w:tbl>
    <w:p w14:paraId="29597A01" w14:textId="3AABA58A" w:rsidR="00341459" w:rsidRDefault="00341459" w:rsidP="00341459">
      <w:pPr>
        <w:pStyle w:val="Caption"/>
        <w:spacing w:before="240"/>
      </w:pPr>
      <w:r>
        <w:t>Table 4B Operating requirements—Transfer of international goods</w:t>
      </w:r>
      <w:r w:rsidR="009114A9">
        <w:t xml:space="preserve"> (continued)</w:t>
      </w:r>
    </w:p>
    <w:tbl>
      <w:tblPr>
        <w:tblStyle w:val="TableGrid"/>
        <w:tblW w:w="0" w:type="auto"/>
        <w:tblLook w:val="04A0" w:firstRow="1" w:lastRow="0" w:firstColumn="1" w:lastColumn="0" w:noHBand="0" w:noVBand="1"/>
      </w:tblPr>
      <w:tblGrid>
        <w:gridCol w:w="4530"/>
        <w:gridCol w:w="4530"/>
      </w:tblGrid>
      <w:tr w:rsidR="00341459" w14:paraId="53065CB2" w14:textId="77777777" w:rsidTr="00341459">
        <w:trPr>
          <w:cantSplit/>
          <w:tblHeader/>
        </w:trPr>
        <w:tc>
          <w:tcPr>
            <w:tcW w:w="4530" w:type="dxa"/>
          </w:tcPr>
          <w:p w14:paraId="3D1E8B21" w14:textId="61BAD117" w:rsidR="00341459" w:rsidRDefault="00341459" w:rsidP="00341459">
            <w:pPr>
              <w:pStyle w:val="TableHeading"/>
              <w:rPr>
                <w:lang w:eastAsia="ja-JP"/>
              </w:rPr>
            </w:pPr>
            <w:r>
              <w:rPr>
                <w:lang w:eastAsia="ja-JP"/>
              </w:rPr>
              <w:t>Requirements</w:t>
            </w:r>
          </w:p>
        </w:tc>
        <w:tc>
          <w:tcPr>
            <w:tcW w:w="4530" w:type="dxa"/>
          </w:tcPr>
          <w:p w14:paraId="57CC4881" w14:textId="4851A299" w:rsidR="00341459" w:rsidRDefault="00341459" w:rsidP="00341459">
            <w:pPr>
              <w:pStyle w:val="TableHeading"/>
              <w:rPr>
                <w:lang w:eastAsia="ja-JP"/>
              </w:rPr>
            </w:pPr>
            <w:r>
              <w:rPr>
                <w:lang w:eastAsia="ja-JP"/>
              </w:rPr>
              <w:t>Nonconformity guide</w:t>
            </w:r>
          </w:p>
        </w:tc>
      </w:tr>
      <w:tr w:rsidR="00341459" w14:paraId="573E9D56" w14:textId="77777777" w:rsidTr="00341459">
        <w:trPr>
          <w:cantSplit/>
          <w:tblHeader/>
        </w:trPr>
        <w:tc>
          <w:tcPr>
            <w:tcW w:w="4530" w:type="dxa"/>
          </w:tcPr>
          <w:p w14:paraId="361EFEB8" w14:textId="3923CC60" w:rsidR="00341459" w:rsidRDefault="00341459" w:rsidP="00341459">
            <w:pPr>
              <w:pStyle w:val="TableText"/>
              <w:rPr>
                <w:lang w:eastAsia="ja-JP"/>
              </w:rPr>
            </w:pPr>
            <w:r>
              <w:rPr>
                <w:lang w:eastAsia="ja-JP"/>
              </w:rPr>
              <w:t xml:space="preserve">4.13 </w:t>
            </w:r>
            <w:r w:rsidRPr="007A108C">
              <w:t>Records of transfers of international goods onto the second conveyance must be maintained.</w:t>
            </w:r>
          </w:p>
        </w:tc>
        <w:tc>
          <w:tcPr>
            <w:tcW w:w="4530" w:type="dxa"/>
          </w:tcPr>
          <w:p w14:paraId="5E1E9B74" w14:textId="39137306" w:rsidR="00341459" w:rsidRDefault="00341459" w:rsidP="00341459">
            <w:pPr>
              <w:pStyle w:val="TableText"/>
              <w:rPr>
                <w:lang w:eastAsia="ja-JP"/>
              </w:rPr>
            </w:pPr>
            <w:r>
              <w:rPr>
                <w:lang w:eastAsia="ja-JP"/>
              </w:rPr>
              <w:t>Major</w:t>
            </w:r>
          </w:p>
        </w:tc>
      </w:tr>
      <w:tr w:rsidR="00B949F2" w14:paraId="7390F9B4" w14:textId="77777777" w:rsidTr="00341459">
        <w:trPr>
          <w:cantSplit/>
          <w:tblHeader/>
        </w:trPr>
        <w:tc>
          <w:tcPr>
            <w:tcW w:w="4530" w:type="dxa"/>
          </w:tcPr>
          <w:p w14:paraId="70771BA5" w14:textId="041F3D91" w:rsidR="00B949F2" w:rsidRPr="008540DB" w:rsidRDefault="00B949F2" w:rsidP="00341459">
            <w:pPr>
              <w:pStyle w:val="TableText"/>
              <w:rPr>
                <w:lang w:eastAsia="ja-JP"/>
              </w:rPr>
            </w:pPr>
            <w:r w:rsidRPr="008540DB">
              <w:rPr>
                <w:lang w:eastAsia="ja-JP"/>
              </w:rPr>
              <w:t xml:space="preserve">4.14 </w:t>
            </w:r>
            <w:r w:rsidRPr="008540DB">
              <w:rPr>
                <w:rFonts w:cstheme="majorHAnsi"/>
                <w:bCs/>
              </w:rPr>
              <w:t>Ship’s stores must not be transferred to an exposed conveyance unless intended for disposal as biosecurity waste.</w:t>
            </w:r>
          </w:p>
        </w:tc>
        <w:tc>
          <w:tcPr>
            <w:tcW w:w="4530" w:type="dxa"/>
          </w:tcPr>
          <w:p w14:paraId="246C8E04" w14:textId="15DF9DBE" w:rsidR="00B949F2" w:rsidRDefault="00B949F2" w:rsidP="00341459">
            <w:pPr>
              <w:pStyle w:val="TableText"/>
              <w:rPr>
                <w:lang w:eastAsia="ja-JP"/>
              </w:rPr>
            </w:pPr>
            <w:r>
              <w:rPr>
                <w:lang w:eastAsia="ja-JP"/>
              </w:rPr>
              <w:t>Major or critical</w:t>
            </w:r>
          </w:p>
        </w:tc>
      </w:tr>
      <w:tr w:rsidR="00341459" w14:paraId="5FE3CC2E" w14:textId="77777777" w:rsidTr="00341459">
        <w:trPr>
          <w:cantSplit/>
          <w:tblHeader/>
        </w:trPr>
        <w:tc>
          <w:tcPr>
            <w:tcW w:w="4530" w:type="dxa"/>
          </w:tcPr>
          <w:p w14:paraId="2B341220" w14:textId="6E99A44A" w:rsidR="00625966" w:rsidRPr="008540DB" w:rsidRDefault="00341459" w:rsidP="00625966">
            <w:pPr>
              <w:pStyle w:val="TableText"/>
            </w:pPr>
            <w:r w:rsidRPr="008540DB">
              <w:rPr>
                <w:lang w:eastAsia="ja-JP"/>
              </w:rPr>
              <w:t>4.1</w:t>
            </w:r>
            <w:r w:rsidR="00B949F2" w:rsidRPr="008540DB">
              <w:rPr>
                <w:lang w:eastAsia="ja-JP"/>
              </w:rPr>
              <w:t>5</w:t>
            </w:r>
            <w:r w:rsidRPr="008540DB">
              <w:rPr>
                <w:lang w:eastAsia="ja-JP"/>
              </w:rPr>
              <w:t xml:space="preserve"> </w:t>
            </w:r>
            <w:r w:rsidR="00625966" w:rsidRPr="008540DB">
              <w:t>When transferring goods (originally received onto the second conveyance as used) to an exposed conveyance for transfer to and landing/discharge in an Australian territory</w:t>
            </w:r>
            <w:r w:rsidR="00A21F8D">
              <w:t>,</w:t>
            </w:r>
            <w:r w:rsidR="00625966" w:rsidRPr="008540DB">
              <w:t xml:space="preserve"> the biosecurity industry participant must inform the operator of the exposed conveyance:</w:t>
            </w:r>
          </w:p>
          <w:p w14:paraId="07A82FB1" w14:textId="04CE63CB" w:rsidR="00625966" w:rsidRPr="008540DB" w:rsidRDefault="00625966" w:rsidP="009155C8">
            <w:pPr>
              <w:pStyle w:val="TableBullet"/>
              <w:numPr>
                <w:ilvl w:val="0"/>
                <w:numId w:val="24"/>
              </w:numPr>
              <w:ind w:left="284" w:hanging="284"/>
              <w:rPr>
                <w:lang w:eastAsia="ja-JP"/>
              </w:rPr>
            </w:pPr>
            <w:r w:rsidRPr="008540DB">
              <w:rPr>
                <w:lang w:eastAsia="ja-JP"/>
              </w:rPr>
              <w:t xml:space="preserve">of the status of the goods </w:t>
            </w:r>
          </w:p>
          <w:p w14:paraId="5A3A5983" w14:textId="7CD71CF6" w:rsidR="00625966" w:rsidRPr="008540DB" w:rsidRDefault="00625966" w:rsidP="009155C8">
            <w:pPr>
              <w:pStyle w:val="TableBullet"/>
              <w:numPr>
                <w:ilvl w:val="0"/>
                <w:numId w:val="24"/>
              </w:numPr>
              <w:ind w:left="284" w:hanging="284"/>
              <w:rPr>
                <w:lang w:eastAsia="ja-JP"/>
              </w:rPr>
            </w:pPr>
            <w:r w:rsidRPr="008540DB">
              <w:rPr>
                <w:lang w:eastAsia="ja-JP"/>
              </w:rPr>
              <w:t>the reporting requirements.</w:t>
            </w:r>
          </w:p>
          <w:p w14:paraId="6105CFB0" w14:textId="794C838A" w:rsidR="00341459" w:rsidRPr="008540DB" w:rsidRDefault="00341459" w:rsidP="00341459">
            <w:pPr>
              <w:pStyle w:val="TableText"/>
            </w:pPr>
          </w:p>
          <w:p w14:paraId="1826D12C" w14:textId="10BC1BDA" w:rsidR="00341459" w:rsidRPr="008540DB" w:rsidRDefault="00341459" w:rsidP="00341459">
            <w:pPr>
              <w:pStyle w:val="TableText"/>
              <w:rPr>
                <w:lang w:eastAsia="ja-JP"/>
              </w:rPr>
            </w:pPr>
            <w:r w:rsidRPr="008540DB">
              <w:rPr>
                <w:rStyle w:val="Emphasis"/>
                <w:i w:val="0"/>
              </w:rPr>
              <w:t>Note:</w:t>
            </w:r>
            <w:r w:rsidRPr="008540DB">
              <w:t xml:space="preserve"> </w:t>
            </w:r>
            <w:r w:rsidR="00122B17" w:rsidRPr="008540DB">
              <w:t>i</w:t>
            </w:r>
            <w:r w:rsidRPr="008540DB">
              <w:t>ntent to land/discharge these goods must be reported to the department and directions relating to the handling and management of those goods upon landing must be complied with.</w:t>
            </w:r>
          </w:p>
        </w:tc>
        <w:tc>
          <w:tcPr>
            <w:tcW w:w="4530" w:type="dxa"/>
          </w:tcPr>
          <w:p w14:paraId="2433522A" w14:textId="7E317BFE" w:rsidR="00341459" w:rsidRDefault="00341459" w:rsidP="00341459">
            <w:pPr>
              <w:pStyle w:val="TableText"/>
              <w:rPr>
                <w:lang w:eastAsia="ja-JP"/>
              </w:rPr>
            </w:pPr>
            <w:r>
              <w:rPr>
                <w:lang w:eastAsia="ja-JP"/>
              </w:rPr>
              <w:t>Critical</w:t>
            </w:r>
          </w:p>
        </w:tc>
      </w:tr>
    </w:tbl>
    <w:p w14:paraId="121FF9F0" w14:textId="158A2632" w:rsidR="00923AD8" w:rsidRDefault="00923AD8" w:rsidP="00923AD8">
      <w:pPr>
        <w:pStyle w:val="Caption"/>
        <w:spacing w:before="240"/>
      </w:pPr>
      <w:r>
        <w:lastRenderedPageBreak/>
        <w:t>Table 4C Operating requirements—Transfer of international persons</w:t>
      </w:r>
    </w:p>
    <w:tbl>
      <w:tblPr>
        <w:tblStyle w:val="TableGrid"/>
        <w:tblW w:w="0" w:type="auto"/>
        <w:tblLook w:val="04A0" w:firstRow="1" w:lastRow="0" w:firstColumn="1" w:lastColumn="0" w:noHBand="0" w:noVBand="1"/>
      </w:tblPr>
      <w:tblGrid>
        <w:gridCol w:w="4530"/>
        <w:gridCol w:w="4530"/>
      </w:tblGrid>
      <w:tr w:rsidR="00923AD8" w14:paraId="0D7BFE55" w14:textId="77777777" w:rsidTr="00923AD8">
        <w:trPr>
          <w:cantSplit/>
          <w:tblHeader/>
        </w:trPr>
        <w:tc>
          <w:tcPr>
            <w:tcW w:w="4530" w:type="dxa"/>
          </w:tcPr>
          <w:p w14:paraId="20750105" w14:textId="5927D4F1" w:rsidR="00923AD8" w:rsidRDefault="00923AD8" w:rsidP="00923AD8">
            <w:pPr>
              <w:pStyle w:val="TableHeading"/>
              <w:rPr>
                <w:lang w:eastAsia="ja-JP"/>
              </w:rPr>
            </w:pPr>
            <w:r>
              <w:rPr>
                <w:lang w:eastAsia="ja-JP"/>
              </w:rPr>
              <w:t>Requirements</w:t>
            </w:r>
          </w:p>
        </w:tc>
        <w:tc>
          <w:tcPr>
            <w:tcW w:w="4530" w:type="dxa"/>
          </w:tcPr>
          <w:p w14:paraId="43B4E32D" w14:textId="0E733577" w:rsidR="00923AD8" w:rsidRDefault="00923AD8" w:rsidP="00923AD8">
            <w:pPr>
              <w:pStyle w:val="TableHeading"/>
              <w:rPr>
                <w:lang w:eastAsia="ja-JP"/>
              </w:rPr>
            </w:pPr>
            <w:r>
              <w:rPr>
                <w:lang w:eastAsia="ja-JP"/>
              </w:rPr>
              <w:t>Nonconformity guide</w:t>
            </w:r>
          </w:p>
        </w:tc>
      </w:tr>
      <w:tr w:rsidR="00923AD8" w:rsidRPr="008540DB" w14:paraId="63F489EA" w14:textId="77777777" w:rsidTr="00923AD8">
        <w:trPr>
          <w:cantSplit/>
          <w:tblHeader/>
        </w:trPr>
        <w:tc>
          <w:tcPr>
            <w:tcW w:w="4530" w:type="dxa"/>
          </w:tcPr>
          <w:p w14:paraId="68D8B335" w14:textId="769FF263" w:rsidR="00923AD8" w:rsidRPr="008540DB" w:rsidRDefault="00923AD8" w:rsidP="00B949F2">
            <w:pPr>
              <w:pStyle w:val="TableText"/>
              <w:rPr>
                <w:lang w:eastAsia="ja-JP"/>
              </w:rPr>
            </w:pPr>
            <w:r w:rsidRPr="008540DB">
              <w:rPr>
                <w:lang w:eastAsia="ja-JP"/>
              </w:rPr>
              <w:t>4.1</w:t>
            </w:r>
            <w:r w:rsidR="00B949F2" w:rsidRPr="008540DB">
              <w:rPr>
                <w:lang w:eastAsia="ja-JP"/>
              </w:rPr>
              <w:t>6</w:t>
            </w:r>
            <w:r w:rsidRPr="008540DB">
              <w:rPr>
                <w:lang w:eastAsia="ja-JP"/>
              </w:rPr>
              <w:t xml:space="preserve"> </w:t>
            </w:r>
            <w:r w:rsidRPr="008540DB">
              <w:t xml:space="preserve">Aircraft transferring international personnel onto the second conveyance must be </w:t>
            </w:r>
            <w:proofErr w:type="spellStart"/>
            <w:r w:rsidRPr="008540DB">
              <w:t>disinsected</w:t>
            </w:r>
            <w:proofErr w:type="spellEnd"/>
            <w:r w:rsidRPr="008540DB">
              <w:t xml:space="preserve"> prior to disembarkation.</w:t>
            </w:r>
          </w:p>
        </w:tc>
        <w:tc>
          <w:tcPr>
            <w:tcW w:w="4530" w:type="dxa"/>
          </w:tcPr>
          <w:p w14:paraId="5C5FD829" w14:textId="5C3E1EAA" w:rsidR="00923AD8" w:rsidRPr="008540DB" w:rsidRDefault="00923AD8" w:rsidP="00923AD8">
            <w:pPr>
              <w:pStyle w:val="TableText"/>
              <w:rPr>
                <w:lang w:eastAsia="ja-JP"/>
              </w:rPr>
            </w:pPr>
            <w:r w:rsidRPr="008540DB">
              <w:rPr>
                <w:lang w:eastAsia="ja-JP"/>
              </w:rPr>
              <w:t>Major</w:t>
            </w:r>
          </w:p>
        </w:tc>
      </w:tr>
      <w:tr w:rsidR="00923AD8" w:rsidRPr="008540DB" w14:paraId="3FFAA12E" w14:textId="77777777" w:rsidTr="00923AD8">
        <w:trPr>
          <w:cantSplit/>
          <w:tblHeader/>
        </w:trPr>
        <w:tc>
          <w:tcPr>
            <w:tcW w:w="4530" w:type="dxa"/>
          </w:tcPr>
          <w:p w14:paraId="2C9CA346" w14:textId="0E5E9DCC" w:rsidR="00923AD8" w:rsidRDefault="00923AD8" w:rsidP="00923AD8">
            <w:pPr>
              <w:pStyle w:val="TableBullet"/>
              <w:rPr>
                <w:lang w:eastAsia="ja-JP"/>
              </w:rPr>
            </w:pPr>
            <w:r w:rsidRPr="008540DB">
              <w:rPr>
                <w:lang w:eastAsia="ja-JP"/>
              </w:rPr>
              <w:t>4.1</w:t>
            </w:r>
            <w:r w:rsidR="00B949F2" w:rsidRPr="008540DB">
              <w:rPr>
                <w:lang w:eastAsia="ja-JP"/>
              </w:rPr>
              <w:t>7</w:t>
            </w:r>
          </w:p>
          <w:p w14:paraId="462432CF" w14:textId="77777777" w:rsidR="006A2679" w:rsidRPr="0057761A" w:rsidRDefault="006A2679" w:rsidP="009155C8">
            <w:pPr>
              <w:pStyle w:val="TableBullet"/>
              <w:rPr>
                <w:lang w:eastAsia="ja-JP"/>
              </w:rPr>
            </w:pPr>
            <w:proofErr w:type="spellStart"/>
            <w:r w:rsidRPr="0057761A">
              <w:rPr>
                <w:lang w:eastAsia="ja-JP"/>
              </w:rPr>
              <w:t>Disinsection</w:t>
            </w:r>
            <w:proofErr w:type="spellEnd"/>
            <w:r w:rsidRPr="0057761A">
              <w:rPr>
                <w:lang w:eastAsia="ja-JP"/>
              </w:rPr>
              <w:t xml:space="preserve"> processes must be performed: </w:t>
            </w:r>
          </w:p>
          <w:p w14:paraId="75BE1639" w14:textId="593859CE" w:rsidR="006A2679" w:rsidRPr="0057761A" w:rsidRDefault="006A2679" w:rsidP="009155C8">
            <w:pPr>
              <w:pStyle w:val="TableBullet"/>
              <w:numPr>
                <w:ilvl w:val="0"/>
                <w:numId w:val="24"/>
              </w:numPr>
              <w:ind w:left="284" w:hanging="284"/>
              <w:rPr>
                <w:lang w:eastAsia="ja-JP"/>
              </w:rPr>
            </w:pPr>
            <w:r w:rsidRPr="0057761A">
              <w:rPr>
                <w:lang w:eastAsia="ja-JP"/>
              </w:rPr>
              <w:t>in accordance with o</w:t>
            </w:r>
            <w:r w:rsidR="00264F7B">
              <w:rPr>
                <w:lang w:eastAsia="ja-JP"/>
              </w:rPr>
              <w:t>ne of the methods detailed i</w:t>
            </w:r>
            <w:r w:rsidRPr="0057761A">
              <w:rPr>
                <w:lang w:eastAsia="ja-JP"/>
              </w:rPr>
              <w:t xml:space="preserve">n the Schedule of Aircraft </w:t>
            </w:r>
            <w:proofErr w:type="spellStart"/>
            <w:r w:rsidRPr="0057761A">
              <w:rPr>
                <w:lang w:eastAsia="ja-JP"/>
              </w:rPr>
              <w:t>Disinsection</w:t>
            </w:r>
            <w:proofErr w:type="spellEnd"/>
            <w:r w:rsidRPr="0057761A">
              <w:rPr>
                <w:lang w:eastAsia="ja-JP"/>
              </w:rPr>
              <w:t xml:space="preserve"> Procedures for Flights into Australia and New Zealand</w:t>
            </w:r>
          </w:p>
          <w:p w14:paraId="18677F8C" w14:textId="77777777" w:rsidR="006A2679" w:rsidRPr="0057761A" w:rsidRDefault="006A2679" w:rsidP="009155C8">
            <w:pPr>
              <w:pStyle w:val="TableBullet"/>
              <w:numPr>
                <w:ilvl w:val="0"/>
                <w:numId w:val="24"/>
              </w:numPr>
              <w:ind w:left="284" w:hanging="284"/>
              <w:rPr>
                <w:lang w:eastAsia="ja-JP"/>
              </w:rPr>
            </w:pPr>
            <w:r w:rsidRPr="0057761A">
              <w:rPr>
                <w:lang w:eastAsia="ja-JP"/>
              </w:rPr>
              <w:t>by the person in charge or operator of the aircraft</w:t>
            </w:r>
            <w:r>
              <w:rPr>
                <w:lang w:eastAsia="ja-JP"/>
              </w:rPr>
              <w:t>.</w:t>
            </w:r>
          </w:p>
          <w:p w14:paraId="375BBADD" w14:textId="7C6A65E8" w:rsidR="006A2679" w:rsidRPr="008540DB" w:rsidRDefault="006A2679" w:rsidP="006A2679">
            <w:pPr>
              <w:pStyle w:val="TableText"/>
              <w:rPr>
                <w:lang w:eastAsia="ja-JP"/>
              </w:rPr>
            </w:pPr>
            <w:r>
              <w:rPr>
                <w:lang w:eastAsia="ja-JP"/>
              </w:rPr>
              <w:t xml:space="preserve">Note: </w:t>
            </w:r>
            <w:proofErr w:type="spellStart"/>
            <w:r>
              <w:rPr>
                <w:lang w:eastAsia="ja-JP"/>
              </w:rPr>
              <w:t>Disinsection</w:t>
            </w:r>
            <w:proofErr w:type="spellEnd"/>
            <w:r>
              <w:rPr>
                <w:lang w:eastAsia="ja-JP"/>
              </w:rPr>
              <w:t xml:space="preserve"> processes performed in accordance with the methods prescribed in the </w:t>
            </w:r>
            <w:r w:rsidRPr="0057761A">
              <w:rPr>
                <w:lang w:eastAsia="ja-JP"/>
              </w:rPr>
              <w:t xml:space="preserve">Schedule of Aircraft </w:t>
            </w:r>
            <w:proofErr w:type="spellStart"/>
            <w:r w:rsidRPr="0057761A">
              <w:rPr>
                <w:lang w:eastAsia="ja-JP"/>
              </w:rPr>
              <w:t>Disinsection</w:t>
            </w:r>
            <w:proofErr w:type="spellEnd"/>
            <w:r w:rsidRPr="0057761A">
              <w:rPr>
                <w:lang w:eastAsia="ja-JP"/>
              </w:rPr>
              <w:t xml:space="preserve"> Procedures for Flights into Australia and New Zealand</w:t>
            </w:r>
            <w:r>
              <w:rPr>
                <w:lang w:eastAsia="ja-JP"/>
              </w:rPr>
              <w:t xml:space="preserve">, may not necessarily be recognised when arriving </w:t>
            </w:r>
            <w:proofErr w:type="gramStart"/>
            <w:r>
              <w:rPr>
                <w:lang w:eastAsia="ja-JP"/>
              </w:rPr>
              <w:t>into</w:t>
            </w:r>
            <w:proofErr w:type="gramEnd"/>
            <w:r>
              <w:rPr>
                <w:lang w:eastAsia="ja-JP"/>
              </w:rPr>
              <w:t xml:space="preserve"> an Australian Territory.      </w:t>
            </w:r>
          </w:p>
        </w:tc>
        <w:tc>
          <w:tcPr>
            <w:tcW w:w="4530" w:type="dxa"/>
          </w:tcPr>
          <w:p w14:paraId="551C767E" w14:textId="11279B0D" w:rsidR="00923AD8" w:rsidRPr="008540DB" w:rsidRDefault="00923AD8" w:rsidP="00923AD8">
            <w:pPr>
              <w:pStyle w:val="TableText"/>
              <w:rPr>
                <w:lang w:eastAsia="ja-JP"/>
              </w:rPr>
            </w:pPr>
            <w:r w:rsidRPr="008540DB">
              <w:rPr>
                <w:lang w:eastAsia="ja-JP"/>
              </w:rPr>
              <w:t>Major</w:t>
            </w:r>
          </w:p>
        </w:tc>
      </w:tr>
      <w:tr w:rsidR="00923AD8" w:rsidRPr="008540DB" w14:paraId="23978826" w14:textId="77777777" w:rsidTr="00923AD8">
        <w:trPr>
          <w:cantSplit/>
          <w:tblHeader/>
        </w:trPr>
        <w:tc>
          <w:tcPr>
            <w:tcW w:w="4530" w:type="dxa"/>
          </w:tcPr>
          <w:p w14:paraId="0D0640A6" w14:textId="5C9D8A17" w:rsidR="00923AD8" w:rsidRPr="008540DB" w:rsidRDefault="00923AD8" w:rsidP="00B949F2">
            <w:pPr>
              <w:pStyle w:val="TableText"/>
              <w:rPr>
                <w:lang w:eastAsia="ja-JP"/>
              </w:rPr>
            </w:pPr>
            <w:r w:rsidRPr="008540DB">
              <w:rPr>
                <w:lang w:eastAsia="ja-JP"/>
              </w:rPr>
              <w:t>4.1</w:t>
            </w:r>
            <w:r w:rsidR="00B949F2" w:rsidRPr="008540DB">
              <w:rPr>
                <w:lang w:eastAsia="ja-JP"/>
              </w:rPr>
              <w:t>8</w:t>
            </w:r>
            <w:r w:rsidRPr="008540DB">
              <w:rPr>
                <w:lang w:eastAsia="ja-JP"/>
              </w:rPr>
              <w:t xml:space="preserve"> </w:t>
            </w:r>
            <w:r w:rsidRPr="008540DB">
              <w:t>The health of international persons must be assessed upon transfer/disembarkation onto the second conveyance to ensure freedom from signs and symptoms of listed human diseases.</w:t>
            </w:r>
          </w:p>
        </w:tc>
        <w:tc>
          <w:tcPr>
            <w:tcW w:w="4530" w:type="dxa"/>
          </w:tcPr>
          <w:p w14:paraId="43EAD91A" w14:textId="1D3C3B1A" w:rsidR="00923AD8" w:rsidRPr="008540DB" w:rsidRDefault="00923AD8" w:rsidP="00923AD8">
            <w:pPr>
              <w:pStyle w:val="TableText"/>
              <w:rPr>
                <w:lang w:eastAsia="ja-JP"/>
              </w:rPr>
            </w:pPr>
            <w:r w:rsidRPr="008540DB">
              <w:rPr>
                <w:lang w:eastAsia="ja-JP"/>
              </w:rPr>
              <w:t>Major</w:t>
            </w:r>
          </w:p>
        </w:tc>
      </w:tr>
      <w:tr w:rsidR="00923AD8" w:rsidRPr="008540DB" w14:paraId="595648E2" w14:textId="77777777" w:rsidTr="00923AD8">
        <w:trPr>
          <w:cantSplit/>
          <w:tblHeader/>
        </w:trPr>
        <w:tc>
          <w:tcPr>
            <w:tcW w:w="4530" w:type="dxa"/>
          </w:tcPr>
          <w:p w14:paraId="50D555E7" w14:textId="075F4291" w:rsidR="00923AD8" w:rsidRPr="008540DB" w:rsidRDefault="00923AD8" w:rsidP="00923AD8">
            <w:pPr>
              <w:pStyle w:val="TableText"/>
            </w:pPr>
            <w:r w:rsidRPr="008540DB">
              <w:rPr>
                <w:lang w:eastAsia="ja-JP"/>
              </w:rPr>
              <w:t>4.1</w:t>
            </w:r>
            <w:r w:rsidR="00B949F2" w:rsidRPr="008540DB">
              <w:rPr>
                <w:lang w:eastAsia="ja-JP"/>
              </w:rPr>
              <w:t>9</w:t>
            </w:r>
            <w:r w:rsidRPr="008540DB">
              <w:rPr>
                <w:lang w:eastAsia="ja-JP"/>
              </w:rPr>
              <w:t xml:space="preserve"> </w:t>
            </w:r>
            <w:r w:rsidRPr="008540DB">
              <w:t xml:space="preserve">Personal effects of international persons must be inspected for </w:t>
            </w:r>
            <w:r w:rsidR="00372BC4" w:rsidRPr="008540DB">
              <w:t xml:space="preserve">biosecurity risk material </w:t>
            </w:r>
            <w:r w:rsidRPr="008540DB">
              <w:t>upon their transfer/disembarkation onto the second conveyance.</w:t>
            </w:r>
          </w:p>
          <w:p w14:paraId="51C89D45" w14:textId="6C896AD9" w:rsidR="00923AD8" w:rsidRPr="008540DB" w:rsidRDefault="00923AD8" w:rsidP="00372BC4">
            <w:pPr>
              <w:pStyle w:val="TableText"/>
              <w:rPr>
                <w:lang w:eastAsia="ja-JP"/>
              </w:rPr>
            </w:pPr>
            <w:r w:rsidRPr="008540DB">
              <w:rPr>
                <w:rStyle w:val="Emphasis"/>
                <w:i w:val="0"/>
              </w:rPr>
              <w:t>Note:</w:t>
            </w:r>
            <w:r w:rsidRPr="008540DB">
              <w:t xml:space="preserve"> International persons cleared of signs and symptoms of listed human health diseases and whose personal effects have been confirmed free of </w:t>
            </w:r>
            <w:r w:rsidR="00372BC4" w:rsidRPr="008540DB">
              <w:t xml:space="preserve">biosecurity risk material </w:t>
            </w:r>
            <w:r w:rsidRPr="008540DB">
              <w:t>adopt domestic person status (for biosecurity purposes only).</w:t>
            </w:r>
          </w:p>
        </w:tc>
        <w:tc>
          <w:tcPr>
            <w:tcW w:w="4530" w:type="dxa"/>
          </w:tcPr>
          <w:p w14:paraId="18463B1B" w14:textId="6470E4BA" w:rsidR="00923AD8" w:rsidRPr="008540DB" w:rsidRDefault="00923AD8" w:rsidP="00923AD8">
            <w:pPr>
              <w:pStyle w:val="TableText"/>
              <w:rPr>
                <w:lang w:eastAsia="ja-JP"/>
              </w:rPr>
            </w:pPr>
            <w:r w:rsidRPr="008540DB">
              <w:rPr>
                <w:lang w:eastAsia="ja-JP"/>
              </w:rPr>
              <w:t>Major</w:t>
            </w:r>
          </w:p>
        </w:tc>
      </w:tr>
      <w:tr w:rsidR="00923AD8" w:rsidRPr="008540DB" w14:paraId="4092123E" w14:textId="77777777" w:rsidTr="00923AD8">
        <w:trPr>
          <w:cantSplit/>
          <w:tblHeader/>
        </w:trPr>
        <w:tc>
          <w:tcPr>
            <w:tcW w:w="4530" w:type="dxa"/>
          </w:tcPr>
          <w:p w14:paraId="0E036303" w14:textId="6ED4ED2E" w:rsidR="00923AD8" w:rsidRPr="008540DB" w:rsidRDefault="00923AD8" w:rsidP="00372BC4">
            <w:pPr>
              <w:pStyle w:val="TableText"/>
              <w:rPr>
                <w:lang w:eastAsia="ja-JP"/>
              </w:rPr>
            </w:pPr>
            <w:r w:rsidRPr="008540DB">
              <w:rPr>
                <w:lang w:eastAsia="ja-JP"/>
              </w:rPr>
              <w:t>4.</w:t>
            </w:r>
            <w:r w:rsidR="00B949F2" w:rsidRPr="008540DB">
              <w:rPr>
                <w:lang w:eastAsia="ja-JP"/>
              </w:rPr>
              <w:t>20</w:t>
            </w:r>
            <w:r w:rsidRPr="008540DB">
              <w:rPr>
                <w:lang w:eastAsia="ja-JP"/>
              </w:rPr>
              <w:t xml:space="preserve"> </w:t>
            </w:r>
            <w:r w:rsidR="00372BC4" w:rsidRPr="008540DB">
              <w:t xml:space="preserve">Biosecurity risk material </w:t>
            </w:r>
            <w:r w:rsidRPr="008540DB">
              <w:t>identified in or on an international person’s personal effects must be treated as biosecurity waste.</w:t>
            </w:r>
          </w:p>
        </w:tc>
        <w:tc>
          <w:tcPr>
            <w:tcW w:w="4530" w:type="dxa"/>
          </w:tcPr>
          <w:p w14:paraId="32FA1F5D" w14:textId="791A94CA" w:rsidR="00923AD8" w:rsidRPr="008540DB" w:rsidRDefault="00923AD8" w:rsidP="00923AD8">
            <w:pPr>
              <w:pStyle w:val="TableText"/>
              <w:rPr>
                <w:lang w:eastAsia="ja-JP"/>
              </w:rPr>
            </w:pPr>
            <w:r w:rsidRPr="008540DB">
              <w:rPr>
                <w:lang w:eastAsia="ja-JP"/>
              </w:rPr>
              <w:t>Critical</w:t>
            </w:r>
          </w:p>
        </w:tc>
      </w:tr>
      <w:tr w:rsidR="00923AD8" w:rsidRPr="008540DB" w14:paraId="0FCFAFC7" w14:textId="77777777" w:rsidTr="00923AD8">
        <w:trPr>
          <w:cantSplit/>
          <w:tblHeader/>
        </w:trPr>
        <w:tc>
          <w:tcPr>
            <w:tcW w:w="4530" w:type="dxa"/>
          </w:tcPr>
          <w:p w14:paraId="73D887A3" w14:textId="34CB79B6" w:rsidR="00923AD8" w:rsidRPr="008540DB" w:rsidRDefault="00923AD8" w:rsidP="00B949F2">
            <w:pPr>
              <w:pStyle w:val="TableText"/>
              <w:rPr>
                <w:lang w:eastAsia="ja-JP"/>
              </w:rPr>
            </w:pPr>
            <w:r w:rsidRPr="008540DB">
              <w:rPr>
                <w:lang w:eastAsia="ja-JP"/>
              </w:rPr>
              <w:t>4.2</w:t>
            </w:r>
            <w:r w:rsidR="00B949F2" w:rsidRPr="008540DB">
              <w:rPr>
                <w:lang w:eastAsia="ja-JP"/>
              </w:rPr>
              <w:t>1</w:t>
            </w:r>
            <w:r w:rsidRPr="008540DB">
              <w:rPr>
                <w:lang w:eastAsia="ja-JP"/>
              </w:rPr>
              <w:t xml:space="preserve"> </w:t>
            </w:r>
            <w:r w:rsidRPr="008540DB">
              <w:t xml:space="preserve">Where a listed human disease is detected or suspected on-board the second conveyance during transfer/disembarkation health assessment or at any other time, that person must be immediately </w:t>
            </w:r>
            <w:proofErr w:type="gramStart"/>
            <w:r w:rsidRPr="008540DB">
              <w:t>isolated</w:t>
            </w:r>
            <w:proofErr w:type="gramEnd"/>
            <w:r w:rsidRPr="008540DB">
              <w:t xml:space="preserve"> and the department notified.</w:t>
            </w:r>
          </w:p>
        </w:tc>
        <w:tc>
          <w:tcPr>
            <w:tcW w:w="4530" w:type="dxa"/>
          </w:tcPr>
          <w:p w14:paraId="54D87A11" w14:textId="3E095295" w:rsidR="00923AD8" w:rsidRPr="008540DB" w:rsidRDefault="00923AD8" w:rsidP="00923AD8">
            <w:pPr>
              <w:pStyle w:val="TableText"/>
              <w:rPr>
                <w:lang w:eastAsia="ja-JP"/>
              </w:rPr>
            </w:pPr>
            <w:r w:rsidRPr="008540DB">
              <w:rPr>
                <w:lang w:eastAsia="ja-JP"/>
              </w:rPr>
              <w:t>Major or critical</w:t>
            </w:r>
          </w:p>
        </w:tc>
      </w:tr>
    </w:tbl>
    <w:p w14:paraId="372331A8" w14:textId="7F2EC7BD" w:rsidR="00B26850" w:rsidRPr="008540DB" w:rsidRDefault="00B26850" w:rsidP="00B26850">
      <w:pPr>
        <w:pStyle w:val="Caption"/>
        <w:spacing w:before="240"/>
      </w:pPr>
      <w:r w:rsidRPr="008540DB">
        <w:t>Table 4D Operating requirements—Management of Ship’s stores</w:t>
      </w:r>
    </w:p>
    <w:tbl>
      <w:tblPr>
        <w:tblStyle w:val="TableGrid"/>
        <w:tblW w:w="0" w:type="auto"/>
        <w:tblLook w:val="04A0" w:firstRow="1" w:lastRow="0" w:firstColumn="1" w:lastColumn="0" w:noHBand="0" w:noVBand="1"/>
      </w:tblPr>
      <w:tblGrid>
        <w:gridCol w:w="4530"/>
        <w:gridCol w:w="4530"/>
      </w:tblGrid>
      <w:tr w:rsidR="00B26850" w:rsidRPr="008540DB" w14:paraId="379DE0AB" w14:textId="77777777" w:rsidTr="00372BC4">
        <w:trPr>
          <w:cantSplit/>
          <w:tblHeader/>
        </w:trPr>
        <w:tc>
          <w:tcPr>
            <w:tcW w:w="4530" w:type="dxa"/>
          </w:tcPr>
          <w:p w14:paraId="6D30883B" w14:textId="77777777" w:rsidR="00B26850" w:rsidRPr="008540DB" w:rsidRDefault="00B26850" w:rsidP="00372BC4">
            <w:pPr>
              <w:pStyle w:val="TableHeading"/>
              <w:rPr>
                <w:lang w:eastAsia="ja-JP"/>
              </w:rPr>
            </w:pPr>
            <w:r w:rsidRPr="008540DB">
              <w:rPr>
                <w:lang w:eastAsia="ja-JP"/>
              </w:rPr>
              <w:t>Requirements</w:t>
            </w:r>
          </w:p>
        </w:tc>
        <w:tc>
          <w:tcPr>
            <w:tcW w:w="4530" w:type="dxa"/>
          </w:tcPr>
          <w:p w14:paraId="79E74062" w14:textId="77777777" w:rsidR="00B26850" w:rsidRPr="008540DB" w:rsidRDefault="00B26850" w:rsidP="00372BC4">
            <w:pPr>
              <w:pStyle w:val="TableHeading"/>
              <w:rPr>
                <w:lang w:eastAsia="ja-JP"/>
              </w:rPr>
            </w:pPr>
            <w:r w:rsidRPr="008540DB">
              <w:rPr>
                <w:lang w:eastAsia="ja-JP"/>
              </w:rPr>
              <w:t>Nonconformity guide</w:t>
            </w:r>
          </w:p>
        </w:tc>
      </w:tr>
      <w:tr w:rsidR="00B26850" w:rsidRPr="008540DB" w14:paraId="7274FB8D" w14:textId="77777777" w:rsidTr="00372BC4">
        <w:trPr>
          <w:cantSplit/>
          <w:tblHeader/>
        </w:trPr>
        <w:tc>
          <w:tcPr>
            <w:tcW w:w="4530" w:type="dxa"/>
          </w:tcPr>
          <w:p w14:paraId="3EC0DDB5" w14:textId="10F8048D" w:rsidR="00B26850" w:rsidRPr="008540DB" w:rsidRDefault="00B26850" w:rsidP="00080BA3">
            <w:pPr>
              <w:pStyle w:val="TableText"/>
              <w:rPr>
                <w:lang w:eastAsia="ja-JP"/>
              </w:rPr>
            </w:pPr>
            <w:r w:rsidRPr="008540DB">
              <w:rPr>
                <w:lang w:eastAsia="ja-JP"/>
              </w:rPr>
              <w:t xml:space="preserve">4.22 </w:t>
            </w:r>
            <w:r w:rsidRPr="008540DB">
              <w:rPr>
                <w:rFonts w:cstheme="majorHAnsi"/>
                <w:bCs/>
              </w:rPr>
              <w:t xml:space="preserve">Domestically provisioned stores that are exposed </w:t>
            </w:r>
            <w:proofErr w:type="gramStart"/>
            <w:r w:rsidRPr="008540DB">
              <w:rPr>
                <w:rFonts w:cstheme="majorHAnsi"/>
                <w:bCs/>
              </w:rPr>
              <w:t>to, or</w:t>
            </w:r>
            <w:proofErr w:type="gramEnd"/>
            <w:r w:rsidRPr="008540DB">
              <w:rPr>
                <w:rFonts w:cstheme="majorHAnsi"/>
                <w:bCs/>
              </w:rPr>
              <w:t xml:space="preserve"> come into direct contact with </w:t>
            </w:r>
            <w:r w:rsidR="00080BA3" w:rsidRPr="008540DB">
              <w:rPr>
                <w:rFonts w:cstheme="majorHAnsi"/>
                <w:bCs/>
              </w:rPr>
              <w:t>s</w:t>
            </w:r>
            <w:r w:rsidRPr="008540DB">
              <w:rPr>
                <w:rFonts w:cstheme="majorHAnsi"/>
                <w:bCs/>
              </w:rPr>
              <w:t xml:space="preserve">hip’s stores and / or any derivatives from </w:t>
            </w:r>
            <w:r w:rsidR="00080BA3" w:rsidRPr="008540DB">
              <w:rPr>
                <w:rFonts w:cstheme="majorHAnsi"/>
                <w:bCs/>
              </w:rPr>
              <w:t>s</w:t>
            </w:r>
            <w:r w:rsidRPr="008540DB">
              <w:rPr>
                <w:rFonts w:cstheme="majorHAnsi"/>
                <w:bCs/>
              </w:rPr>
              <w:t xml:space="preserve">hip’s stores, must adopt </w:t>
            </w:r>
            <w:r w:rsidR="00080BA3" w:rsidRPr="008540DB">
              <w:rPr>
                <w:rFonts w:cstheme="majorHAnsi"/>
                <w:bCs/>
              </w:rPr>
              <w:t>i</w:t>
            </w:r>
            <w:r w:rsidRPr="008540DB">
              <w:rPr>
                <w:rFonts w:cstheme="majorHAnsi"/>
                <w:bCs/>
              </w:rPr>
              <w:t>nternational goods status.</w:t>
            </w:r>
          </w:p>
        </w:tc>
        <w:tc>
          <w:tcPr>
            <w:tcW w:w="4530" w:type="dxa"/>
          </w:tcPr>
          <w:p w14:paraId="08063D94" w14:textId="00420138" w:rsidR="00B26850" w:rsidRPr="008540DB" w:rsidRDefault="00B26850" w:rsidP="00372BC4">
            <w:pPr>
              <w:pStyle w:val="TableText"/>
              <w:rPr>
                <w:lang w:eastAsia="ja-JP"/>
              </w:rPr>
            </w:pPr>
            <w:r w:rsidRPr="008540DB">
              <w:rPr>
                <w:lang w:eastAsia="ja-JP"/>
              </w:rPr>
              <w:t>Major or critical</w:t>
            </w:r>
          </w:p>
        </w:tc>
      </w:tr>
      <w:tr w:rsidR="00B26850" w14:paraId="0AE21581" w14:textId="77777777" w:rsidTr="00372BC4">
        <w:trPr>
          <w:cantSplit/>
          <w:tblHeader/>
        </w:trPr>
        <w:tc>
          <w:tcPr>
            <w:tcW w:w="4530" w:type="dxa"/>
          </w:tcPr>
          <w:p w14:paraId="15C726EB" w14:textId="760EB162" w:rsidR="00DC3C0F" w:rsidRPr="008540DB" w:rsidRDefault="00B26850" w:rsidP="00B26850">
            <w:pPr>
              <w:spacing w:beforeLines="40" w:before="96" w:afterLines="40" w:after="96" w:line="240" w:lineRule="auto"/>
              <w:rPr>
                <w:rFonts w:cstheme="majorHAnsi"/>
                <w:bCs/>
                <w:sz w:val="18"/>
                <w:szCs w:val="18"/>
              </w:rPr>
            </w:pPr>
            <w:r w:rsidRPr="008540DB">
              <w:rPr>
                <w:sz w:val="18"/>
                <w:szCs w:val="18"/>
                <w:lang w:eastAsia="ja-JP"/>
              </w:rPr>
              <w:t>4.23</w:t>
            </w:r>
            <w:r w:rsidR="00435839" w:rsidRPr="008540DB">
              <w:rPr>
                <w:rFonts w:cstheme="majorHAnsi"/>
                <w:bCs/>
                <w:sz w:val="18"/>
                <w:szCs w:val="18"/>
              </w:rPr>
              <w:t xml:space="preserve"> </w:t>
            </w:r>
            <w:r w:rsidR="007A43FE" w:rsidRPr="008540DB">
              <w:rPr>
                <w:rFonts w:cstheme="majorHAnsi"/>
                <w:bCs/>
                <w:sz w:val="18"/>
                <w:szCs w:val="18"/>
              </w:rPr>
              <w:t>To ensure effective separation is maintained between ships stores and domestic stores at least one of the following measures must be employed:</w:t>
            </w:r>
          </w:p>
          <w:p w14:paraId="58A3A15E" w14:textId="77777777" w:rsidR="00B26850" w:rsidRPr="008540DB" w:rsidRDefault="00B26850" w:rsidP="009155C8">
            <w:pPr>
              <w:pStyle w:val="TableBullet"/>
              <w:numPr>
                <w:ilvl w:val="0"/>
                <w:numId w:val="26"/>
              </w:numPr>
              <w:ind w:left="284" w:hanging="284"/>
              <w:rPr>
                <w:lang w:eastAsia="ja-JP"/>
              </w:rPr>
            </w:pPr>
            <w:r w:rsidRPr="008540DB">
              <w:rPr>
                <w:lang w:eastAsia="ja-JP"/>
              </w:rPr>
              <w:t>storage in separate rooms or storage devices</w:t>
            </w:r>
          </w:p>
          <w:p w14:paraId="2A38C450" w14:textId="77777777" w:rsidR="007A43FE" w:rsidRPr="008540DB" w:rsidRDefault="00B26850" w:rsidP="009155C8">
            <w:pPr>
              <w:pStyle w:val="TableBullet"/>
              <w:numPr>
                <w:ilvl w:val="0"/>
                <w:numId w:val="26"/>
              </w:numPr>
              <w:ind w:left="284" w:hanging="284"/>
              <w:rPr>
                <w:lang w:eastAsia="ja-JP"/>
              </w:rPr>
            </w:pPr>
            <w:r w:rsidRPr="008540DB">
              <w:rPr>
                <w:lang w:eastAsia="ja-JP"/>
              </w:rPr>
              <w:t xml:space="preserve">an impervious physical barrier </w:t>
            </w:r>
            <w:proofErr w:type="spellStart"/>
            <w:r w:rsidRPr="008540DB">
              <w:rPr>
                <w:lang w:eastAsia="ja-JP"/>
              </w:rPr>
              <w:t>eg.</w:t>
            </w:r>
            <w:proofErr w:type="spellEnd"/>
            <w:r w:rsidRPr="008540DB">
              <w:rPr>
                <w:lang w:eastAsia="ja-JP"/>
              </w:rPr>
              <w:t xml:space="preserve"> integral commercial packaging, plastic wrap, sealed containers</w:t>
            </w:r>
          </w:p>
          <w:p w14:paraId="7D27F8C3" w14:textId="5ED00821" w:rsidR="00B26850" w:rsidRPr="008540DB" w:rsidRDefault="00B26850" w:rsidP="009155C8">
            <w:pPr>
              <w:pStyle w:val="TableBullet"/>
              <w:numPr>
                <w:ilvl w:val="0"/>
                <w:numId w:val="26"/>
              </w:numPr>
              <w:ind w:left="284" w:hanging="284"/>
            </w:pPr>
            <w:r w:rsidRPr="008540DB">
              <w:rPr>
                <w:lang w:eastAsia="ja-JP"/>
              </w:rPr>
              <w:t>other</w:t>
            </w:r>
            <w:r w:rsidR="007D56E9" w:rsidRPr="008540DB">
              <w:rPr>
                <w:lang w:eastAsia="ja-JP"/>
              </w:rPr>
              <w:t xml:space="preserve"> </w:t>
            </w:r>
            <w:r w:rsidRPr="008540DB">
              <w:rPr>
                <w:lang w:eastAsia="ja-JP"/>
              </w:rPr>
              <w:t>departmental approved methods</w:t>
            </w:r>
            <w:r w:rsidR="00DC3C0F" w:rsidRPr="008540DB">
              <w:rPr>
                <w:lang w:eastAsia="ja-JP"/>
              </w:rPr>
              <w:t>.</w:t>
            </w:r>
          </w:p>
        </w:tc>
        <w:tc>
          <w:tcPr>
            <w:tcW w:w="4530" w:type="dxa"/>
          </w:tcPr>
          <w:p w14:paraId="017F4761" w14:textId="20F19F43" w:rsidR="00B26850" w:rsidRDefault="00B26850" w:rsidP="00372BC4">
            <w:pPr>
              <w:pStyle w:val="TableText"/>
              <w:rPr>
                <w:lang w:eastAsia="ja-JP"/>
              </w:rPr>
            </w:pPr>
            <w:r w:rsidRPr="008540DB">
              <w:rPr>
                <w:lang w:eastAsia="ja-JP"/>
              </w:rPr>
              <w:t>Major or critical</w:t>
            </w:r>
          </w:p>
        </w:tc>
      </w:tr>
    </w:tbl>
    <w:p w14:paraId="69695B14" w14:textId="4B2EFDBD" w:rsidR="00923AD8" w:rsidRDefault="00923AD8" w:rsidP="00923AD8">
      <w:pPr>
        <w:pStyle w:val="Caption"/>
        <w:spacing w:before="240"/>
      </w:pPr>
      <w:r>
        <w:lastRenderedPageBreak/>
        <w:t>Table 5 Hygiene</w:t>
      </w:r>
    </w:p>
    <w:tbl>
      <w:tblPr>
        <w:tblStyle w:val="TableGrid"/>
        <w:tblW w:w="0" w:type="auto"/>
        <w:tblLook w:val="04A0" w:firstRow="1" w:lastRow="0" w:firstColumn="1" w:lastColumn="0" w:noHBand="0" w:noVBand="1"/>
      </w:tblPr>
      <w:tblGrid>
        <w:gridCol w:w="4530"/>
        <w:gridCol w:w="4530"/>
      </w:tblGrid>
      <w:tr w:rsidR="00923AD8" w14:paraId="456AD321" w14:textId="77777777" w:rsidTr="00923AD8">
        <w:trPr>
          <w:cantSplit/>
          <w:tblHeader/>
        </w:trPr>
        <w:tc>
          <w:tcPr>
            <w:tcW w:w="4530" w:type="dxa"/>
          </w:tcPr>
          <w:p w14:paraId="1D9D0F72" w14:textId="3A802B99" w:rsidR="00923AD8" w:rsidRDefault="00923AD8" w:rsidP="00923AD8">
            <w:pPr>
              <w:pStyle w:val="TableHeading"/>
              <w:rPr>
                <w:lang w:eastAsia="ja-JP"/>
              </w:rPr>
            </w:pPr>
            <w:r>
              <w:rPr>
                <w:lang w:eastAsia="ja-JP"/>
              </w:rPr>
              <w:t>Requirements</w:t>
            </w:r>
          </w:p>
        </w:tc>
        <w:tc>
          <w:tcPr>
            <w:tcW w:w="4530" w:type="dxa"/>
          </w:tcPr>
          <w:p w14:paraId="2D663778" w14:textId="34F906CB" w:rsidR="00923AD8" w:rsidRDefault="00923AD8" w:rsidP="00923AD8">
            <w:pPr>
              <w:pStyle w:val="TableHeading"/>
              <w:rPr>
                <w:lang w:eastAsia="ja-JP"/>
              </w:rPr>
            </w:pPr>
            <w:r>
              <w:rPr>
                <w:lang w:eastAsia="ja-JP"/>
              </w:rPr>
              <w:t>Nonconformity guide</w:t>
            </w:r>
          </w:p>
        </w:tc>
      </w:tr>
      <w:tr w:rsidR="00923AD8" w14:paraId="1A524D12" w14:textId="77777777" w:rsidTr="00923AD8">
        <w:trPr>
          <w:cantSplit/>
          <w:tblHeader/>
        </w:trPr>
        <w:tc>
          <w:tcPr>
            <w:tcW w:w="4530" w:type="dxa"/>
          </w:tcPr>
          <w:p w14:paraId="2E327F57" w14:textId="3BC47863" w:rsidR="00923AD8" w:rsidRDefault="00923AD8" w:rsidP="00923AD8">
            <w:pPr>
              <w:pStyle w:val="TableText"/>
              <w:rPr>
                <w:lang w:eastAsia="ja-JP"/>
              </w:rPr>
            </w:pPr>
            <w:r>
              <w:rPr>
                <w:lang w:eastAsia="ja-JP"/>
              </w:rPr>
              <w:t xml:space="preserve">5.1 </w:t>
            </w:r>
            <w:r w:rsidRPr="00624824">
              <w:t xml:space="preserve">A vermin control plan must </w:t>
            </w:r>
            <w:proofErr w:type="gramStart"/>
            <w:r w:rsidRPr="00624824">
              <w:t>be in place at all times</w:t>
            </w:r>
            <w:proofErr w:type="gramEnd"/>
            <w:r w:rsidRPr="00624824">
              <w:t>.</w:t>
            </w:r>
          </w:p>
        </w:tc>
        <w:tc>
          <w:tcPr>
            <w:tcW w:w="4530" w:type="dxa"/>
          </w:tcPr>
          <w:p w14:paraId="624C0B17" w14:textId="0BB2802A" w:rsidR="00923AD8" w:rsidRDefault="00923AD8" w:rsidP="00923AD8">
            <w:pPr>
              <w:pStyle w:val="TableText"/>
              <w:rPr>
                <w:lang w:eastAsia="ja-JP"/>
              </w:rPr>
            </w:pPr>
            <w:r>
              <w:rPr>
                <w:lang w:eastAsia="ja-JP"/>
              </w:rPr>
              <w:t>Major</w:t>
            </w:r>
          </w:p>
        </w:tc>
      </w:tr>
      <w:tr w:rsidR="00923AD8" w14:paraId="493198A5" w14:textId="77777777" w:rsidTr="00923AD8">
        <w:trPr>
          <w:cantSplit/>
          <w:tblHeader/>
        </w:trPr>
        <w:tc>
          <w:tcPr>
            <w:tcW w:w="4530" w:type="dxa"/>
          </w:tcPr>
          <w:p w14:paraId="62636B9A" w14:textId="0DF9C368" w:rsidR="00923AD8" w:rsidRDefault="00923AD8" w:rsidP="00923AD8">
            <w:pPr>
              <w:pStyle w:val="TableText"/>
              <w:rPr>
                <w:lang w:eastAsia="ja-JP"/>
              </w:rPr>
            </w:pPr>
            <w:r>
              <w:rPr>
                <w:lang w:eastAsia="ja-JP"/>
              </w:rPr>
              <w:t xml:space="preserve">5.2 </w:t>
            </w:r>
            <w:r w:rsidRPr="00624824">
              <w:t>Areas where international goods and biosecurity waste are stored and handled must be kept clean and free of residues and refuse.</w:t>
            </w:r>
          </w:p>
        </w:tc>
        <w:tc>
          <w:tcPr>
            <w:tcW w:w="4530" w:type="dxa"/>
          </w:tcPr>
          <w:p w14:paraId="1B23D867" w14:textId="5B1FDB85" w:rsidR="00923AD8" w:rsidRDefault="00923AD8" w:rsidP="00923AD8">
            <w:pPr>
              <w:pStyle w:val="TableText"/>
              <w:rPr>
                <w:lang w:eastAsia="ja-JP"/>
              </w:rPr>
            </w:pPr>
            <w:r>
              <w:rPr>
                <w:lang w:eastAsia="ja-JP"/>
              </w:rPr>
              <w:t>Minor or major</w:t>
            </w:r>
          </w:p>
        </w:tc>
      </w:tr>
      <w:tr w:rsidR="00923AD8" w14:paraId="08F5C3FE" w14:textId="77777777" w:rsidTr="00923AD8">
        <w:trPr>
          <w:cantSplit/>
          <w:tblHeader/>
        </w:trPr>
        <w:tc>
          <w:tcPr>
            <w:tcW w:w="4530" w:type="dxa"/>
          </w:tcPr>
          <w:p w14:paraId="0EB9D8BF" w14:textId="2CB7ED25" w:rsidR="00923AD8" w:rsidRDefault="00923AD8" w:rsidP="00372BC4">
            <w:pPr>
              <w:pStyle w:val="TableText"/>
              <w:rPr>
                <w:lang w:eastAsia="ja-JP"/>
              </w:rPr>
            </w:pPr>
            <w:r>
              <w:rPr>
                <w:lang w:eastAsia="ja-JP"/>
              </w:rPr>
              <w:t xml:space="preserve">5.3 </w:t>
            </w:r>
            <w:r w:rsidRPr="00624824">
              <w:t xml:space="preserve">Areas where international goods and biosecurity waste are stored and handled must be regularly monitored for signs of pests or </w:t>
            </w:r>
            <w:r w:rsidR="00372BC4">
              <w:t>biosecurity risk material</w:t>
            </w:r>
            <w:r w:rsidRPr="00624824">
              <w:t>.</w:t>
            </w:r>
          </w:p>
        </w:tc>
        <w:tc>
          <w:tcPr>
            <w:tcW w:w="4530" w:type="dxa"/>
          </w:tcPr>
          <w:p w14:paraId="0ABCD2F5" w14:textId="1199024A" w:rsidR="00923AD8" w:rsidRDefault="00923AD8" w:rsidP="00923AD8">
            <w:pPr>
              <w:pStyle w:val="TableText"/>
              <w:rPr>
                <w:lang w:eastAsia="ja-JP"/>
              </w:rPr>
            </w:pPr>
            <w:r>
              <w:rPr>
                <w:lang w:eastAsia="ja-JP"/>
              </w:rPr>
              <w:t>Minor or major</w:t>
            </w:r>
          </w:p>
        </w:tc>
      </w:tr>
      <w:tr w:rsidR="00923AD8" w14:paraId="280FB3FA" w14:textId="77777777" w:rsidTr="00923AD8">
        <w:trPr>
          <w:cantSplit/>
          <w:tblHeader/>
        </w:trPr>
        <w:tc>
          <w:tcPr>
            <w:tcW w:w="4530" w:type="dxa"/>
          </w:tcPr>
          <w:p w14:paraId="576CA995" w14:textId="55A871C7" w:rsidR="00923AD8" w:rsidRDefault="00923AD8" w:rsidP="00923AD8">
            <w:pPr>
              <w:pStyle w:val="TableText"/>
              <w:rPr>
                <w:lang w:eastAsia="ja-JP"/>
              </w:rPr>
            </w:pPr>
            <w:r>
              <w:rPr>
                <w:lang w:eastAsia="ja-JP"/>
              </w:rPr>
              <w:t xml:space="preserve">5.4 </w:t>
            </w:r>
            <w:r w:rsidRPr="00624824">
              <w:t>Potential mosquito breeding sites must be minimised through active source reduction.</w:t>
            </w:r>
          </w:p>
        </w:tc>
        <w:tc>
          <w:tcPr>
            <w:tcW w:w="4530" w:type="dxa"/>
          </w:tcPr>
          <w:p w14:paraId="7EB2AFD0" w14:textId="43561904" w:rsidR="00923AD8" w:rsidRDefault="00923AD8" w:rsidP="00923AD8">
            <w:pPr>
              <w:pStyle w:val="TableText"/>
              <w:rPr>
                <w:lang w:eastAsia="ja-JP"/>
              </w:rPr>
            </w:pPr>
            <w:r>
              <w:rPr>
                <w:lang w:eastAsia="ja-JP"/>
              </w:rPr>
              <w:t>Minor</w:t>
            </w:r>
          </w:p>
        </w:tc>
      </w:tr>
      <w:tr w:rsidR="00923AD8" w14:paraId="6A6A6245" w14:textId="77777777" w:rsidTr="00923AD8">
        <w:trPr>
          <w:cantSplit/>
          <w:tblHeader/>
        </w:trPr>
        <w:tc>
          <w:tcPr>
            <w:tcW w:w="4530" w:type="dxa"/>
          </w:tcPr>
          <w:p w14:paraId="7D784992" w14:textId="07FCE29B" w:rsidR="00923AD8" w:rsidRDefault="00923AD8" w:rsidP="00DC3C0F">
            <w:pPr>
              <w:pStyle w:val="TableText"/>
              <w:rPr>
                <w:lang w:eastAsia="ja-JP"/>
              </w:rPr>
            </w:pPr>
            <w:r>
              <w:rPr>
                <w:lang w:eastAsia="ja-JP"/>
              </w:rPr>
              <w:t xml:space="preserve">5.5 </w:t>
            </w:r>
            <w:r w:rsidR="00DC3C0F">
              <w:t>M</w:t>
            </w:r>
            <w:r w:rsidRPr="00624824">
              <w:t>osquito and/or larval activity identified in sites subject to source reduction management</w:t>
            </w:r>
            <w:r w:rsidR="008540DB">
              <w:t xml:space="preserve"> </w:t>
            </w:r>
            <w:r w:rsidRPr="00624824">
              <w:t>must</w:t>
            </w:r>
            <w:r w:rsidR="00DC3C0F">
              <w:t>, where possible</w:t>
            </w:r>
            <w:r w:rsidRPr="00624824">
              <w:t xml:space="preserve"> be immediately emptied</w:t>
            </w:r>
            <w:r w:rsidR="00080BA3">
              <w:t xml:space="preserve"> </w:t>
            </w:r>
            <w:r w:rsidRPr="00624824">
              <w:t>and the empty vessel treated with an effective larvicide.</w:t>
            </w:r>
          </w:p>
        </w:tc>
        <w:tc>
          <w:tcPr>
            <w:tcW w:w="4530" w:type="dxa"/>
          </w:tcPr>
          <w:p w14:paraId="0AAB5862" w14:textId="7A442549" w:rsidR="00923AD8" w:rsidRDefault="00923AD8" w:rsidP="00923AD8">
            <w:pPr>
              <w:pStyle w:val="TableText"/>
              <w:rPr>
                <w:lang w:eastAsia="ja-JP"/>
              </w:rPr>
            </w:pPr>
            <w:r>
              <w:rPr>
                <w:lang w:eastAsia="ja-JP"/>
              </w:rPr>
              <w:t>Minor or major</w:t>
            </w:r>
          </w:p>
        </w:tc>
      </w:tr>
      <w:tr w:rsidR="00923AD8" w14:paraId="3F82B675" w14:textId="77777777" w:rsidTr="00923AD8">
        <w:trPr>
          <w:cantSplit/>
          <w:tblHeader/>
        </w:trPr>
        <w:tc>
          <w:tcPr>
            <w:tcW w:w="4530" w:type="dxa"/>
          </w:tcPr>
          <w:p w14:paraId="0E48D387" w14:textId="5F68CFD5" w:rsidR="00923AD8" w:rsidRDefault="00923AD8" w:rsidP="00DC3C0F">
            <w:pPr>
              <w:pStyle w:val="TableText"/>
              <w:rPr>
                <w:lang w:eastAsia="ja-JP"/>
              </w:rPr>
            </w:pPr>
            <w:r>
              <w:rPr>
                <w:lang w:eastAsia="ja-JP"/>
              </w:rPr>
              <w:t xml:space="preserve">5.6 </w:t>
            </w:r>
            <w:r w:rsidR="00DC3C0F">
              <w:t>P</w:t>
            </w:r>
            <w:r w:rsidRPr="00624824">
              <w:t xml:space="preserve">otential mosquito breeding sites </w:t>
            </w:r>
            <w:r w:rsidR="00DC3C0F">
              <w:t xml:space="preserve">that </w:t>
            </w:r>
            <w:r w:rsidRPr="00624824">
              <w:t xml:space="preserve">are unable to be removed, </w:t>
            </w:r>
            <w:proofErr w:type="gramStart"/>
            <w:r w:rsidRPr="00624824">
              <w:t>drained</w:t>
            </w:r>
            <w:proofErr w:type="gramEnd"/>
            <w:r w:rsidRPr="00624824">
              <w:t xml:space="preserve"> or emptied must be monitored at least monthly for signs of mosquito and larval activity.</w:t>
            </w:r>
          </w:p>
        </w:tc>
        <w:tc>
          <w:tcPr>
            <w:tcW w:w="4530" w:type="dxa"/>
          </w:tcPr>
          <w:p w14:paraId="1AE78915" w14:textId="7D32980D" w:rsidR="00923AD8" w:rsidRDefault="00923AD8" w:rsidP="00923AD8">
            <w:pPr>
              <w:pStyle w:val="TableText"/>
              <w:rPr>
                <w:lang w:eastAsia="ja-JP"/>
              </w:rPr>
            </w:pPr>
            <w:r>
              <w:rPr>
                <w:lang w:eastAsia="ja-JP"/>
              </w:rPr>
              <w:t>Minor</w:t>
            </w:r>
          </w:p>
        </w:tc>
      </w:tr>
      <w:tr w:rsidR="00923AD8" w14:paraId="63623C06" w14:textId="77777777" w:rsidTr="00923AD8">
        <w:trPr>
          <w:cantSplit/>
          <w:tblHeader/>
        </w:trPr>
        <w:tc>
          <w:tcPr>
            <w:tcW w:w="4530" w:type="dxa"/>
          </w:tcPr>
          <w:p w14:paraId="4E0A2B1D" w14:textId="77777777" w:rsidR="00923AD8" w:rsidRDefault="00923AD8" w:rsidP="00923AD8">
            <w:pPr>
              <w:pStyle w:val="TableText"/>
            </w:pPr>
            <w:r>
              <w:rPr>
                <w:lang w:eastAsia="ja-JP"/>
              </w:rPr>
              <w:t xml:space="preserve">5.7 </w:t>
            </w:r>
            <w:r>
              <w:t>The department must be contacted where mosquito and/or larval activity is identified in sites that cannot be either:</w:t>
            </w:r>
          </w:p>
          <w:p w14:paraId="7724E5FA" w14:textId="77777777" w:rsidR="00923AD8" w:rsidRDefault="00923AD8" w:rsidP="009155C8">
            <w:pPr>
              <w:pStyle w:val="TableBullet"/>
              <w:numPr>
                <w:ilvl w:val="0"/>
                <w:numId w:val="26"/>
              </w:numPr>
              <w:ind w:left="284" w:hanging="284"/>
              <w:rPr>
                <w:lang w:eastAsia="ja-JP"/>
              </w:rPr>
            </w:pPr>
            <w:r>
              <w:rPr>
                <w:lang w:eastAsia="ja-JP"/>
              </w:rPr>
              <w:t xml:space="preserve">removed, </w:t>
            </w:r>
            <w:proofErr w:type="gramStart"/>
            <w:r>
              <w:rPr>
                <w:lang w:eastAsia="ja-JP"/>
              </w:rPr>
              <w:t>drained</w:t>
            </w:r>
            <w:proofErr w:type="gramEnd"/>
            <w:r>
              <w:rPr>
                <w:lang w:eastAsia="ja-JP"/>
              </w:rPr>
              <w:t xml:space="preserve"> or emptied</w:t>
            </w:r>
          </w:p>
          <w:p w14:paraId="149E7974" w14:textId="5D979DFB" w:rsidR="00923AD8" w:rsidRDefault="00923AD8" w:rsidP="009155C8">
            <w:pPr>
              <w:pStyle w:val="TableBullet"/>
              <w:numPr>
                <w:ilvl w:val="0"/>
                <w:numId w:val="26"/>
              </w:numPr>
              <w:ind w:left="284" w:hanging="284"/>
              <w:rPr>
                <w:lang w:eastAsia="ja-JP"/>
              </w:rPr>
            </w:pPr>
            <w:r>
              <w:rPr>
                <w:lang w:eastAsia="ja-JP"/>
              </w:rPr>
              <w:t>treated with an effective larvicide.</w:t>
            </w:r>
          </w:p>
        </w:tc>
        <w:tc>
          <w:tcPr>
            <w:tcW w:w="4530" w:type="dxa"/>
          </w:tcPr>
          <w:p w14:paraId="1EA60D8A" w14:textId="1B94F486" w:rsidR="00923AD8" w:rsidRDefault="00923AD8" w:rsidP="00923AD8">
            <w:pPr>
              <w:pStyle w:val="TableText"/>
              <w:rPr>
                <w:lang w:eastAsia="ja-JP"/>
              </w:rPr>
            </w:pPr>
            <w:r>
              <w:rPr>
                <w:lang w:eastAsia="ja-JP"/>
              </w:rPr>
              <w:t>Major</w:t>
            </w:r>
          </w:p>
        </w:tc>
      </w:tr>
    </w:tbl>
    <w:p w14:paraId="76BDA9CF" w14:textId="049B049A" w:rsidR="00DD312C" w:rsidRDefault="00DD312C" w:rsidP="00DD312C">
      <w:pPr>
        <w:pStyle w:val="Caption"/>
        <w:spacing w:before="240"/>
      </w:pPr>
      <w:r>
        <w:lastRenderedPageBreak/>
        <w:t>Table 6 Waste</w:t>
      </w:r>
    </w:p>
    <w:tbl>
      <w:tblPr>
        <w:tblStyle w:val="TableGrid"/>
        <w:tblW w:w="0" w:type="auto"/>
        <w:tblLook w:val="04A0" w:firstRow="1" w:lastRow="0" w:firstColumn="1" w:lastColumn="0" w:noHBand="0" w:noVBand="1"/>
      </w:tblPr>
      <w:tblGrid>
        <w:gridCol w:w="4530"/>
        <w:gridCol w:w="4530"/>
      </w:tblGrid>
      <w:tr w:rsidR="00923AD8" w14:paraId="0B2CBF75" w14:textId="77777777" w:rsidTr="00923AD8">
        <w:trPr>
          <w:cantSplit/>
          <w:tblHeader/>
        </w:trPr>
        <w:tc>
          <w:tcPr>
            <w:tcW w:w="4530" w:type="dxa"/>
          </w:tcPr>
          <w:p w14:paraId="66C97DDD" w14:textId="7098CF96" w:rsidR="00923AD8" w:rsidRDefault="00923AD8" w:rsidP="00923AD8">
            <w:pPr>
              <w:pStyle w:val="TableHeading"/>
              <w:rPr>
                <w:lang w:eastAsia="ja-JP"/>
              </w:rPr>
            </w:pPr>
            <w:r>
              <w:rPr>
                <w:lang w:eastAsia="ja-JP"/>
              </w:rPr>
              <w:t>Requirements</w:t>
            </w:r>
          </w:p>
        </w:tc>
        <w:tc>
          <w:tcPr>
            <w:tcW w:w="4530" w:type="dxa"/>
          </w:tcPr>
          <w:p w14:paraId="5AEE8337" w14:textId="7C2711AA" w:rsidR="00923AD8" w:rsidRDefault="00923AD8" w:rsidP="00923AD8">
            <w:pPr>
              <w:pStyle w:val="TableHeading"/>
              <w:rPr>
                <w:lang w:eastAsia="ja-JP"/>
              </w:rPr>
            </w:pPr>
            <w:r>
              <w:rPr>
                <w:lang w:eastAsia="ja-JP"/>
              </w:rPr>
              <w:t>Nonconformity guide</w:t>
            </w:r>
          </w:p>
        </w:tc>
      </w:tr>
      <w:tr w:rsidR="00923AD8" w14:paraId="41E442B7" w14:textId="77777777" w:rsidTr="00923AD8">
        <w:trPr>
          <w:cantSplit/>
          <w:tblHeader/>
        </w:trPr>
        <w:tc>
          <w:tcPr>
            <w:tcW w:w="4530" w:type="dxa"/>
          </w:tcPr>
          <w:p w14:paraId="11DB0E0C" w14:textId="77777777" w:rsidR="00DD312C" w:rsidRDefault="00DD312C" w:rsidP="00DD312C">
            <w:pPr>
              <w:pStyle w:val="TableText"/>
            </w:pPr>
            <w:r>
              <w:rPr>
                <w:lang w:eastAsia="ja-JP"/>
              </w:rPr>
              <w:t xml:space="preserve">6.1 </w:t>
            </w:r>
            <w:r>
              <w:t xml:space="preserve">Biosecurity waste must be </w:t>
            </w:r>
            <w:proofErr w:type="gramStart"/>
            <w:r>
              <w:t>kept isolated at all times</w:t>
            </w:r>
            <w:proofErr w:type="gramEnd"/>
            <w:r>
              <w:t xml:space="preserve"> through use of either:</w:t>
            </w:r>
          </w:p>
          <w:p w14:paraId="1BB68E6B" w14:textId="77777777" w:rsidR="00DD312C" w:rsidRDefault="00DD312C" w:rsidP="009155C8">
            <w:pPr>
              <w:pStyle w:val="TableBullet"/>
              <w:numPr>
                <w:ilvl w:val="0"/>
                <w:numId w:val="26"/>
              </w:numPr>
              <w:ind w:left="284" w:hanging="284"/>
              <w:rPr>
                <w:lang w:eastAsia="ja-JP"/>
              </w:rPr>
            </w:pPr>
            <w:r>
              <w:rPr>
                <w:lang w:eastAsia="ja-JP"/>
              </w:rPr>
              <w:t>a primary container and 1.2m separation</w:t>
            </w:r>
          </w:p>
          <w:p w14:paraId="4EB9A340" w14:textId="45827138" w:rsidR="00923AD8" w:rsidRDefault="00DD312C" w:rsidP="009155C8">
            <w:pPr>
              <w:pStyle w:val="TableBullet"/>
              <w:numPr>
                <w:ilvl w:val="0"/>
                <w:numId w:val="26"/>
              </w:numPr>
              <w:ind w:left="284" w:hanging="284"/>
              <w:rPr>
                <w:lang w:eastAsia="ja-JP"/>
              </w:rPr>
            </w:pPr>
            <w:r>
              <w:rPr>
                <w:lang w:eastAsia="ja-JP"/>
              </w:rPr>
              <w:t>both a primary and secondary container.</w:t>
            </w:r>
          </w:p>
        </w:tc>
        <w:tc>
          <w:tcPr>
            <w:tcW w:w="4530" w:type="dxa"/>
          </w:tcPr>
          <w:p w14:paraId="42B8AD7C" w14:textId="6C9774F6" w:rsidR="00923AD8" w:rsidRDefault="00DD312C" w:rsidP="00923AD8">
            <w:pPr>
              <w:pStyle w:val="TableText"/>
              <w:rPr>
                <w:lang w:eastAsia="ja-JP"/>
              </w:rPr>
            </w:pPr>
            <w:r>
              <w:rPr>
                <w:lang w:eastAsia="ja-JP"/>
              </w:rPr>
              <w:t>Major or critical</w:t>
            </w:r>
          </w:p>
        </w:tc>
      </w:tr>
      <w:tr w:rsidR="00923AD8" w14:paraId="78535D0A" w14:textId="77777777" w:rsidTr="00923AD8">
        <w:trPr>
          <w:cantSplit/>
          <w:tblHeader/>
        </w:trPr>
        <w:tc>
          <w:tcPr>
            <w:tcW w:w="4530" w:type="dxa"/>
          </w:tcPr>
          <w:p w14:paraId="6CE04A0F" w14:textId="7E665130" w:rsidR="00923AD8" w:rsidRDefault="00DD312C" w:rsidP="00923AD8">
            <w:pPr>
              <w:pStyle w:val="TableText"/>
              <w:rPr>
                <w:lang w:eastAsia="ja-JP"/>
              </w:rPr>
            </w:pPr>
            <w:r>
              <w:rPr>
                <w:lang w:eastAsia="ja-JP"/>
              </w:rPr>
              <w:t xml:space="preserve">6.2 </w:t>
            </w:r>
            <w:r w:rsidRPr="00624824">
              <w:t>Biosecurity waste must be immediately collected and contained upon identification.</w:t>
            </w:r>
          </w:p>
        </w:tc>
        <w:tc>
          <w:tcPr>
            <w:tcW w:w="4530" w:type="dxa"/>
          </w:tcPr>
          <w:p w14:paraId="73860AA5" w14:textId="4E77FF24" w:rsidR="00923AD8" w:rsidRDefault="00DD312C" w:rsidP="00923AD8">
            <w:pPr>
              <w:pStyle w:val="TableText"/>
              <w:rPr>
                <w:lang w:eastAsia="ja-JP"/>
              </w:rPr>
            </w:pPr>
            <w:r>
              <w:rPr>
                <w:lang w:eastAsia="ja-JP"/>
              </w:rPr>
              <w:t>Major</w:t>
            </w:r>
          </w:p>
        </w:tc>
      </w:tr>
      <w:tr w:rsidR="00923AD8" w14:paraId="1426FC85" w14:textId="77777777" w:rsidTr="00923AD8">
        <w:trPr>
          <w:cantSplit/>
          <w:tblHeader/>
        </w:trPr>
        <w:tc>
          <w:tcPr>
            <w:tcW w:w="4530" w:type="dxa"/>
          </w:tcPr>
          <w:p w14:paraId="312547A3" w14:textId="52FA0FD2" w:rsidR="00923AD8" w:rsidRDefault="00DD312C" w:rsidP="003C0462">
            <w:pPr>
              <w:pStyle w:val="TableText"/>
              <w:rPr>
                <w:lang w:eastAsia="ja-JP"/>
              </w:rPr>
            </w:pPr>
            <w:r>
              <w:rPr>
                <w:lang w:eastAsia="ja-JP"/>
              </w:rPr>
              <w:t xml:space="preserve">6.3 </w:t>
            </w:r>
            <w:r w:rsidRPr="00624824">
              <w:t>Containers and equipment used in the handling of biosecurity waste must not be used for any other purpose unless disinfected</w:t>
            </w:r>
            <w:r w:rsidR="003C0462">
              <w:t xml:space="preserve"> with an </w:t>
            </w:r>
            <w:r w:rsidR="003C0462" w:rsidRPr="00624824">
              <w:t xml:space="preserve">approved disinfectant listed in the department’s </w:t>
            </w:r>
            <w:proofErr w:type="gramStart"/>
            <w:r w:rsidR="003C0462" w:rsidRPr="00624824">
              <w:t>Broad Spectrum</w:t>
            </w:r>
            <w:proofErr w:type="gramEnd"/>
            <w:r w:rsidR="003C0462" w:rsidRPr="00624824">
              <w:t xml:space="preserve"> Disinfectants for Waste document</w:t>
            </w:r>
            <w:r w:rsidRPr="00624824">
              <w:t>.</w:t>
            </w:r>
          </w:p>
        </w:tc>
        <w:tc>
          <w:tcPr>
            <w:tcW w:w="4530" w:type="dxa"/>
          </w:tcPr>
          <w:p w14:paraId="7E3A0D8E" w14:textId="5BE4FF2C" w:rsidR="00923AD8" w:rsidRDefault="00DD312C" w:rsidP="00923AD8">
            <w:pPr>
              <w:pStyle w:val="TableText"/>
              <w:rPr>
                <w:lang w:eastAsia="ja-JP"/>
              </w:rPr>
            </w:pPr>
            <w:r>
              <w:rPr>
                <w:lang w:eastAsia="ja-JP"/>
              </w:rPr>
              <w:t>Major</w:t>
            </w:r>
          </w:p>
        </w:tc>
      </w:tr>
      <w:tr w:rsidR="00923AD8" w14:paraId="729B07C4" w14:textId="77777777" w:rsidTr="00923AD8">
        <w:trPr>
          <w:cantSplit/>
          <w:tblHeader/>
        </w:trPr>
        <w:tc>
          <w:tcPr>
            <w:tcW w:w="4530" w:type="dxa"/>
          </w:tcPr>
          <w:p w14:paraId="36B23E94" w14:textId="458F58EC" w:rsidR="00923AD8" w:rsidRDefault="006F09A8" w:rsidP="006F09A8">
            <w:pPr>
              <w:pStyle w:val="TableText"/>
            </w:pPr>
            <w:r>
              <w:rPr>
                <w:lang w:eastAsia="ja-JP"/>
              </w:rPr>
              <w:t xml:space="preserve">6.4 </w:t>
            </w:r>
            <w:r w:rsidRPr="00624824">
              <w:t>Biosecurity waste must be clearly identified during storage.</w:t>
            </w:r>
          </w:p>
        </w:tc>
        <w:tc>
          <w:tcPr>
            <w:tcW w:w="4530" w:type="dxa"/>
          </w:tcPr>
          <w:p w14:paraId="6F177972" w14:textId="7FFA7F35" w:rsidR="00923AD8" w:rsidRDefault="006F09A8" w:rsidP="006F09A8">
            <w:pPr>
              <w:pStyle w:val="TableText"/>
              <w:rPr>
                <w:lang w:eastAsia="ja-JP"/>
              </w:rPr>
            </w:pPr>
            <w:r>
              <w:rPr>
                <w:lang w:eastAsia="ja-JP"/>
              </w:rPr>
              <w:t>Major</w:t>
            </w:r>
          </w:p>
        </w:tc>
      </w:tr>
      <w:tr w:rsidR="00923AD8" w14:paraId="4CAF42BE" w14:textId="77777777" w:rsidTr="00923AD8">
        <w:trPr>
          <w:cantSplit/>
          <w:tblHeader/>
        </w:trPr>
        <w:tc>
          <w:tcPr>
            <w:tcW w:w="4530" w:type="dxa"/>
          </w:tcPr>
          <w:p w14:paraId="4085E60F" w14:textId="2A543FCB" w:rsidR="00923AD8" w:rsidRDefault="006F09A8" w:rsidP="00923AD8">
            <w:pPr>
              <w:pStyle w:val="TableText"/>
              <w:rPr>
                <w:lang w:eastAsia="ja-JP"/>
              </w:rPr>
            </w:pPr>
            <w:r>
              <w:rPr>
                <w:lang w:eastAsia="ja-JP"/>
              </w:rPr>
              <w:t xml:space="preserve">6.5 </w:t>
            </w:r>
            <w:r w:rsidRPr="00624824">
              <w:t>Items exposed to or in direct contact with biosecurity waste must be treated as biosecurity waste.</w:t>
            </w:r>
          </w:p>
        </w:tc>
        <w:tc>
          <w:tcPr>
            <w:tcW w:w="4530" w:type="dxa"/>
          </w:tcPr>
          <w:p w14:paraId="6BD7B107" w14:textId="0CC25660" w:rsidR="00923AD8" w:rsidRDefault="006F09A8" w:rsidP="00923AD8">
            <w:pPr>
              <w:pStyle w:val="TableText"/>
              <w:rPr>
                <w:lang w:eastAsia="ja-JP"/>
              </w:rPr>
            </w:pPr>
            <w:r>
              <w:rPr>
                <w:lang w:eastAsia="ja-JP"/>
              </w:rPr>
              <w:t>Major or critical</w:t>
            </w:r>
          </w:p>
        </w:tc>
      </w:tr>
      <w:tr w:rsidR="00923AD8" w14:paraId="4BA0063B" w14:textId="77777777" w:rsidTr="00923AD8">
        <w:trPr>
          <w:cantSplit/>
          <w:tblHeader/>
        </w:trPr>
        <w:tc>
          <w:tcPr>
            <w:tcW w:w="4530" w:type="dxa"/>
          </w:tcPr>
          <w:p w14:paraId="76C36C7C" w14:textId="5E3DC547" w:rsidR="006F09A8" w:rsidRDefault="006F09A8" w:rsidP="006F09A8">
            <w:pPr>
              <w:pStyle w:val="TableText"/>
            </w:pPr>
            <w:r>
              <w:rPr>
                <w:lang w:eastAsia="ja-JP"/>
              </w:rPr>
              <w:t xml:space="preserve">6.6 </w:t>
            </w:r>
            <w:r>
              <w:t>Biosecurity waste removed from the second conveyance for transfer to an Australian Territory must be:</w:t>
            </w:r>
          </w:p>
          <w:p w14:paraId="4225B8BF" w14:textId="02C61468" w:rsidR="006F09A8" w:rsidRDefault="006F09A8" w:rsidP="009155C8">
            <w:pPr>
              <w:pStyle w:val="TableBullet"/>
              <w:numPr>
                <w:ilvl w:val="0"/>
                <w:numId w:val="26"/>
              </w:numPr>
              <w:ind w:left="284" w:hanging="284"/>
              <w:rPr>
                <w:lang w:eastAsia="ja-JP"/>
              </w:rPr>
            </w:pPr>
            <w:r>
              <w:t>r</w:t>
            </w:r>
            <w:r>
              <w:rPr>
                <w:lang w:eastAsia="ja-JP"/>
              </w:rPr>
              <w:t>eported to the department by the exposed conveyance carrying the waste, and any directions given in relation to the waste must be complied with</w:t>
            </w:r>
          </w:p>
          <w:p w14:paraId="7AA04DC2" w14:textId="3C2D6036" w:rsidR="00923AD8" w:rsidRDefault="006F09A8" w:rsidP="009155C8">
            <w:pPr>
              <w:pStyle w:val="TableBullet"/>
              <w:numPr>
                <w:ilvl w:val="0"/>
                <w:numId w:val="26"/>
              </w:numPr>
              <w:ind w:left="284" w:hanging="284"/>
              <w:rPr>
                <w:lang w:eastAsia="ja-JP"/>
              </w:rPr>
            </w:pPr>
            <w:r>
              <w:rPr>
                <w:lang w:eastAsia="ja-JP"/>
              </w:rPr>
              <w:t xml:space="preserve">collected on arrival by an entity operating under a Transportation of Quarantine Waste AA or collected, </w:t>
            </w:r>
            <w:proofErr w:type="gramStart"/>
            <w:r>
              <w:rPr>
                <w:lang w:eastAsia="ja-JP"/>
              </w:rPr>
              <w:t>transported</w:t>
            </w:r>
            <w:proofErr w:type="gramEnd"/>
            <w:r>
              <w:rPr>
                <w:lang w:eastAsia="ja-JP"/>
              </w:rPr>
              <w:t xml:space="preserve"> and disposed of under department supervision.</w:t>
            </w:r>
          </w:p>
        </w:tc>
        <w:tc>
          <w:tcPr>
            <w:tcW w:w="4530" w:type="dxa"/>
          </w:tcPr>
          <w:p w14:paraId="72D40A67" w14:textId="4ED15177" w:rsidR="00923AD8" w:rsidRDefault="006F09A8" w:rsidP="00923AD8">
            <w:pPr>
              <w:pStyle w:val="TableText"/>
              <w:rPr>
                <w:lang w:eastAsia="ja-JP"/>
              </w:rPr>
            </w:pPr>
            <w:r>
              <w:rPr>
                <w:lang w:eastAsia="ja-JP"/>
              </w:rPr>
              <w:t>Critical</w:t>
            </w:r>
          </w:p>
        </w:tc>
      </w:tr>
      <w:tr w:rsidR="00923AD8" w14:paraId="511596C6" w14:textId="77777777" w:rsidTr="00923AD8">
        <w:trPr>
          <w:cantSplit/>
          <w:tblHeader/>
        </w:trPr>
        <w:tc>
          <w:tcPr>
            <w:tcW w:w="4530" w:type="dxa"/>
          </w:tcPr>
          <w:p w14:paraId="551BE62A" w14:textId="04098492" w:rsidR="00923AD8" w:rsidRDefault="006F09A8" w:rsidP="003C0462">
            <w:pPr>
              <w:pStyle w:val="TableText"/>
              <w:rPr>
                <w:lang w:eastAsia="ja-JP"/>
              </w:rPr>
            </w:pPr>
            <w:r>
              <w:rPr>
                <w:lang w:eastAsia="ja-JP"/>
              </w:rPr>
              <w:t xml:space="preserve">6.7 </w:t>
            </w:r>
            <w:r w:rsidRPr="00624824">
              <w:t xml:space="preserve">Biosecurity waste must remain contained and handled in a manner that prevents spillage or leakage during transfer to the exempt exposed conveyance and during transport to Australian </w:t>
            </w:r>
            <w:r>
              <w:t>t</w:t>
            </w:r>
            <w:r w:rsidRPr="00624824">
              <w:t>erritory.</w:t>
            </w:r>
          </w:p>
        </w:tc>
        <w:tc>
          <w:tcPr>
            <w:tcW w:w="4530" w:type="dxa"/>
          </w:tcPr>
          <w:p w14:paraId="2A59C635" w14:textId="0C55CE97" w:rsidR="00923AD8" w:rsidRDefault="006F09A8" w:rsidP="00923AD8">
            <w:pPr>
              <w:pStyle w:val="TableText"/>
              <w:rPr>
                <w:lang w:eastAsia="ja-JP"/>
              </w:rPr>
            </w:pPr>
            <w:r>
              <w:rPr>
                <w:lang w:eastAsia="ja-JP"/>
              </w:rPr>
              <w:t>Critical</w:t>
            </w:r>
          </w:p>
        </w:tc>
      </w:tr>
      <w:tr w:rsidR="006F09A8" w14:paraId="0E0C6A07" w14:textId="77777777" w:rsidTr="00923AD8">
        <w:trPr>
          <w:cantSplit/>
          <w:tblHeader/>
        </w:trPr>
        <w:tc>
          <w:tcPr>
            <w:tcW w:w="4530" w:type="dxa"/>
          </w:tcPr>
          <w:p w14:paraId="2D2FC79C" w14:textId="44F44B5F" w:rsidR="006F09A8" w:rsidRDefault="006F09A8" w:rsidP="003C0462">
            <w:pPr>
              <w:pStyle w:val="TableText"/>
              <w:rPr>
                <w:lang w:eastAsia="ja-JP"/>
              </w:rPr>
            </w:pPr>
            <w:r>
              <w:rPr>
                <w:lang w:eastAsia="ja-JP"/>
              </w:rPr>
              <w:t xml:space="preserve">6.8 </w:t>
            </w:r>
            <w:r w:rsidRPr="00624824">
              <w:t xml:space="preserve">The </w:t>
            </w:r>
            <w:r w:rsidR="003C0462">
              <w:t>biosecurity industry participant</w:t>
            </w:r>
            <w:r w:rsidRPr="00624824">
              <w:t xml:space="preserve"> must record movements of biosecurity waste from the second conveyance.</w:t>
            </w:r>
          </w:p>
        </w:tc>
        <w:tc>
          <w:tcPr>
            <w:tcW w:w="4530" w:type="dxa"/>
          </w:tcPr>
          <w:p w14:paraId="1D096FA2" w14:textId="51CE2FC1" w:rsidR="006F09A8" w:rsidRDefault="006F09A8" w:rsidP="00923AD8">
            <w:pPr>
              <w:pStyle w:val="TableText"/>
              <w:rPr>
                <w:lang w:eastAsia="ja-JP"/>
              </w:rPr>
            </w:pPr>
            <w:r>
              <w:rPr>
                <w:lang w:eastAsia="ja-JP"/>
              </w:rPr>
              <w:t>Major</w:t>
            </w:r>
          </w:p>
        </w:tc>
      </w:tr>
      <w:tr w:rsidR="006F09A8" w14:paraId="75614988" w14:textId="77777777" w:rsidTr="00923AD8">
        <w:trPr>
          <w:cantSplit/>
          <w:tblHeader/>
        </w:trPr>
        <w:tc>
          <w:tcPr>
            <w:tcW w:w="4530" w:type="dxa"/>
          </w:tcPr>
          <w:p w14:paraId="6645B4CB" w14:textId="11E232D6" w:rsidR="006F09A8" w:rsidRDefault="006F09A8" w:rsidP="00923AD8">
            <w:pPr>
              <w:pStyle w:val="TableText"/>
              <w:rPr>
                <w:lang w:eastAsia="ja-JP"/>
              </w:rPr>
            </w:pPr>
            <w:r>
              <w:rPr>
                <w:lang w:eastAsia="ja-JP"/>
              </w:rPr>
              <w:t xml:space="preserve">6.9 </w:t>
            </w:r>
            <w:r w:rsidRPr="00624824">
              <w:t xml:space="preserve">Any spillage of biosecurity waste must be immediately and thoroughly </w:t>
            </w:r>
            <w:proofErr w:type="gramStart"/>
            <w:r w:rsidRPr="00624824">
              <w:t>collected</w:t>
            </w:r>
            <w:proofErr w:type="gramEnd"/>
            <w:r w:rsidRPr="00624824">
              <w:t xml:space="preserve"> and the area of the spillage disinfected by a thorough application of an approved disinfectant listed in the department’s Broad Spectrum Disinfectants for Waste document.</w:t>
            </w:r>
          </w:p>
        </w:tc>
        <w:tc>
          <w:tcPr>
            <w:tcW w:w="4530" w:type="dxa"/>
          </w:tcPr>
          <w:p w14:paraId="1B35AE02" w14:textId="5C36EE92" w:rsidR="006F09A8" w:rsidRDefault="006F09A8" w:rsidP="00923AD8">
            <w:pPr>
              <w:pStyle w:val="TableText"/>
              <w:rPr>
                <w:lang w:eastAsia="ja-JP"/>
              </w:rPr>
            </w:pPr>
            <w:r>
              <w:rPr>
                <w:lang w:eastAsia="ja-JP"/>
              </w:rPr>
              <w:t>Major</w:t>
            </w:r>
          </w:p>
        </w:tc>
      </w:tr>
      <w:tr w:rsidR="006F09A8" w14:paraId="6B6D64CA" w14:textId="77777777" w:rsidTr="00923AD8">
        <w:trPr>
          <w:cantSplit/>
          <w:tblHeader/>
        </w:trPr>
        <w:tc>
          <w:tcPr>
            <w:tcW w:w="4530" w:type="dxa"/>
          </w:tcPr>
          <w:p w14:paraId="64E8F9DF" w14:textId="6D0173C3" w:rsidR="006F09A8" w:rsidRDefault="006F09A8" w:rsidP="006F09A8">
            <w:pPr>
              <w:pStyle w:val="TableText"/>
            </w:pPr>
            <w:r>
              <w:rPr>
                <w:lang w:eastAsia="ja-JP"/>
              </w:rPr>
              <w:t xml:space="preserve">6.10 </w:t>
            </w:r>
            <w:r>
              <w:t>Where biosecurity waste is treated on-board the second conveyance, it and by-products generated during both pre-treatment processing (such as maceration) and treatment must be contained.</w:t>
            </w:r>
          </w:p>
          <w:p w14:paraId="7D9BB461" w14:textId="6BC2F241" w:rsidR="006F09A8" w:rsidRDefault="006F09A8" w:rsidP="006F09A8">
            <w:pPr>
              <w:pStyle w:val="TableText"/>
              <w:rPr>
                <w:lang w:eastAsia="ja-JP"/>
              </w:rPr>
            </w:pPr>
            <w:r w:rsidRPr="009F3A16">
              <w:rPr>
                <w:rStyle w:val="Emphasis"/>
                <w:i w:val="0"/>
              </w:rPr>
              <w:t>Note:</w:t>
            </w:r>
            <w:r>
              <w:t xml:space="preserve"> </w:t>
            </w:r>
            <w:r w:rsidR="003C0462">
              <w:t>b</w:t>
            </w:r>
            <w:r>
              <w:t xml:space="preserve">iosecurity waste incinerated to irreducible ash is not subject to treatment as biosecurity waste </w:t>
            </w:r>
            <w:proofErr w:type="gramStart"/>
            <w:r>
              <w:t>where</w:t>
            </w:r>
            <w:proofErr w:type="gramEnd"/>
            <w:r>
              <w:t xml:space="preserve"> transferred to an Australian territory for disposal.</w:t>
            </w:r>
          </w:p>
        </w:tc>
        <w:tc>
          <w:tcPr>
            <w:tcW w:w="4530" w:type="dxa"/>
          </w:tcPr>
          <w:p w14:paraId="5963F9A7" w14:textId="73DC23E6" w:rsidR="006F09A8" w:rsidRDefault="006F09A8" w:rsidP="00923AD8">
            <w:pPr>
              <w:pStyle w:val="TableText"/>
              <w:rPr>
                <w:lang w:eastAsia="ja-JP"/>
              </w:rPr>
            </w:pPr>
            <w:r>
              <w:rPr>
                <w:lang w:eastAsia="ja-JP"/>
              </w:rPr>
              <w:t>Major</w:t>
            </w:r>
          </w:p>
        </w:tc>
      </w:tr>
    </w:tbl>
    <w:p w14:paraId="09FBE644" w14:textId="77777777" w:rsidR="00C55C4C" w:rsidRDefault="00C55C4C" w:rsidP="00F573B3">
      <w:pPr>
        <w:pStyle w:val="Caption"/>
        <w:spacing w:before="240"/>
      </w:pPr>
      <w:r>
        <w:lastRenderedPageBreak/>
        <w:t>Table 7 Office and record requirements</w:t>
      </w:r>
    </w:p>
    <w:tbl>
      <w:tblPr>
        <w:tblStyle w:val="TableGrid"/>
        <w:tblW w:w="0" w:type="auto"/>
        <w:tblLook w:val="04A0" w:firstRow="1" w:lastRow="0" w:firstColumn="1" w:lastColumn="0" w:noHBand="0" w:noVBand="1"/>
      </w:tblPr>
      <w:tblGrid>
        <w:gridCol w:w="4530"/>
        <w:gridCol w:w="4530"/>
      </w:tblGrid>
      <w:tr w:rsidR="006F09A8" w14:paraId="49DA4991" w14:textId="77777777" w:rsidTr="00F573B3">
        <w:trPr>
          <w:tblHeader/>
        </w:trPr>
        <w:tc>
          <w:tcPr>
            <w:tcW w:w="4530" w:type="dxa"/>
          </w:tcPr>
          <w:p w14:paraId="13E9E6E1" w14:textId="129E5381" w:rsidR="006F09A8" w:rsidRDefault="00013C46" w:rsidP="00F573B3">
            <w:pPr>
              <w:pStyle w:val="TableHeading"/>
              <w:rPr>
                <w:lang w:eastAsia="ja-JP"/>
              </w:rPr>
            </w:pPr>
            <w:r>
              <w:rPr>
                <w:lang w:eastAsia="ja-JP"/>
              </w:rPr>
              <w:t>Requirements</w:t>
            </w:r>
          </w:p>
        </w:tc>
        <w:tc>
          <w:tcPr>
            <w:tcW w:w="4530" w:type="dxa"/>
          </w:tcPr>
          <w:p w14:paraId="0F4AF65F" w14:textId="6FDE0D38" w:rsidR="006F09A8" w:rsidRDefault="00013C46" w:rsidP="00F573B3">
            <w:pPr>
              <w:pStyle w:val="TableHeading"/>
              <w:rPr>
                <w:lang w:eastAsia="ja-JP"/>
              </w:rPr>
            </w:pPr>
            <w:r>
              <w:rPr>
                <w:lang w:eastAsia="ja-JP"/>
              </w:rPr>
              <w:t>Nonconformity guide</w:t>
            </w:r>
          </w:p>
        </w:tc>
      </w:tr>
      <w:tr w:rsidR="006F09A8" w14:paraId="354EED94" w14:textId="77777777" w:rsidTr="00F573B3">
        <w:tc>
          <w:tcPr>
            <w:tcW w:w="4530" w:type="dxa"/>
          </w:tcPr>
          <w:p w14:paraId="7D0B564D" w14:textId="205E95AB" w:rsidR="00013C46" w:rsidRDefault="00013C46" w:rsidP="00F573B3">
            <w:pPr>
              <w:pStyle w:val="TableText"/>
              <w:keepNext/>
            </w:pPr>
            <w:r>
              <w:rPr>
                <w:lang w:eastAsia="ja-JP"/>
              </w:rPr>
              <w:t xml:space="preserve">7.1 </w:t>
            </w:r>
            <w:r>
              <w:t xml:space="preserve">The </w:t>
            </w:r>
            <w:r w:rsidR="00870428">
              <w:t>biosecurity industry participant</w:t>
            </w:r>
            <w:r w:rsidR="003C0462">
              <w:t xml:space="preserve"> </w:t>
            </w:r>
            <w:r>
              <w:t xml:space="preserve">must generate and maintain the following records </w:t>
            </w:r>
            <w:proofErr w:type="gramStart"/>
            <w:r>
              <w:t>with regard to</w:t>
            </w:r>
            <w:proofErr w:type="gramEnd"/>
            <w:r>
              <w:t xml:space="preserve"> international goods:</w:t>
            </w:r>
          </w:p>
          <w:p w14:paraId="36FAB5BE" w14:textId="77777777" w:rsidR="00013C46" w:rsidRDefault="00013C46" w:rsidP="009155C8">
            <w:pPr>
              <w:pStyle w:val="TableBullet"/>
              <w:numPr>
                <w:ilvl w:val="0"/>
                <w:numId w:val="26"/>
              </w:numPr>
              <w:ind w:left="284" w:hanging="284"/>
            </w:pPr>
            <w:r>
              <w:t>date of transfer</w:t>
            </w:r>
          </w:p>
          <w:p w14:paraId="4B1B17E9" w14:textId="77777777" w:rsidR="00013C46" w:rsidRDefault="00013C46" w:rsidP="009155C8">
            <w:pPr>
              <w:pStyle w:val="TableBullet"/>
              <w:numPr>
                <w:ilvl w:val="0"/>
                <w:numId w:val="26"/>
              </w:numPr>
              <w:ind w:left="284" w:hanging="284"/>
            </w:pPr>
            <w:r>
              <w:t>vessel or aircraft name or call sign on which the goods arrived</w:t>
            </w:r>
          </w:p>
          <w:p w14:paraId="69710FF9" w14:textId="77777777" w:rsidR="00013C46" w:rsidRDefault="00013C46" w:rsidP="009155C8">
            <w:pPr>
              <w:pStyle w:val="TableBullet"/>
              <w:numPr>
                <w:ilvl w:val="0"/>
                <w:numId w:val="26"/>
              </w:numPr>
              <w:ind w:left="284" w:hanging="284"/>
            </w:pPr>
            <w:r>
              <w:t>description of the goods (including whether new or used at the time of receival onto the second conveyance)</w:t>
            </w:r>
          </w:p>
          <w:p w14:paraId="56451C36" w14:textId="317EA47E" w:rsidR="006F09A8" w:rsidRDefault="00013C46" w:rsidP="009155C8">
            <w:pPr>
              <w:pStyle w:val="TableBullet"/>
              <w:numPr>
                <w:ilvl w:val="0"/>
                <w:numId w:val="26"/>
              </w:numPr>
              <w:ind w:left="284" w:hanging="284"/>
              <w:rPr>
                <w:lang w:eastAsia="ja-JP"/>
              </w:rPr>
            </w:pPr>
            <w:r>
              <w:t>results of inspection of the goods and associated timber packaging and dunnage, as applicable.</w:t>
            </w:r>
          </w:p>
        </w:tc>
        <w:tc>
          <w:tcPr>
            <w:tcW w:w="4530" w:type="dxa"/>
          </w:tcPr>
          <w:p w14:paraId="345829F8" w14:textId="07187B63" w:rsidR="006F09A8" w:rsidRDefault="00013C46" w:rsidP="00F573B3">
            <w:pPr>
              <w:pStyle w:val="TableText"/>
              <w:keepNext/>
              <w:rPr>
                <w:lang w:eastAsia="ja-JP"/>
              </w:rPr>
            </w:pPr>
            <w:r>
              <w:rPr>
                <w:lang w:eastAsia="ja-JP"/>
              </w:rPr>
              <w:t>Major</w:t>
            </w:r>
          </w:p>
        </w:tc>
      </w:tr>
      <w:tr w:rsidR="006F09A8" w14:paraId="042AECD8" w14:textId="77777777" w:rsidTr="00F573B3">
        <w:tc>
          <w:tcPr>
            <w:tcW w:w="4530" w:type="dxa"/>
          </w:tcPr>
          <w:p w14:paraId="06502E72" w14:textId="65857844" w:rsidR="00013C46" w:rsidRDefault="00013C46" w:rsidP="009155C8">
            <w:pPr>
              <w:pStyle w:val="TableBullet"/>
            </w:pPr>
            <w:r>
              <w:rPr>
                <w:lang w:eastAsia="ja-JP"/>
              </w:rPr>
              <w:t xml:space="preserve">7.2 </w:t>
            </w:r>
            <w:r>
              <w:t xml:space="preserve">The </w:t>
            </w:r>
            <w:r w:rsidR="00870428">
              <w:t>biosecurity industry participant</w:t>
            </w:r>
            <w:r>
              <w:t xml:space="preserve"> must generate and maintain the following records </w:t>
            </w:r>
            <w:proofErr w:type="gramStart"/>
            <w:r>
              <w:t>with regard to</w:t>
            </w:r>
            <w:proofErr w:type="gramEnd"/>
            <w:r>
              <w:t xml:space="preserve"> international persons:</w:t>
            </w:r>
          </w:p>
          <w:p w14:paraId="4D129152" w14:textId="77777777" w:rsidR="00013C46" w:rsidRDefault="00013C46" w:rsidP="009155C8">
            <w:pPr>
              <w:pStyle w:val="TableBullet"/>
              <w:numPr>
                <w:ilvl w:val="0"/>
                <w:numId w:val="26"/>
              </w:numPr>
              <w:ind w:left="284" w:hanging="284"/>
            </w:pPr>
            <w:r>
              <w:t>date of transfer</w:t>
            </w:r>
          </w:p>
          <w:p w14:paraId="5C5DE2AF" w14:textId="77777777" w:rsidR="00013C46" w:rsidRDefault="00013C46" w:rsidP="009155C8">
            <w:pPr>
              <w:pStyle w:val="TableBullet"/>
              <w:numPr>
                <w:ilvl w:val="0"/>
                <w:numId w:val="26"/>
              </w:numPr>
              <w:ind w:left="284" w:hanging="284"/>
            </w:pPr>
            <w:r>
              <w:t>vessel or aircraft name or call sign on which the goods arrived</w:t>
            </w:r>
          </w:p>
          <w:p w14:paraId="18CE42FF" w14:textId="77777777" w:rsidR="00013C46" w:rsidRDefault="00013C46" w:rsidP="009155C8">
            <w:pPr>
              <w:pStyle w:val="TableBullet"/>
              <w:numPr>
                <w:ilvl w:val="0"/>
                <w:numId w:val="26"/>
              </w:numPr>
              <w:ind w:left="284" w:hanging="284"/>
            </w:pPr>
            <w:r>
              <w:t>number of persons transferred</w:t>
            </w:r>
          </w:p>
          <w:p w14:paraId="2FFD227B" w14:textId="3BECE7EF" w:rsidR="006F09A8" w:rsidRDefault="00013C46" w:rsidP="009155C8">
            <w:pPr>
              <w:pStyle w:val="TableBullet"/>
              <w:numPr>
                <w:ilvl w:val="0"/>
                <w:numId w:val="26"/>
              </w:numPr>
              <w:ind w:left="284" w:hanging="284"/>
              <w:rPr>
                <w:lang w:eastAsia="ja-JP"/>
              </w:rPr>
            </w:pPr>
            <w:r>
              <w:t>results of health checks.</w:t>
            </w:r>
          </w:p>
        </w:tc>
        <w:tc>
          <w:tcPr>
            <w:tcW w:w="4530" w:type="dxa"/>
          </w:tcPr>
          <w:p w14:paraId="1D2088C0" w14:textId="6E8B4233" w:rsidR="006F09A8" w:rsidRDefault="00E72547" w:rsidP="006F09A8">
            <w:pPr>
              <w:pStyle w:val="TableText"/>
              <w:rPr>
                <w:lang w:eastAsia="ja-JP"/>
              </w:rPr>
            </w:pPr>
            <w:r>
              <w:rPr>
                <w:lang w:eastAsia="ja-JP"/>
              </w:rPr>
              <w:t>Major</w:t>
            </w:r>
          </w:p>
        </w:tc>
      </w:tr>
      <w:tr w:rsidR="006F09A8" w14:paraId="44FB8129" w14:textId="77777777" w:rsidTr="00F573B3">
        <w:tc>
          <w:tcPr>
            <w:tcW w:w="4530" w:type="dxa"/>
          </w:tcPr>
          <w:p w14:paraId="17961FC3" w14:textId="4C63B2E0" w:rsidR="00E72547" w:rsidRDefault="00E72547" w:rsidP="009155C8">
            <w:pPr>
              <w:pStyle w:val="TableBullet"/>
            </w:pPr>
            <w:r>
              <w:rPr>
                <w:lang w:eastAsia="ja-JP"/>
              </w:rPr>
              <w:t xml:space="preserve">7.3 </w:t>
            </w:r>
            <w:r>
              <w:t xml:space="preserve">The </w:t>
            </w:r>
            <w:r w:rsidR="00870428">
              <w:t>biosecurity industry participant</w:t>
            </w:r>
            <w:r>
              <w:t xml:space="preserve"> must generate and maintain the following records </w:t>
            </w:r>
            <w:proofErr w:type="gramStart"/>
            <w:r>
              <w:t>with regard to</w:t>
            </w:r>
            <w:proofErr w:type="gramEnd"/>
            <w:r>
              <w:t xml:space="preserve"> aircraft </w:t>
            </w:r>
            <w:proofErr w:type="spellStart"/>
            <w:r>
              <w:t>disinsection</w:t>
            </w:r>
            <w:proofErr w:type="spellEnd"/>
            <w:r>
              <w:t>:</w:t>
            </w:r>
          </w:p>
          <w:p w14:paraId="754D29D8" w14:textId="77777777" w:rsidR="00E72547" w:rsidRDefault="00E72547" w:rsidP="009155C8">
            <w:pPr>
              <w:pStyle w:val="TableBullet"/>
              <w:numPr>
                <w:ilvl w:val="0"/>
                <w:numId w:val="26"/>
              </w:numPr>
              <w:ind w:left="284" w:hanging="284"/>
            </w:pPr>
            <w:r>
              <w:t xml:space="preserve">date of </w:t>
            </w:r>
            <w:proofErr w:type="spellStart"/>
            <w:r>
              <w:t>disinsection</w:t>
            </w:r>
            <w:proofErr w:type="spellEnd"/>
          </w:p>
          <w:p w14:paraId="2C4B318A" w14:textId="77777777" w:rsidR="00E72547" w:rsidRDefault="00E72547" w:rsidP="009155C8">
            <w:pPr>
              <w:pStyle w:val="TableBullet"/>
              <w:numPr>
                <w:ilvl w:val="0"/>
                <w:numId w:val="26"/>
              </w:numPr>
              <w:ind w:left="284" w:hanging="284"/>
            </w:pPr>
            <w:r>
              <w:t xml:space="preserve">method of </w:t>
            </w:r>
            <w:proofErr w:type="spellStart"/>
            <w:r>
              <w:t>disinsection</w:t>
            </w:r>
            <w:proofErr w:type="spellEnd"/>
          </w:p>
          <w:p w14:paraId="5BB84E87" w14:textId="77777777" w:rsidR="00E72547" w:rsidRDefault="00E72547" w:rsidP="009155C8">
            <w:pPr>
              <w:pStyle w:val="TableBullet"/>
              <w:numPr>
                <w:ilvl w:val="0"/>
                <w:numId w:val="26"/>
              </w:numPr>
              <w:ind w:left="284" w:hanging="284"/>
            </w:pPr>
            <w:r>
              <w:t>airline name</w:t>
            </w:r>
          </w:p>
          <w:p w14:paraId="48A97140" w14:textId="77777777" w:rsidR="00E72547" w:rsidRDefault="00E72547" w:rsidP="009155C8">
            <w:pPr>
              <w:pStyle w:val="TableBullet"/>
              <w:numPr>
                <w:ilvl w:val="0"/>
                <w:numId w:val="26"/>
              </w:numPr>
              <w:ind w:left="284" w:hanging="284"/>
            </w:pPr>
            <w:r>
              <w:t>aircraft name or call sign</w:t>
            </w:r>
          </w:p>
          <w:p w14:paraId="7DCCCBB1" w14:textId="276A86C8" w:rsidR="006F09A8" w:rsidRDefault="00E72547" w:rsidP="009155C8">
            <w:pPr>
              <w:pStyle w:val="TableBullet"/>
              <w:numPr>
                <w:ilvl w:val="0"/>
                <w:numId w:val="26"/>
              </w:numPr>
              <w:ind w:left="284" w:hanging="284"/>
              <w:rPr>
                <w:lang w:eastAsia="ja-JP"/>
              </w:rPr>
            </w:pPr>
            <w:r>
              <w:t>aircraft type.</w:t>
            </w:r>
          </w:p>
        </w:tc>
        <w:tc>
          <w:tcPr>
            <w:tcW w:w="4530" w:type="dxa"/>
          </w:tcPr>
          <w:p w14:paraId="34AF5277" w14:textId="74DD6122" w:rsidR="006F09A8" w:rsidRDefault="00E72547" w:rsidP="006F09A8">
            <w:pPr>
              <w:pStyle w:val="TableText"/>
              <w:rPr>
                <w:lang w:eastAsia="ja-JP"/>
              </w:rPr>
            </w:pPr>
            <w:r>
              <w:rPr>
                <w:lang w:eastAsia="ja-JP"/>
              </w:rPr>
              <w:t>Major</w:t>
            </w:r>
          </w:p>
        </w:tc>
      </w:tr>
      <w:tr w:rsidR="006F09A8" w14:paraId="2BB47EED" w14:textId="77777777" w:rsidTr="00F573B3">
        <w:tc>
          <w:tcPr>
            <w:tcW w:w="4530" w:type="dxa"/>
          </w:tcPr>
          <w:p w14:paraId="2EED2BFC" w14:textId="27D223FA" w:rsidR="00E72547" w:rsidRDefault="00E72547" w:rsidP="00E72547">
            <w:pPr>
              <w:pStyle w:val="TableText"/>
            </w:pPr>
            <w:r>
              <w:rPr>
                <w:lang w:eastAsia="ja-JP"/>
              </w:rPr>
              <w:t xml:space="preserve">7.4 </w:t>
            </w:r>
            <w:r>
              <w:t xml:space="preserve">The </w:t>
            </w:r>
            <w:r w:rsidR="00870428">
              <w:t>biosecurity industry participant</w:t>
            </w:r>
            <w:r>
              <w:t xml:space="preserve"> must generate and maintain the following records </w:t>
            </w:r>
            <w:proofErr w:type="gramStart"/>
            <w:r>
              <w:t>with regard to</w:t>
            </w:r>
            <w:proofErr w:type="gramEnd"/>
            <w:r>
              <w:t xml:space="preserve"> biosecurity waste, where applicable, the date of:</w:t>
            </w:r>
          </w:p>
          <w:p w14:paraId="5BBD2A7B" w14:textId="77777777" w:rsidR="00E72547" w:rsidRDefault="00E72547" w:rsidP="009155C8">
            <w:pPr>
              <w:pStyle w:val="TableBullet"/>
              <w:numPr>
                <w:ilvl w:val="0"/>
                <w:numId w:val="26"/>
              </w:numPr>
              <w:ind w:left="284" w:hanging="284"/>
            </w:pPr>
            <w:r>
              <w:t>treatment</w:t>
            </w:r>
          </w:p>
          <w:p w14:paraId="0313898D" w14:textId="77777777" w:rsidR="00E72547" w:rsidRDefault="00E72547" w:rsidP="009155C8">
            <w:pPr>
              <w:pStyle w:val="TableBullet"/>
              <w:numPr>
                <w:ilvl w:val="0"/>
                <w:numId w:val="26"/>
              </w:numPr>
              <w:ind w:left="284" w:hanging="284"/>
            </w:pPr>
            <w:r>
              <w:t>transfer to exposed conveyance for movement to an Australian territory</w:t>
            </w:r>
          </w:p>
          <w:p w14:paraId="7F96EB3D" w14:textId="1F90AA09" w:rsidR="006F09A8" w:rsidRDefault="00E72547" w:rsidP="009155C8">
            <w:pPr>
              <w:pStyle w:val="TableBullet"/>
              <w:numPr>
                <w:ilvl w:val="0"/>
                <w:numId w:val="26"/>
              </w:numPr>
              <w:ind w:left="284" w:hanging="284"/>
              <w:rPr>
                <w:lang w:eastAsia="ja-JP"/>
              </w:rPr>
            </w:pPr>
            <w:r>
              <w:t>transfer to an international vessel for movement to a territory other than Australian territory.</w:t>
            </w:r>
          </w:p>
        </w:tc>
        <w:tc>
          <w:tcPr>
            <w:tcW w:w="4530" w:type="dxa"/>
          </w:tcPr>
          <w:p w14:paraId="5BCB9232" w14:textId="59FB84DA" w:rsidR="006F09A8" w:rsidRDefault="00E72547" w:rsidP="006F09A8">
            <w:pPr>
              <w:pStyle w:val="TableText"/>
              <w:rPr>
                <w:lang w:eastAsia="ja-JP"/>
              </w:rPr>
            </w:pPr>
            <w:r>
              <w:rPr>
                <w:lang w:eastAsia="ja-JP"/>
              </w:rPr>
              <w:t>Major</w:t>
            </w:r>
          </w:p>
        </w:tc>
      </w:tr>
      <w:tr w:rsidR="00B67CE7" w14:paraId="70C8EE2F" w14:textId="77777777" w:rsidTr="00F573B3">
        <w:tc>
          <w:tcPr>
            <w:tcW w:w="4530" w:type="dxa"/>
          </w:tcPr>
          <w:p w14:paraId="70F17DC8" w14:textId="43BAF72D" w:rsidR="00B67CE7" w:rsidRPr="008540DB" w:rsidRDefault="00B67CE7" w:rsidP="00B67CE7">
            <w:pPr>
              <w:pStyle w:val="TableText"/>
              <w:rPr>
                <w:bCs/>
                <w:lang w:eastAsia="ja-JP"/>
              </w:rPr>
            </w:pPr>
            <w:r w:rsidRPr="008540DB">
              <w:rPr>
                <w:lang w:eastAsia="ja-JP"/>
              </w:rPr>
              <w:t xml:space="preserve">7.5 </w:t>
            </w:r>
            <w:r w:rsidRPr="008540DB">
              <w:rPr>
                <w:bCs/>
                <w:lang w:eastAsia="ja-JP"/>
              </w:rPr>
              <w:t xml:space="preserve">The </w:t>
            </w:r>
            <w:r w:rsidR="00870428" w:rsidRPr="008540DB">
              <w:rPr>
                <w:bCs/>
                <w:lang w:eastAsia="ja-JP"/>
              </w:rPr>
              <w:t>biosecurity industry participant</w:t>
            </w:r>
            <w:r w:rsidRPr="008540DB">
              <w:rPr>
                <w:bCs/>
                <w:lang w:eastAsia="ja-JP"/>
              </w:rPr>
              <w:t xml:space="preserve"> must generate and maintain the following records: </w:t>
            </w:r>
          </w:p>
          <w:p w14:paraId="7B7350EC" w14:textId="76A94C84" w:rsidR="00B67CE7" w:rsidRPr="008540DB" w:rsidRDefault="00B67CE7" w:rsidP="001324B8">
            <w:pPr>
              <w:pStyle w:val="TableBullet"/>
              <w:numPr>
                <w:ilvl w:val="0"/>
                <w:numId w:val="26"/>
              </w:numPr>
              <w:ind w:left="284" w:hanging="284"/>
            </w:pPr>
            <w:r w:rsidRPr="008540DB">
              <w:t xml:space="preserve">date of each </w:t>
            </w:r>
            <w:proofErr w:type="gramStart"/>
            <w:r w:rsidRPr="008540DB">
              <w:t>low risk</w:t>
            </w:r>
            <w:proofErr w:type="gramEnd"/>
            <w:r w:rsidRPr="008540DB">
              <w:t xml:space="preserve"> determination made in relation to the second conveyance (as detailed in section 3.2) </w:t>
            </w:r>
          </w:p>
          <w:p w14:paraId="11F463E6" w14:textId="77777777" w:rsidR="00B67CE7" w:rsidRPr="008540DB" w:rsidRDefault="00B67CE7" w:rsidP="001324B8">
            <w:pPr>
              <w:pStyle w:val="TableBullet"/>
              <w:numPr>
                <w:ilvl w:val="0"/>
                <w:numId w:val="26"/>
              </w:numPr>
              <w:ind w:left="284" w:hanging="284"/>
            </w:pPr>
            <w:r w:rsidRPr="008540DB">
              <w:t>dates when the second conveyance is, or is not operating under the AA, as determined by the department</w:t>
            </w:r>
          </w:p>
          <w:p w14:paraId="797DDECE" w14:textId="67A93343" w:rsidR="00B67CE7" w:rsidRPr="008540DB" w:rsidRDefault="00B67CE7" w:rsidP="001324B8">
            <w:pPr>
              <w:pStyle w:val="TableBullet"/>
              <w:numPr>
                <w:ilvl w:val="0"/>
                <w:numId w:val="26"/>
              </w:numPr>
              <w:ind w:left="284" w:hanging="284"/>
              <w:rPr>
                <w:lang w:eastAsia="ja-JP"/>
              </w:rPr>
            </w:pPr>
            <w:r w:rsidRPr="008540DB">
              <w:t>second conveyance movements, including details of physical location and changes to physical location.</w:t>
            </w:r>
          </w:p>
        </w:tc>
        <w:tc>
          <w:tcPr>
            <w:tcW w:w="4530" w:type="dxa"/>
          </w:tcPr>
          <w:p w14:paraId="6CD98B7B" w14:textId="556B2A53" w:rsidR="00B67CE7" w:rsidRDefault="00B67CE7" w:rsidP="006F09A8">
            <w:pPr>
              <w:pStyle w:val="TableText"/>
              <w:rPr>
                <w:lang w:eastAsia="ja-JP"/>
              </w:rPr>
            </w:pPr>
            <w:r w:rsidRPr="00A21F8D">
              <w:rPr>
                <w:lang w:eastAsia="ja-JP"/>
              </w:rPr>
              <w:t>Major</w:t>
            </w:r>
          </w:p>
        </w:tc>
      </w:tr>
      <w:tr w:rsidR="006F09A8" w14:paraId="6927DBE3" w14:textId="77777777" w:rsidTr="00F573B3">
        <w:tc>
          <w:tcPr>
            <w:tcW w:w="4530" w:type="dxa"/>
          </w:tcPr>
          <w:p w14:paraId="594B6BCA" w14:textId="2A5CF9AB" w:rsidR="00046FDA" w:rsidRPr="008540DB" w:rsidRDefault="00046FDA" w:rsidP="00046FDA">
            <w:pPr>
              <w:pStyle w:val="TableText"/>
            </w:pPr>
            <w:r w:rsidRPr="008540DB">
              <w:rPr>
                <w:lang w:eastAsia="ja-JP"/>
              </w:rPr>
              <w:t>7.</w:t>
            </w:r>
            <w:r w:rsidR="00B67CE7" w:rsidRPr="008540DB">
              <w:rPr>
                <w:lang w:eastAsia="ja-JP"/>
              </w:rPr>
              <w:t>6</w:t>
            </w:r>
            <w:r w:rsidRPr="008540DB">
              <w:rPr>
                <w:lang w:eastAsia="ja-JP"/>
              </w:rPr>
              <w:t xml:space="preserve"> </w:t>
            </w:r>
            <w:r w:rsidRPr="008540DB">
              <w:t>Records relating to activities performed under this AA must be:</w:t>
            </w:r>
          </w:p>
          <w:p w14:paraId="3D73069E" w14:textId="77777777" w:rsidR="00046FDA" w:rsidRPr="008540DB" w:rsidRDefault="00046FDA" w:rsidP="001324B8">
            <w:pPr>
              <w:pStyle w:val="TableBullet"/>
              <w:numPr>
                <w:ilvl w:val="0"/>
                <w:numId w:val="26"/>
              </w:numPr>
              <w:ind w:left="284" w:hanging="284"/>
            </w:pPr>
            <w:r w:rsidRPr="008540DB">
              <w:t>made available to the department within two business days, upon request</w:t>
            </w:r>
          </w:p>
          <w:p w14:paraId="4676201E" w14:textId="00D19F5D" w:rsidR="006F09A8" w:rsidRPr="008540DB" w:rsidRDefault="00046FDA" w:rsidP="001324B8">
            <w:pPr>
              <w:pStyle w:val="TableBullet"/>
              <w:numPr>
                <w:ilvl w:val="0"/>
                <w:numId w:val="26"/>
              </w:numPr>
              <w:ind w:left="284" w:hanging="284"/>
              <w:rPr>
                <w:lang w:eastAsia="ja-JP"/>
              </w:rPr>
            </w:pPr>
            <w:r w:rsidRPr="008540DB">
              <w:t>retained for a minimum period of 18 months from the date the activity occurred.</w:t>
            </w:r>
          </w:p>
        </w:tc>
        <w:tc>
          <w:tcPr>
            <w:tcW w:w="4530" w:type="dxa"/>
          </w:tcPr>
          <w:p w14:paraId="3CBAE675" w14:textId="75555CF6" w:rsidR="006F09A8" w:rsidRDefault="00046FDA" w:rsidP="006F09A8">
            <w:pPr>
              <w:pStyle w:val="TableText"/>
              <w:rPr>
                <w:lang w:eastAsia="ja-JP"/>
              </w:rPr>
            </w:pPr>
            <w:r>
              <w:rPr>
                <w:lang w:eastAsia="ja-JP"/>
              </w:rPr>
              <w:t>Minor, major or critical</w:t>
            </w:r>
          </w:p>
        </w:tc>
      </w:tr>
    </w:tbl>
    <w:p w14:paraId="6C7911ED" w14:textId="398E9922" w:rsidR="00046FDA" w:rsidRDefault="00046FDA" w:rsidP="00046FDA">
      <w:pPr>
        <w:pStyle w:val="Caption"/>
        <w:spacing w:before="240"/>
      </w:pPr>
      <w:r>
        <w:lastRenderedPageBreak/>
        <w:t>Table 8 Administration and management</w:t>
      </w:r>
    </w:p>
    <w:tbl>
      <w:tblPr>
        <w:tblStyle w:val="TableGrid"/>
        <w:tblW w:w="0" w:type="auto"/>
        <w:tblLook w:val="04A0" w:firstRow="1" w:lastRow="0" w:firstColumn="1" w:lastColumn="0" w:noHBand="0" w:noVBand="1"/>
      </w:tblPr>
      <w:tblGrid>
        <w:gridCol w:w="4530"/>
        <w:gridCol w:w="4530"/>
      </w:tblGrid>
      <w:tr w:rsidR="00046FDA" w14:paraId="324338F7" w14:textId="77777777" w:rsidTr="00046FDA">
        <w:trPr>
          <w:cantSplit/>
          <w:tblHeader/>
        </w:trPr>
        <w:tc>
          <w:tcPr>
            <w:tcW w:w="4530" w:type="dxa"/>
          </w:tcPr>
          <w:p w14:paraId="491FE27C" w14:textId="556DA3F7" w:rsidR="00046FDA" w:rsidRDefault="00046FDA" w:rsidP="00046FDA">
            <w:pPr>
              <w:pStyle w:val="TableHeading"/>
              <w:rPr>
                <w:lang w:eastAsia="ja-JP"/>
              </w:rPr>
            </w:pPr>
            <w:r>
              <w:rPr>
                <w:lang w:eastAsia="ja-JP"/>
              </w:rPr>
              <w:t>Requirements</w:t>
            </w:r>
          </w:p>
        </w:tc>
        <w:tc>
          <w:tcPr>
            <w:tcW w:w="4530" w:type="dxa"/>
          </w:tcPr>
          <w:p w14:paraId="67408BE2" w14:textId="5BABBF57" w:rsidR="00046FDA" w:rsidRDefault="00046FDA" w:rsidP="00046FDA">
            <w:pPr>
              <w:pStyle w:val="TableHeading"/>
              <w:rPr>
                <w:lang w:eastAsia="ja-JP"/>
              </w:rPr>
            </w:pPr>
            <w:r>
              <w:rPr>
                <w:lang w:eastAsia="ja-JP"/>
              </w:rPr>
              <w:t>Nonconformity guide</w:t>
            </w:r>
          </w:p>
        </w:tc>
      </w:tr>
      <w:tr w:rsidR="00046FDA" w14:paraId="42190BC8" w14:textId="77777777" w:rsidTr="00046FDA">
        <w:trPr>
          <w:cantSplit/>
          <w:tblHeader/>
        </w:trPr>
        <w:tc>
          <w:tcPr>
            <w:tcW w:w="4530" w:type="dxa"/>
          </w:tcPr>
          <w:p w14:paraId="7D8C8773" w14:textId="2D867D5E" w:rsidR="00046FDA" w:rsidRDefault="00046FDA" w:rsidP="00046FDA">
            <w:pPr>
              <w:pStyle w:val="TableText"/>
            </w:pPr>
            <w:r>
              <w:rPr>
                <w:lang w:eastAsia="ja-JP"/>
              </w:rPr>
              <w:t xml:space="preserve">8.1 </w:t>
            </w:r>
            <w:r>
              <w:t xml:space="preserve">The </w:t>
            </w:r>
            <w:r w:rsidR="00870428">
              <w:t>biosecurity industry participant</w:t>
            </w:r>
            <w:r>
              <w:t xml:space="preserve"> must notify the department immediately if:</w:t>
            </w:r>
          </w:p>
          <w:p w14:paraId="13354A0E" w14:textId="715D5EA4" w:rsidR="00046FDA" w:rsidRDefault="0050144C" w:rsidP="001324B8">
            <w:pPr>
              <w:pStyle w:val="TableBullet"/>
              <w:numPr>
                <w:ilvl w:val="0"/>
                <w:numId w:val="26"/>
              </w:numPr>
              <w:ind w:left="284" w:hanging="284"/>
            </w:pPr>
            <w:r>
              <w:t xml:space="preserve">there is </w:t>
            </w:r>
            <w:r w:rsidR="00046FDA">
              <w:t>detection of a live animal, live plant, pest, or pest related infestation on-board the second conveyance</w:t>
            </w:r>
          </w:p>
          <w:p w14:paraId="57ED29BB" w14:textId="7E66B78D" w:rsidR="00046FDA" w:rsidRDefault="00046FDA" w:rsidP="001324B8">
            <w:pPr>
              <w:pStyle w:val="TableBullet"/>
              <w:numPr>
                <w:ilvl w:val="0"/>
                <w:numId w:val="26"/>
              </w:numPr>
              <w:ind w:left="284" w:hanging="284"/>
              <w:rPr>
                <w:lang w:eastAsia="ja-JP"/>
              </w:rPr>
            </w:pPr>
            <w:r>
              <w:t>any of the requirements of the AA cannot be met.</w:t>
            </w:r>
          </w:p>
        </w:tc>
        <w:tc>
          <w:tcPr>
            <w:tcW w:w="4530" w:type="dxa"/>
          </w:tcPr>
          <w:p w14:paraId="4066C825" w14:textId="268AA2B7" w:rsidR="00046FDA" w:rsidRDefault="00046FDA" w:rsidP="00046FDA">
            <w:pPr>
              <w:pStyle w:val="TableText"/>
              <w:rPr>
                <w:lang w:eastAsia="ja-JP"/>
              </w:rPr>
            </w:pPr>
            <w:r>
              <w:rPr>
                <w:lang w:eastAsia="ja-JP"/>
              </w:rPr>
              <w:t>Major or critical</w:t>
            </w:r>
          </w:p>
        </w:tc>
      </w:tr>
      <w:tr w:rsidR="00046FDA" w14:paraId="436C79F4" w14:textId="77777777" w:rsidTr="00046FDA">
        <w:trPr>
          <w:cantSplit/>
          <w:tblHeader/>
        </w:trPr>
        <w:tc>
          <w:tcPr>
            <w:tcW w:w="4530" w:type="dxa"/>
          </w:tcPr>
          <w:p w14:paraId="55E5D76A" w14:textId="3F6512F0" w:rsidR="00046FDA" w:rsidRDefault="00046FDA" w:rsidP="0050144C">
            <w:pPr>
              <w:pStyle w:val="TableText"/>
              <w:rPr>
                <w:lang w:eastAsia="ja-JP"/>
              </w:rPr>
            </w:pPr>
            <w:r>
              <w:rPr>
                <w:lang w:eastAsia="ja-JP"/>
              </w:rPr>
              <w:t xml:space="preserve">8.2 </w:t>
            </w:r>
            <w:r w:rsidRPr="00EF443C">
              <w:t xml:space="preserve">The </w:t>
            </w:r>
            <w:r w:rsidR="00870428">
              <w:t>biosecurity industry participant</w:t>
            </w:r>
            <w:r w:rsidRPr="00EF443C">
              <w:t xml:space="preserve"> must notify the department immediately following detection of or suspected infection </w:t>
            </w:r>
            <w:proofErr w:type="gramStart"/>
            <w:r w:rsidRPr="00EF443C">
              <w:t>with</w:t>
            </w:r>
            <w:r>
              <w:t>,</w:t>
            </w:r>
            <w:proofErr w:type="gramEnd"/>
            <w:r w:rsidRPr="00EF443C">
              <w:t xml:space="preserve"> a listed human disease on-board the second conveyance.</w:t>
            </w:r>
          </w:p>
        </w:tc>
        <w:tc>
          <w:tcPr>
            <w:tcW w:w="4530" w:type="dxa"/>
          </w:tcPr>
          <w:p w14:paraId="6D85DC97" w14:textId="2B8B03FC" w:rsidR="00046FDA" w:rsidRDefault="00046FDA" w:rsidP="00046FDA">
            <w:pPr>
              <w:pStyle w:val="TableText"/>
              <w:rPr>
                <w:lang w:eastAsia="ja-JP"/>
              </w:rPr>
            </w:pPr>
            <w:r>
              <w:rPr>
                <w:lang w:eastAsia="ja-JP"/>
              </w:rPr>
              <w:t>Major</w:t>
            </w:r>
          </w:p>
        </w:tc>
      </w:tr>
      <w:tr w:rsidR="00046FDA" w:rsidRPr="008540DB" w14:paraId="23D8D131" w14:textId="77777777" w:rsidTr="00046FDA">
        <w:trPr>
          <w:cantSplit/>
          <w:tblHeader/>
        </w:trPr>
        <w:tc>
          <w:tcPr>
            <w:tcW w:w="4530" w:type="dxa"/>
          </w:tcPr>
          <w:p w14:paraId="3974251B" w14:textId="239445F9" w:rsidR="00046FDA" w:rsidRPr="008540DB" w:rsidRDefault="00046FDA" w:rsidP="00046FDA">
            <w:pPr>
              <w:pStyle w:val="TableText"/>
            </w:pPr>
            <w:r w:rsidRPr="008540DB">
              <w:rPr>
                <w:lang w:eastAsia="ja-JP"/>
              </w:rPr>
              <w:t xml:space="preserve">8.3 </w:t>
            </w:r>
            <w:r w:rsidRPr="008540DB">
              <w:t xml:space="preserve">The </w:t>
            </w:r>
            <w:r w:rsidR="00870428" w:rsidRPr="008540DB">
              <w:t>biosecurity industry participant</w:t>
            </w:r>
            <w:r w:rsidRPr="008540DB">
              <w:t xml:space="preserve"> must immediately notify the department if the second conveyance is subject to any interaction that compromises the management of biosecurity risk. Such interactions include but are not limited to:</w:t>
            </w:r>
          </w:p>
          <w:p w14:paraId="37C0536D" w14:textId="77777777" w:rsidR="00046FDA" w:rsidRPr="008540DB" w:rsidRDefault="00046FDA" w:rsidP="001324B8">
            <w:pPr>
              <w:pStyle w:val="TableBullet"/>
              <w:numPr>
                <w:ilvl w:val="0"/>
                <w:numId w:val="26"/>
              </w:numPr>
              <w:ind w:left="284" w:hanging="284"/>
            </w:pPr>
            <w:r w:rsidRPr="008540DB">
              <w:t>receipt of goods other than those defined as international goods by this AA</w:t>
            </w:r>
          </w:p>
          <w:p w14:paraId="499D9A73" w14:textId="77777777" w:rsidR="00B67CE7" w:rsidRPr="008540DB" w:rsidRDefault="00046FDA" w:rsidP="001324B8">
            <w:pPr>
              <w:pStyle w:val="TableBullet"/>
              <w:numPr>
                <w:ilvl w:val="0"/>
                <w:numId w:val="26"/>
              </w:numPr>
              <w:ind w:left="284" w:hanging="284"/>
            </w:pPr>
            <w:r w:rsidRPr="008540DB">
              <w:t xml:space="preserve">interactions within territories other than an Australian territory. </w:t>
            </w:r>
          </w:p>
          <w:p w14:paraId="338F4B1A" w14:textId="0A4D318F" w:rsidR="00046FDA" w:rsidRPr="008540DB" w:rsidRDefault="00B67CE7" w:rsidP="001324B8">
            <w:pPr>
              <w:pStyle w:val="TableBullet"/>
              <w:numPr>
                <w:ilvl w:val="0"/>
                <w:numId w:val="26"/>
              </w:numPr>
              <w:ind w:left="284" w:hanging="284"/>
              <w:rPr>
                <w:lang w:eastAsia="ja-JP"/>
              </w:rPr>
            </w:pPr>
            <w:r w:rsidRPr="008540DB">
              <w:t xml:space="preserve">Note: </w:t>
            </w:r>
            <w:r w:rsidR="0050144C" w:rsidRPr="008540DB">
              <w:t>a</w:t>
            </w:r>
            <w:r w:rsidR="00046FDA" w:rsidRPr="008540DB">
              <w:t>ny such interactions may affect the second conveyance’s eligibility to continue operating under the terms of this AA.</w:t>
            </w:r>
          </w:p>
        </w:tc>
        <w:tc>
          <w:tcPr>
            <w:tcW w:w="4530" w:type="dxa"/>
          </w:tcPr>
          <w:p w14:paraId="1B40E689" w14:textId="40544885" w:rsidR="00046FDA" w:rsidRPr="008540DB" w:rsidRDefault="00046FDA" w:rsidP="00046FDA">
            <w:pPr>
              <w:pStyle w:val="TableText"/>
              <w:rPr>
                <w:lang w:eastAsia="ja-JP"/>
              </w:rPr>
            </w:pPr>
            <w:r w:rsidRPr="008540DB">
              <w:rPr>
                <w:lang w:eastAsia="ja-JP"/>
              </w:rPr>
              <w:t>Major or critical</w:t>
            </w:r>
          </w:p>
        </w:tc>
      </w:tr>
      <w:tr w:rsidR="00B67CE7" w:rsidRPr="008540DB" w14:paraId="7D45AD77" w14:textId="77777777" w:rsidTr="00046FDA">
        <w:trPr>
          <w:cantSplit/>
          <w:tblHeader/>
        </w:trPr>
        <w:tc>
          <w:tcPr>
            <w:tcW w:w="4530" w:type="dxa"/>
          </w:tcPr>
          <w:p w14:paraId="746B8393" w14:textId="2B3171C3" w:rsidR="00B67CE7" w:rsidRPr="008540DB" w:rsidRDefault="00B67CE7" w:rsidP="00B67CE7">
            <w:pPr>
              <w:pStyle w:val="TableText"/>
              <w:rPr>
                <w:bCs/>
                <w:lang w:eastAsia="ja-JP"/>
              </w:rPr>
            </w:pPr>
            <w:r w:rsidRPr="008540DB">
              <w:rPr>
                <w:lang w:eastAsia="ja-JP"/>
              </w:rPr>
              <w:t xml:space="preserve">8.4 </w:t>
            </w:r>
            <w:r w:rsidRPr="008540DB">
              <w:rPr>
                <w:bCs/>
                <w:lang w:eastAsia="ja-JP"/>
              </w:rPr>
              <w:t xml:space="preserve">The </w:t>
            </w:r>
            <w:r w:rsidR="00870428" w:rsidRPr="008540DB">
              <w:rPr>
                <w:bCs/>
                <w:lang w:eastAsia="ja-JP"/>
              </w:rPr>
              <w:t>biosecurity industry participant</w:t>
            </w:r>
            <w:r w:rsidRPr="008540DB">
              <w:rPr>
                <w:bCs/>
                <w:lang w:eastAsia="ja-JP"/>
              </w:rPr>
              <w:t xml:space="preserve"> must notify the department in writing as soon as practicable within 15 working days of intending to or becoming aware of the following:</w:t>
            </w:r>
          </w:p>
          <w:p w14:paraId="5BA3A1AD" w14:textId="77777777" w:rsidR="00B67CE7" w:rsidRPr="008540DB" w:rsidRDefault="00B67CE7" w:rsidP="001324B8">
            <w:pPr>
              <w:pStyle w:val="TableBullet"/>
              <w:numPr>
                <w:ilvl w:val="0"/>
                <w:numId w:val="26"/>
              </w:numPr>
              <w:ind w:left="284" w:hanging="284"/>
            </w:pPr>
            <w:r w:rsidRPr="008540DB">
              <w:t>the second conveyance ceasing of operations as an AA site, whether temporarily or permanently</w:t>
            </w:r>
          </w:p>
          <w:p w14:paraId="2AE5993B" w14:textId="2F7E4CAE" w:rsidR="00B67CE7" w:rsidRPr="008540DB" w:rsidRDefault="00B67CE7" w:rsidP="001324B8">
            <w:pPr>
              <w:pStyle w:val="TableBullet"/>
              <w:numPr>
                <w:ilvl w:val="0"/>
                <w:numId w:val="26"/>
              </w:numPr>
              <w:ind w:left="284" w:hanging="284"/>
              <w:rPr>
                <w:lang w:eastAsia="ja-JP"/>
              </w:rPr>
            </w:pPr>
            <w:r w:rsidRPr="008540DB">
              <w:t>closure of a second conveyance as an AA site.</w:t>
            </w:r>
          </w:p>
        </w:tc>
        <w:tc>
          <w:tcPr>
            <w:tcW w:w="4530" w:type="dxa"/>
          </w:tcPr>
          <w:p w14:paraId="45342A40" w14:textId="0B952527" w:rsidR="00B67CE7" w:rsidRPr="008540DB" w:rsidRDefault="00F40884" w:rsidP="00046FDA">
            <w:pPr>
              <w:pStyle w:val="TableText"/>
              <w:rPr>
                <w:lang w:eastAsia="ja-JP"/>
              </w:rPr>
            </w:pPr>
            <w:r w:rsidRPr="008540DB">
              <w:rPr>
                <w:lang w:eastAsia="ja-JP"/>
              </w:rPr>
              <w:t>Major</w:t>
            </w:r>
          </w:p>
        </w:tc>
      </w:tr>
    </w:tbl>
    <w:p w14:paraId="6870F16D" w14:textId="2C80812A" w:rsidR="00046FDA" w:rsidRPr="008540DB" w:rsidRDefault="00046FDA" w:rsidP="00046FDA">
      <w:pPr>
        <w:pStyle w:val="Caption"/>
        <w:spacing w:before="240"/>
      </w:pPr>
      <w:r w:rsidRPr="008540DB">
        <w:lastRenderedPageBreak/>
        <w:t xml:space="preserve">Table 9 </w:t>
      </w:r>
      <w:r w:rsidR="008540DB">
        <w:t>General</w:t>
      </w:r>
    </w:p>
    <w:tbl>
      <w:tblPr>
        <w:tblStyle w:val="TableGrid"/>
        <w:tblW w:w="0" w:type="auto"/>
        <w:tblLook w:val="04A0" w:firstRow="1" w:lastRow="0" w:firstColumn="1" w:lastColumn="0" w:noHBand="0" w:noVBand="1"/>
      </w:tblPr>
      <w:tblGrid>
        <w:gridCol w:w="4530"/>
        <w:gridCol w:w="4530"/>
      </w:tblGrid>
      <w:tr w:rsidR="00046FDA" w:rsidRPr="008540DB" w14:paraId="001C39E5" w14:textId="77777777" w:rsidTr="00046FDA">
        <w:trPr>
          <w:cantSplit/>
          <w:tblHeader/>
        </w:trPr>
        <w:tc>
          <w:tcPr>
            <w:tcW w:w="4530" w:type="dxa"/>
          </w:tcPr>
          <w:p w14:paraId="1848CFDB" w14:textId="00DEC270" w:rsidR="00046FDA" w:rsidRPr="008540DB" w:rsidRDefault="00046FDA" w:rsidP="00046FDA">
            <w:pPr>
              <w:pStyle w:val="TableHeading"/>
              <w:rPr>
                <w:lang w:eastAsia="ja-JP"/>
              </w:rPr>
            </w:pPr>
            <w:r w:rsidRPr="008540DB">
              <w:rPr>
                <w:lang w:eastAsia="ja-JP"/>
              </w:rPr>
              <w:t>Requirements</w:t>
            </w:r>
          </w:p>
        </w:tc>
        <w:tc>
          <w:tcPr>
            <w:tcW w:w="4530" w:type="dxa"/>
          </w:tcPr>
          <w:p w14:paraId="3C5ABD48" w14:textId="375A9643" w:rsidR="00046FDA" w:rsidRPr="008540DB" w:rsidRDefault="00046FDA" w:rsidP="00046FDA">
            <w:pPr>
              <w:pStyle w:val="TableHeading"/>
              <w:rPr>
                <w:lang w:eastAsia="ja-JP"/>
              </w:rPr>
            </w:pPr>
            <w:r w:rsidRPr="008540DB">
              <w:rPr>
                <w:lang w:eastAsia="ja-JP"/>
              </w:rPr>
              <w:t>Nonconformity guide</w:t>
            </w:r>
          </w:p>
        </w:tc>
      </w:tr>
      <w:tr w:rsidR="00046FDA" w:rsidRPr="008540DB" w14:paraId="140B1F44" w14:textId="77777777" w:rsidTr="00046FDA">
        <w:trPr>
          <w:cantSplit/>
          <w:tblHeader/>
        </w:trPr>
        <w:tc>
          <w:tcPr>
            <w:tcW w:w="4530" w:type="dxa"/>
          </w:tcPr>
          <w:p w14:paraId="0A1EFB00" w14:textId="6E0FEDC6" w:rsidR="00F40884" w:rsidRPr="008540DB" w:rsidRDefault="00046FDA" w:rsidP="00F40884">
            <w:pPr>
              <w:pStyle w:val="TableText"/>
              <w:rPr>
                <w:bCs/>
              </w:rPr>
            </w:pPr>
            <w:r w:rsidRPr="008540DB">
              <w:rPr>
                <w:lang w:eastAsia="ja-JP"/>
              </w:rPr>
              <w:t xml:space="preserve">9.1 </w:t>
            </w:r>
            <w:r w:rsidR="00F40884" w:rsidRPr="008540DB">
              <w:rPr>
                <w:bCs/>
              </w:rPr>
              <w:t xml:space="preserve">The </w:t>
            </w:r>
            <w:r w:rsidR="00870428" w:rsidRPr="008540DB">
              <w:rPr>
                <w:bCs/>
              </w:rPr>
              <w:t>biosecurity industry participant</w:t>
            </w:r>
            <w:r w:rsidR="00F40884" w:rsidRPr="008540DB">
              <w:rPr>
                <w:bCs/>
              </w:rPr>
              <w:t xml:space="preserve"> must notify the department in writing as soon as practicable within 15 working days of becoming aware of any change of status, not previously been notified to the department, of the </w:t>
            </w:r>
            <w:r w:rsidR="00870428" w:rsidRPr="008540DB">
              <w:rPr>
                <w:bCs/>
              </w:rPr>
              <w:t>biosecurity industry participant</w:t>
            </w:r>
            <w:r w:rsidR="00F40884" w:rsidRPr="008540DB">
              <w:rPr>
                <w:bCs/>
              </w:rPr>
              <w:t xml:space="preserve"> or their associates relevant to the operation of the AA in relation to any of the following matters:</w:t>
            </w:r>
          </w:p>
          <w:p w14:paraId="618FD3CA" w14:textId="04B5C311" w:rsidR="00F40884" w:rsidRPr="009155C8" w:rsidRDefault="00F40884" w:rsidP="009155C8">
            <w:pPr>
              <w:pStyle w:val="TableBullet"/>
              <w:numPr>
                <w:ilvl w:val="0"/>
                <w:numId w:val="20"/>
              </w:numPr>
              <w:ind w:left="284" w:hanging="284"/>
              <w:rPr>
                <w:lang w:eastAsia="ja-JP"/>
              </w:rPr>
            </w:pPr>
            <w:r w:rsidRPr="009155C8">
              <w:rPr>
                <w:lang w:eastAsia="ja-JP"/>
              </w:rPr>
              <w:t xml:space="preserve">conviction of an offence or order to pay a pecuniary penalty under the Biosecurity Act 2015, Quarantine Act 1908, Customs Act 1901, the Criminal </w:t>
            </w:r>
            <w:proofErr w:type="gramStart"/>
            <w:r w:rsidRPr="009155C8">
              <w:rPr>
                <w:lang w:eastAsia="ja-JP"/>
              </w:rPr>
              <w:t>Code</w:t>
            </w:r>
            <w:proofErr w:type="gramEnd"/>
            <w:r w:rsidRPr="009155C8">
              <w:rPr>
                <w:lang w:eastAsia="ja-JP"/>
              </w:rPr>
              <w:t xml:space="preserve"> or the Crimes Act 1914</w:t>
            </w:r>
          </w:p>
          <w:p w14:paraId="65BCCD57" w14:textId="4C090D96" w:rsidR="00F40884" w:rsidRPr="009155C8" w:rsidRDefault="00F40884" w:rsidP="009155C8">
            <w:pPr>
              <w:pStyle w:val="TableBullet"/>
              <w:numPr>
                <w:ilvl w:val="0"/>
                <w:numId w:val="20"/>
              </w:numPr>
              <w:ind w:left="284" w:hanging="284"/>
              <w:rPr>
                <w:lang w:eastAsia="ja-JP"/>
              </w:rPr>
            </w:pPr>
            <w:r w:rsidRPr="009155C8">
              <w:rPr>
                <w:lang w:eastAsia="ja-JP"/>
              </w:rPr>
              <w:t xml:space="preserve">debt to the Commonwealth that is more than 28 days overdue under the Biosecurity Act 2015, Quarantine Act 1908, Customs Act 1901, the Criminal </w:t>
            </w:r>
            <w:proofErr w:type="gramStart"/>
            <w:r w:rsidRPr="009155C8">
              <w:rPr>
                <w:lang w:eastAsia="ja-JP"/>
              </w:rPr>
              <w:t>Code</w:t>
            </w:r>
            <w:proofErr w:type="gramEnd"/>
            <w:r w:rsidRPr="009155C8">
              <w:rPr>
                <w:lang w:eastAsia="ja-JP"/>
              </w:rPr>
              <w:t xml:space="preserve"> or the Crimes Act 1914</w:t>
            </w:r>
          </w:p>
          <w:p w14:paraId="55E5A549" w14:textId="125B05FE" w:rsidR="00046FDA" w:rsidRPr="008540DB" w:rsidRDefault="00F40884" w:rsidP="009155C8">
            <w:pPr>
              <w:pStyle w:val="TableBullet"/>
              <w:numPr>
                <w:ilvl w:val="0"/>
                <w:numId w:val="20"/>
              </w:numPr>
              <w:ind w:left="284" w:hanging="284"/>
              <w:rPr>
                <w:lang w:eastAsia="ja-JP"/>
              </w:rPr>
            </w:pPr>
            <w:r w:rsidRPr="009155C8">
              <w:rPr>
                <w:lang w:eastAsia="ja-JP"/>
              </w:rPr>
              <w:t>refusal, involuntary suspension, involuntary revocation/cancelation or involuntary variation of an Import Permit, quarantine approved premises, compliance agreement or AA under the Quarantine Act 1908 or the Biosecurity Act 2015.</w:t>
            </w:r>
          </w:p>
        </w:tc>
        <w:tc>
          <w:tcPr>
            <w:tcW w:w="4530" w:type="dxa"/>
          </w:tcPr>
          <w:p w14:paraId="6602C9F8" w14:textId="745B8E4E" w:rsidR="00046FDA" w:rsidRPr="008540DB" w:rsidRDefault="00046FDA" w:rsidP="00046FDA">
            <w:pPr>
              <w:pStyle w:val="TableText"/>
              <w:rPr>
                <w:lang w:eastAsia="ja-JP"/>
              </w:rPr>
            </w:pPr>
            <w:r w:rsidRPr="008540DB">
              <w:rPr>
                <w:lang w:eastAsia="ja-JP"/>
              </w:rPr>
              <w:t>Critical</w:t>
            </w:r>
          </w:p>
        </w:tc>
      </w:tr>
      <w:tr w:rsidR="00046FDA" w:rsidRPr="008540DB" w14:paraId="41317CB1" w14:textId="77777777" w:rsidTr="00046FDA">
        <w:trPr>
          <w:cantSplit/>
          <w:tblHeader/>
        </w:trPr>
        <w:tc>
          <w:tcPr>
            <w:tcW w:w="4530" w:type="dxa"/>
          </w:tcPr>
          <w:p w14:paraId="09BB23F6" w14:textId="7421B086" w:rsidR="00046FDA" w:rsidRPr="008540DB" w:rsidRDefault="00046FDA" w:rsidP="00046FDA">
            <w:pPr>
              <w:pStyle w:val="TableText"/>
              <w:rPr>
                <w:lang w:eastAsia="ja-JP"/>
              </w:rPr>
            </w:pPr>
            <w:r w:rsidRPr="008540DB">
              <w:rPr>
                <w:lang w:eastAsia="ja-JP"/>
              </w:rPr>
              <w:t xml:space="preserve">9.2 </w:t>
            </w:r>
            <w:r w:rsidR="00F40884" w:rsidRPr="008540DB">
              <w:rPr>
                <w:bCs/>
              </w:rPr>
              <w:t xml:space="preserve">Departmental auditors or department approved auditors must be provided with facilities and assistance as requested, and any required documents, </w:t>
            </w:r>
            <w:proofErr w:type="gramStart"/>
            <w:r w:rsidR="00F40884" w:rsidRPr="008540DB">
              <w:rPr>
                <w:bCs/>
              </w:rPr>
              <w:t>records</w:t>
            </w:r>
            <w:proofErr w:type="gramEnd"/>
            <w:r w:rsidR="00F40884" w:rsidRPr="008540DB">
              <w:rPr>
                <w:bCs/>
              </w:rPr>
              <w:t xml:space="preserve"> or things relevant to the audit.</w:t>
            </w:r>
          </w:p>
        </w:tc>
        <w:tc>
          <w:tcPr>
            <w:tcW w:w="4530" w:type="dxa"/>
          </w:tcPr>
          <w:p w14:paraId="6B5F46F1" w14:textId="7DA8EAD6" w:rsidR="00046FDA" w:rsidRPr="008540DB" w:rsidRDefault="00046FDA" w:rsidP="00046FDA">
            <w:pPr>
              <w:pStyle w:val="TableText"/>
              <w:rPr>
                <w:lang w:eastAsia="ja-JP"/>
              </w:rPr>
            </w:pPr>
            <w:r w:rsidRPr="008540DB">
              <w:rPr>
                <w:lang w:eastAsia="ja-JP"/>
              </w:rPr>
              <w:t>Critical</w:t>
            </w:r>
          </w:p>
        </w:tc>
      </w:tr>
      <w:tr w:rsidR="00046FDA" w:rsidRPr="008540DB" w14:paraId="53089965" w14:textId="77777777" w:rsidTr="00046FDA">
        <w:trPr>
          <w:cantSplit/>
          <w:tblHeader/>
        </w:trPr>
        <w:tc>
          <w:tcPr>
            <w:tcW w:w="4530" w:type="dxa"/>
          </w:tcPr>
          <w:p w14:paraId="228976EE" w14:textId="0C4E9D70" w:rsidR="00046FDA" w:rsidRPr="008540DB" w:rsidRDefault="00046FDA" w:rsidP="00046FDA">
            <w:pPr>
              <w:pStyle w:val="TableText"/>
              <w:rPr>
                <w:lang w:eastAsia="ja-JP"/>
              </w:rPr>
            </w:pPr>
            <w:r w:rsidRPr="008540DB">
              <w:rPr>
                <w:lang w:eastAsia="ja-JP"/>
              </w:rPr>
              <w:t>9.3</w:t>
            </w:r>
            <w:r w:rsidR="006B7CD4" w:rsidRPr="008540DB">
              <w:rPr>
                <w:rFonts w:asciiTheme="majorHAnsi" w:eastAsia="Calibri" w:hAnsiTheme="majorHAnsi" w:cstheme="majorHAnsi"/>
                <w:bCs/>
                <w:color w:val="000000"/>
                <w:sz w:val="22"/>
              </w:rPr>
              <w:t xml:space="preserve"> </w:t>
            </w:r>
            <w:r w:rsidR="006B7CD4" w:rsidRPr="008540DB">
              <w:rPr>
                <w:bCs/>
              </w:rPr>
              <w:t>Department approved auditors must be permitted to collect evidence of compliance and noncompliance with AA requirements through actions including the copying of documents and taking of photographs.</w:t>
            </w:r>
          </w:p>
        </w:tc>
        <w:tc>
          <w:tcPr>
            <w:tcW w:w="4530" w:type="dxa"/>
          </w:tcPr>
          <w:p w14:paraId="0EA46021" w14:textId="7EF99A01" w:rsidR="00046FDA" w:rsidRPr="008540DB" w:rsidRDefault="00046FDA" w:rsidP="00046FDA">
            <w:pPr>
              <w:pStyle w:val="TableText"/>
              <w:rPr>
                <w:lang w:eastAsia="ja-JP"/>
              </w:rPr>
            </w:pPr>
            <w:r w:rsidRPr="008540DB">
              <w:rPr>
                <w:lang w:eastAsia="ja-JP"/>
              </w:rPr>
              <w:t>Critical</w:t>
            </w:r>
          </w:p>
        </w:tc>
      </w:tr>
      <w:tr w:rsidR="00046FDA" w:rsidRPr="008540DB" w14:paraId="1FFD24DD" w14:textId="77777777" w:rsidTr="00046FDA">
        <w:trPr>
          <w:cantSplit/>
          <w:tblHeader/>
        </w:trPr>
        <w:tc>
          <w:tcPr>
            <w:tcW w:w="4530" w:type="dxa"/>
          </w:tcPr>
          <w:p w14:paraId="408A8D87" w14:textId="3B9CAEB6" w:rsidR="006B7CD4" w:rsidRPr="008540DB" w:rsidRDefault="00046FDA" w:rsidP="006B7CD4">
            <w:pPr>
              <w:pStyle w:val="TableText"/>
              <w:rPr>
                <w:bCs/>
              </w:rPr>
            </w:pPr>
            <w:r w:rsidRPr="008540DB">
              <w:rPr>
                <w:lang w:eastAsia="ja-JP"/>
              </w:rPr>
              <w:t xml:space="preserve">9.4 </w:t>
            </w:r>
            <w:r w:rsidR="006B7CD4" w:rsidRPr="008540DB">
              <w:rPr>
                <w:bCs/>
              </w:rPr>
              <w:t xml:space="preserve">An </w:t>
            </w:r>
            <w:r w:rsidR="0050144C" w:rsidRPr="008540DB">
              <w:rPr>
                <w:bCs/>
              </w:rPr>
              <w:t>a</w:t>
            </w:r>
            <w:r w:rsidR="006B7CD4" w:rsidRPr="008540DB">
              <w:rPr>
                <w:bCs/>
              </w:rPr>
              <w:t xml:space="preserve">ccredited </w:t>
            </w:r>
            <w:r w:rsidR="0050144C" w:rsidRPr="008540DB">
              <w:rPr>
                <w:bCs/>
              </w:rPr>
              <w:t>p</w:t>
            </w:r>
            <w:r w:rsidR="006B7CD4" w:rsidRPr="008540DB">
              <w:rPr>
                <w:bCs/>
              </w:rPr>
              <w:t>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14:paraId="1E6453BB" w14:textId="77777777" w:rsidR="006B7CD4" w:rsidRPr="009155C8" w:rsidRDefault="006B7CD4" w:rsidP="009155C8">
            <w:pPr>
              <w:pStyle w:val="TableBullet"/>
              <w:numPr>
                <w:ilvl w:val="0"/>
                <w:numId w:val="20"/>
              </w:numPr>
              <w:ind w:left="284" w:hanging="284"/>
              <w:rPr>
                <w:lang w:eastAsia="ja-JP"/>
              </w:rPr>
            </w:pPr>
            <w:r w:rsidRPr="009155C8">
              <w:rPr>
                <w:lang w:eastAsia="ja-JP"/>
              </w:rPr>
              <w:t xml:space="preserve">visually verify for themselves that the items are being handled in accordance with the department's requirements </w:t>
            </w:r>
          </w:p>
          <w:p w14:paraId="0BF19581" w14:textId="1484D91D" w:rsidR="00046FDA" w:rsidRPr="008540DB" w:rsidRDefault="006B7CD4" w:rsidP="009155C8">
            <w:pPr>
              <w:pStyle w:val="TableBullet"/>
              <w:numPr>
                <w:ilvl w:val="0"/>
                <w:numId w:val="20"/>
              </w:numPr>
              <w:ind w:left="284" w:hanging="284"/>
              <w:rPr>
                <w:lang w:eastAsia="ja-JP"/>
              </w:rPr>
            </w:pPr>
            <w:r w:rsidRPr="009155C8">
              <w:rPr>
                <w:lang w:eastAsia="ja-JP"/>
              </w:rPr>
              <w:t>communicate immediately and effectively with the persons being supervised.</w:t>
            </w:r>
          </w:p>
        </w:tc>
        <w:tc>
          <w:tcPr>
            <w:tcW w:w="4530" w:type="dxa"/>
          </w:tcPr>
          <w:p w14:paraId="4E013939" w14:textId="01841C64" w:rsidR="00046FDA" w:rsidRPr="008540DB" w:rsidRDefault="00046FDA" w:rsidP="00046FDA">
            <w:pPr>
              <w:pStyle w:val="TableText"/>
              <w:rPr>
                <w:lang w:eastAsia="ja-JP"/>
              </w:rPr>
            </w:pPr>
            <w:r w:rsidRPr="008540DB">
              <w:rPr>
                <w:lang w:eastAsia="ja-JP"/>
              </w:rPr>
              <w:t>Major</w:t>
            </w:r>
          </w:p>
        </w:tc>
      </w:tr>
      <w:tr w:rsidR="006B7CD4" w:rsidRPr="008540DB" w14:paraId="41354F65" w14:textId="77777777" w:rsidTr="00046FDA">
        <w:trPr>
          <w:cantSplit/>
          <w:tblHeader/>
        </w:trPr>
        <w:tc>
          <w:tcPr>
            <w:tcW w:w="4530" w:type="dxa"/>
          </w:tcPr>
          <w:p w14:paraId="0C4978C9" w14:textId="564A5C9F" w:rsidR="006B7CD4" w:rsidRPr="008540DB" w:rsidRDefault="006B7CD4" w:rsidP="0050144C">
            <w:pPr>
              <w:pStyle w:val="TableText"/>
              <w:rPr>
                <w:lang w:eastAsia="ja-JP"/>
              </w:rPr>
            </w:pPr>
            <w:r w:rsidRPr="008540DB">
              <w:rPr>
                <w:lang w:eastAsia="ja-JP"/>
              </w:rPr>
              <w:t xml:space="preserve">9.5 </w:t>
            </w:r>
            <w:r w:rsidRPr="008540DB">
              <w:rPr>
                <w:bCs/>
                <w:lang w:eastAsia="ja-JP"/>
              </w:rPr>
              <w:t xml:space="preserve">Persons performing the function of an </w:t>
            </w:r>
            <w:r w:rsidR="0050144C" w:rsidRPr="008540DB">
              <w:rPr>
                <w:bCs/>
                <w:lang w:eastAsia="ja-JP"/>
              </w:rPr>
              <w:t>a</w:t>
            </w:r>
            <w:r w:rsidRPr="008540DB">
              <w:rPr>
                <w:bCs/>
                <w:lang w:eastAsia="ja-JP"/>
              </w:rPr>
              <w:t xml:space="preserve">ccredited </w:t>
            </w:r>
            <w:r w:rsidR="0050144C" w:rsidRPr="008540DB">
              <w:rPr>
                <w:bCs/>
                <w:lang w:eastAsia="ja-JP"/>
              </w:rPr>
              <w:t>p</w:t>
            </w:r>
            <w:r w:rsidRPr="008540DB">
              <w:rPr>
                <w:bCs/>
                <w:lang w:eastAsia="ja-JP"/>
              </w:rPr>
              <w:t xml:space="preserve">erson must have successfully completed the department's approved training to obtain and maintain </w:t>
            </w:r>
            <w:r w:rsidR="0050144C" w:rsidRPr="008540DB">
              <w:rPr>
                <w:bCs/>
                <w:lang w:eastAsia="ja-JP"/>
              </w:rPr>
              <w:t>a</w:t>
            </w:r>
            <w:r w:rsidRPr="008540DB">
              <w:rPr>
                <w:bCs/>
                <w:lang w:eastAsia="ja-JP"/>
              </w:rPr>
              <w:t xml:space="preserve">ccredited </w:t>
            </w:r>
            <w:r w:rsidR="004051FC">
              <w:rPr>
                <w:bCs/>
                <w:lang w:eastAsia="ja-JP"/>
              </w:rPr>
              <w:t>p</w:t>
            </w:r>
            <w:r w:rsidRPr="008540DB">
              <w:rPr>
                <w:bCs/>
                <w:lang w:eastAsia="ja-JP"/>
              </w:rPr>
              <w:t>erson status.</w:t>
            </w:r>
          </w:p>
        </w:tc>
        <w:tc>
          <w:tcPr>
            <w:tcW w:w="4530" w:type="dxa"/>
          </w:tcPr>
          <w:p w14:paraId="79AB71AF" w14:textId="4DA1727D" w:rsidR="006B7CD4" w:rsidRPr="008540DB" w:rsidRDefault="006B7CD4" w:rsidP="00046FDA">
            <w:pPr>
              <w:pStyle w:val="TableText"/>
              <w:rPr>
                <w:lang w:eastAsia="ja-JP"/>
              </w:rPr>
            </w:pPr>
            <w:r w:rsidRPr="008540DB">
              <w:rPr>
                <w:lang w:eastAsia="ja-JP"/>
              </w:rPr>
              <w:t>Minor</w:t>
            </w:r>
          </w:p>
        </w:tc>
      </w:tr>
      <w:tr w:rsidR="006B7CD4" w14:paraId="111C5C38" w14:textId="77777777" w:rsidTr="00046FDA">
        <w:trPr>
          <w:cantSplit/>
          <w:tblHeader/>
        </w:trPr>
        <w:tc>
          <w:tcPr>
            <w:tcW w:w="4530" w:type="dxa"/>
          </w:tcPr>
          <w:p w14:paraId="3D5CF096" w14:textId="6556FB5A" w:rsidR="006B7CD4" w:rsidRPr="008540DB" w:rsidRDefault="006B7CD4" w:rsidP="0050144C">
            <w:pPr>
              <w:pStyle w:val="TableText"/>
              <w:rPr>
                <w:lang w:eastAsia="ja-JP"/>
              </w:rPr>
            </w:pPr>
            <w:r w:rsidRPr="008540DB">
              <w:rPr>
                <w:lang w:eastAsia="ja-JP"/>
              </w:rPr>
              <w:t xml:space="preserve">9.6 </w:t>
            </w:r>
            <w:r w:rsidRPr="008540DB">
              <w:rPr>
                <w:bCs/>
                <w:lang w:eastAsia="ja-JP"/>
              </w:rPr>
              <w:t xml:space="preserve">Records must be maintained of </w:t>
            </w:r>
            <w:r w:rsidR="0050144C" w:rsidRPr="008540DB">
              <w:rPr>
                <w:bCs/>
                <w:lang w:eastAsia="ja-JP"/>
              </w:rPr>
              <w:t>a</w:t>
            </w:r>
            <w:r w:rsidRPr="008540DB">
              <w:rPr>
                <w:bCs/>
                <w:lang w:eastAsia="ja-JP"/>
              </w:rPr>
              <w:t xml:space="preserve">ccredited </w:t>
            </w:r>
            <w:r w:rsidR="008540DB">
              <w:rPr>
                <w:bCs/>
                <w:lang w:eastAsia="ja-JP"/>
              </w:rPr>
              <w:t>p</w:t>
            </w:r>
            <w:r w:rsidRPr="008540DB">
              <w:rPr>
                <w:bCs/>
                <w:lang w:eastAsia="ja-JP"/>
              </w:rPr>
              <w:t>ersons.</w:t>
            </w:r>
          </w:p>
        </w:tc>
        <w:tc>
          <w:tcPr>
            <w:tcW w:w="4530" w:type="dxa"/>
          </w:tcPr>
          <w:p w14:paraId="31868801" w14:textId="27C79E92" w:rsidR="006B7CD4" w:rsidRDefault="006B7CD4" w:rsidP="00046FDA">
            <w:pPr>
              <w:pStyle w:val="TableText"/>
              <w:rPr>
                <w:lang w:eastAsia="ja-JP"/>
              </w:rPr>
            </w:pPr>
            <w:r w:rsidRPr="008540DB">
              <w:rPr>
                <w:lang w:eastAsia="ja-JP"/>
              </w:rPr>
              <w:t>Major</w:t>
            </w:r>
          </w:p>
        </w:tc>
      </w:tr>
    </w:tbl>
    <w:p w14:paraId="55A1241F" w14:textId="77777777" w:rsidR="00046FDA" w:rsidRPr="00315A8A" w:rsidRDefault="00046FDA" w:rsidP="00315A8A">
      <w:pPr>
        <w:rPr>
          <w:lang w:eastAsia="ja-JP"/>
        </w:rPr>
      </w:pPr>
    </w:p>
    <w:sectPr w:rsidR="00046FDA" w:rsidRPr="00315A8A" w:rsidSect="00D22F18">
      <w:headerReference w:type="default" r:id="rId17"/>
      <w:footerReference w:type="default" r:id="rId18"/>
      <w:headerReference w:type="first" r:id="rId19"/>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ED14" w14:textId="77777777" w:rsidR="006A29A1" w:rsidRDefault="006A29A1" w:rsidP="00267841">
      <w:r>
        <w:separator/>
      </w:r>
    </w:p>
    <w:p w14:paraId="19BFEF1C" w14:textId="77777777" w:rsidR="006A29A1" w:rsidRDefault="006A29A1"/>
    <w:p w14:paraId="7344CCA7" w14:textId="77777777" w:rsidR="006A29A1" w:rsidRDefault="006A29A1"/>
  </w:endnote>
  <w:endnote w:type="continuationSeparator" w:id="0">
    <w:p w14:paraId="18668618" w14:textId="77777777" w:rsidR="006A29A1" w:rsidRDefault="006A29A1" w:rsidP="00267841">
      <w:r>
        <w:continuationSeparator/>
      </w:r>
    </w:p>
    <w:p w14:paraId="30330CDA" w14:textId="77777777" w:rsidR="006A29A1" w:rsidRDefault="006A29A1"/>
    <w:p w14:paraId="3180E1A3" w14:textId="77777777" w:rsidR="006A29A1" w:rsidRDefault="006A29A1"/>
  </w:endnote>
  <w:endnote w:type="continuationNotice" w:id="1">
    <w:p w14:paraId="5F133110" w14:textId="77777777" w:rsidR="006A29A1" w:rsidRPr="00696C70" w:rsidRDefault="006A29A1" w:rsidP="00267841">
      <w:pPr>
        <w:pStyle w:val="Footer"/>
      </w:pPr>
    </w:p>
    <w:p w14:paraId="7E4E2A65" w14:textId="77777777" w:rsidR="006A29A1" w:rsidRDefault="006A29A1"/>
    <w:p w14:paraId="17BD6100" w14:textId="77777777" w:rsidR="006A29A1" w:rsidRDefault="006A2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C93D" w14:textId="691E65E3" w:rsidR="006A29A1" w:rsidRDefault="006A29A1" w:rsidP="00267841">
    <w:pPr>
      <w:pStyle w:val="Footer"/>
    </w:pPr>
    <w:r>
      <w:t>Department of Agriculture</w:t>
    </w:r>
    <w:r w:rsidR="00E16294">
      <w:t>,</w:t>
    </w:r>
    <w:r>
      <w:t xml:space="preserve"> </w:t>
    </w:r>
    <w:proofErr w:type="gramStart"/>
    <w:r>
      <w:t>Water</w:t>
    </w:r>
    <w:proofErr w:type="gramEnd"/>
    <w:r>
      <w:t xml:space="preserve"> </w:t>
    </w:r>
    <w:r w:rsidR="00E16294">
      <w:t>and the Environment</w:t>
    </w:r>
  </w:p>
  <w:p w14:paraId="0E742D7D" w14:textId="77777777" w:rsidR="006A29A1" w:rsidRDefault="006A29A1" w:rsidP="00267841">
    <w:pPr>
      <w:pStyle w:val="Footer"/>
    </w:pPr>
    <w:r>
      <w:fldChar w:fldCharType="begin"/>
    </w:r>
    <w:r>
      <w:instrText xml:space="preserve"> PAGE   \* MERGEFORMAT </w:instrText>
    </w:r>
    <w:r>
      <w:fldChar w:fldCharType="separate"/>
    </w:r>
    <w:r w:rsidR="00390B0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01A0" w14:textId="77777777" w:rsidR="006A29A1" w:rsidRDefault="006A29A1" w:rsidP="00267841">
      <w:r>
        <w:separator/>
      </w:r>
    </w:p>
    <w:p w14:paraId="1D1E450C" w14:textId="77777777" w:rsidR="006A29A1" w:rsidRDefault="006A29A1"/>
    <w:p w14:paraId="2D4BA2BF" w14:textId="77777777" w:rsidR="006A29A1" w:rsidRDefault="006A29A1"/>
  </w:footnote>
  <w:footnote w:type="continuationSeparator" w:id="0">
    <w:p w14:paraId="617E1EC4" w14:textId="77777777" w:rsidR="006A29A1" w:rsidRDefault="006A29A1" w:rsidP="00267841">
      <w:r>
        <w:continuationSeparator/>
      </w:r>
    </w:p>
    <w:p w14:paraId="3E6F203E" w14:textId="77777777" w:rsidR="006A29A1" w:rsidRDefault="006A29A1"/>
    <w:p w14:paraId="4834B899" w14:textId="77777777" w:rsidR="006A29A1" w:rsidRDefault="006A29A1"/>
  </w:footnote>
  <w:footnote w:type="continuationNotice" w:id="1">
    <w:p w14:paraId="2D6F7210" w14:textId="77777777" w:rsidR="006A29A1" w:rsidRPr="00310C6A" w:rsidRDefault="006A29A1" w:rsidP="00267841">
      <w:pPr>
        <w:pStyle w:val="Footer"/>
      </w:pPr>
    </w:p>
    <w:p w14:paraId="27778996" w14:textId="77777777" w:rsidR="006A29A1" w:rsidRDefault="006A29A1"/>
    <w:p w14:paraId="2FE5F4B1" w14:textId="77777777" w:rsidR="006A29A1" w:rsidRDefault="006A29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3B6B" w14:textId="239EE282" w:rsidR="006A29A1" w:rsidRPr="00B01303" w:rsidRDefault="006A29A1" w:rsidP="009F3A16">
    <w:pPr>
      <w:pStyle w:val="Header"/>
    </w:pPr>
    <w:r w:rsidRPr="00A26A9F">
      <w:t xml:space="preserve">Approved Arrangements: </w:t>
    </w:r>
    <w:r>
      <w:t>13.1—Second conveyance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2F9F" w14:textId="77777777" w:rsidR="006A29A1" w:rsidRDefault="006A29A1" w:rsidP="00C16FC4">
    <w:pPr>
      <w:pStyle w:val="Header"/>
      <w:jc w:val="left"/>
    </w:pPr>
    <w:r>
      <w:rPr>
        <w:noProof/>
        <w:lang w:eastAsia="en-AU"/>
      </w:rPr>
      <w:drawing>
        <wp:inline distT="0" distB="0" distL="0" distR="0" wp14:anchorId="62B69AB1" wp14:editId="125970A4">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ACA1901"/>
    <w:multiLevelType w:val="hybridMultilevel"/>
    <w:tmpl w:val="E9AC10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C5E2F35"/>
    <w:multiLevelType w:val="multilevel"/>
    <w:tmpl w:val="4182A4F0"/>
    <w:numStyleLink w:val="Numberlist"/>
  </w:abstractNum>
  <w:abstractNum w:abstractNumId="4" w15:restartNumberingAfterBreak="0">
    <w:nsid w:val="196B606F"/>
    <w:multiLevelType w:val="hybridMultilevel"/>
    <w:tmpl w:val="E0560262"/>
    <w:lvl w:ilvl="0" w:tplc="A98846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264E14"/>
    <w:multiLevelType w:val="multilevel"/>
    <w:tmpl w:val="197C0294"/>
    <w:numStyleLink w:val="Headinglist"/>
  </w:abstractNum>
  <w:abstractNum w:abstractNumId="6"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BCF612F"/>
    <w:multiLevelType w:val="hybridMultilevel"/>
    <w:tmpl w:val="23F83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690373"/>
    <w:multiLevelType w:val="hybridMultilevel"/>
    <w:tmpl w:val="A1F60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CB677C"/>
    <w:multiLevelType w:val="hybridMultilevel"/>
    <w:tmpl w:val="A8A4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1936CDB"/>
    <w:multiLevelType w:val="hybridMultilevel"/>
    <w:tmpl w:val="DC36B5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9E7C2E"/>
    <w:multiLevelType w:val="hybridMultilevel"/>
    <w:tmpl w:val="7F160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69FB1D38"/>
    <w:multiLevelType w:val="hybridMultilevel"/>
    <w:tmpl w:val="36EA2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876973"/>
    <w:multiLevelType w:val="hybridMultilevel"/>
    <w:tmpl w:val="4F1A1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B67D65"/>
    <w:multiLevelType w:val="hybridMultilevel"/>
    <w:tmpl w:val="ADDA2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083EA7"/>
    <w:multiLevelType w:val="hybridMultilevel"/>
    <w:tmpl w:val="797C151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D684669"/>
    <w:multiLevelType w:val="hybridMultilevel"/>
    <w:tmpl w:val="F3828D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num>
  <w:num w:numId="3">
    <w:abstractNumId w:val="11"/>
  </w:num>
  <w:num w:numId="4">
    <w:abstractNumId w:val="4"/>
  </w:num>
  <w:num w:numId="5">
    <w:abstractNumId w:val="13"/>
  </w:num>
  <w:num w:numId="6">
    <w:abstractNumId w:val="14"/>
  </w:num>
  <w:num w:numId="7">
    <w:abstractNumId w:val="3"/>
  </w:num>
  <w:num w:numId="8">
    <w:abstractNumId w:val="6"/>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0"/>
  </w:num>
  <w:num w:numId="14">
    <w:abstractNumId w:val="18"/>
  </w:num>
  <w:num w:numId="15">
    <w:abstractNumId w:val="8"/>
  </w:num>
  <w:num w:numId="16">
    <w:abstractNumId w:val="4"/>
  </w:num>
  <w:num w:numId="17">
    <w:abstractNumId w:val="4"/>
  </w:num>
  <w:num w:numId="18">
    <w:abstractNumId w:val="4"/>
  </w:num>
  <w:num w:numId="19">
    <w:abstractNumId w:val="9"/>
  </w:num>
  <w:num w:numId="20">
    <w:abstractNumId w:val="12"/>
  </w:num>
  <w:num w:numId="21">
    <w:abstractNumId w:val="2"/>
  </w:num>
  <w:num w:numId="22">
    <w:abstractNumId w:val="4"/>
  </w:num>
  <w:num w:numId="23">
    <w:abstractNumId w:val="4"/>
  </w:num>
  <w:num w:numId="24">
    <w:abstractNumId w:val="19"/>
  </w:num>
  <w:num w:numId="25">
    <w:abstractNumId w:val="16"/>
  </w:num>
  <w:num w:numId="26">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9A"/>
    <w:rsid w:val="000008A6"/>
    <w:rsid w:val="00001559"/>
    <w:rsid w:val="00001B76"/>
    <w:rsid w:val="000020B5"/>
    <w:rsid w:val="000027C9"/>
    <w:rsid w:val="000029ED"/>
    <w:rsid w:val="000039FD"/>
    <w:rsid w:val="000045BE"/>
    <w:rsid w:val="0000510A"/>
    <w:rsid w:val="00005693"/>
    <w:rsid w:val="00006FBD"/>
    <w:rsid w:val="00007FD4"/>
    <w:rsid w:val="00011A8A"/>
    <w:rsid w:val="000121BF"/>
    <w:rsid w:val="000125BB"/>
    <w:rsid w:val="00013C46"/>
    <w:rsid w:val="00014EF6"/>
    <w:rsid w:val="0001504C"/>
    <w:rsid w:val="000150DB"/>
    <w:rsid w:val="000152F2"/>
    <w:rsid w:val="00016204"/>
    <w:rsid w:val="000165F4"/>
    <w:rsid w:val="00020B9F"/>
    <w:rsid w:val="0002273A"/>
    <w:rsid w:val="000232C5"/>
    <w:rsid w:val="00023C00"/>
    <w:rsid w:val="000257A6"/>
    <w:rsid w:val="0002655F"/>
    <w:rsid w:val="0002792F"/>
    <w:rsid w:val="000304DC"/>
    <w:rsid w:val="00030743"/>
    <w:rsid w:val="00030DBE"/>
    <w:rsid w:val="00033EE3"/>
    <w:rsid w:val="00034415"/>
    <w:rsid w:val="00034582"/>
    <w:rsid w:val="0003507A"/>
    <w:rsid w:val="000353F7"/>
    <w:rsid w:val="000357D6"/>
    <w:rsid w:val="00037065"/>
    <w:rsid w:val="00037410"/>
    <w:rsid w:val="000409CF"/>
    <w:rsid w:val="000413BD"/>
    <w:rsid w:val="00041B91"/>
    <w:rsid w:val="00041C73"/>
    <w:rsid w:val="00041D7C"/>
    <w:rsid w:val="000420E6"/>
    <w:rsid w:val="00042DC7"/>
    <w:rsid w:val="00042F5E"/>
    <w:rsid w:val="0004353E"/>
    <w:rsid w:val="00043D8C"/>
    <w:rsid w:val="00044210"/>
    <w:rsid w:val="00044441"/>
    <w:rsid w:val="00044A45"/>
    <w:rsid w:val="00044B19"/>
    <w:rsid w:val="00045C03"/>
    <w:rsid w:val="00045C0E"/>
    <w:rsid w:val="00046640"/>
    <w:rsid w:val="00046FDA"/>
    <w:rsid w:val="000509C7"/>
    <w:rsid w:val="00050D60"/>
    <w:rsid w:val="00051268"/>
    <w:rsid w:val="0005234D"/>
    <w:rsid w:val="00052573"/>
    <w:rsid w:val="000552AB"/>
    <w:rsid w:val="00055E1D"/>
    <w:rsid w:val="00056540"/>
    <w:rsid w:val="00057C26"/>
    <w:rsid w:val="00060E59"/>
    <w:rsid w:val="0006118A"/>
    <w:rsid w:val="00062969"/>
    <w:rsid w:val="00063145"/>
    <w:rsid w:val="00063F12"/>
    <w:rsid w:val="00064698"/>
    <w:rsid w:val="000657DE"/>
    <w:rsid w:val="00066293"/>
    <w:rsid w:val="00066BCD"/>
    <w:rsid w:val="00067C92"/>
    <w:rsid w:val="00067D89"/>
    <w:rsid w:val="00072255"/>
    <w:rsid w:val="0007238F"/>
    <w:rsid w:val="00072BB5"/>
    <w:rsid w:val="00072F5D"/>
    <w:rsid w:val="00073001"/>
    <w:rsid w:val="00073076"/>
    <w:rsid w:val="00073C5D"/>
    <w:rsid w:val="000744D9"/>
    <w:rsid w:val="0007466B"/>
    <w:rsid w:val="00074FA1"/>
    <w:rsid w:val="00075E46"/>
    <w:rsid w:val="00075F7A"/>
    <w:rsid w:val="000762B2"/>
    <w:rsid w:val="00076791"/>
    <w:rsid w:val="000768B4"/>
    <w:rsid w:val="00076F1E"/>
    <w:rsid w:val="00077E7A"/>
    <w:rsid w:val="00080BA3"/>
    <w:rsid w:val="0008128C"/>
    <w:rsid w:val="000812F7"/>
    <w:rsid w:val="00082202"/>
    <w:rsid w:val="0008286D"/>
    <w:rsid w:val="00082B00"/>
    <w:rsid w:val="00082BFB"/>
    <w:rsid w:val="00083505"/>
    <w:rsid w:val="00083BBC"/>
    <w:rsid w:val="00083FCE"/>
    <w:rsid w:val="00084FAB"/>
    <w:rsid w:val="00085A2C"/>
    <w:rsid w:val="0008679E"/>
    <w:rsid w:val="00086969"/>
    <w:rsid w:val="00086AB1"/>
    <w:rsid w:val="0008702B"/>
    <w:rsid w:val="00087F29"/>
    <w:rsid w:val="000908B8"/>
    <w:rsid w:val="000917A0"/>
    <w:rsid w:val="00092BD5"/>
    <w:rsid w:val="00092F0D"/>
    <w:rsid w:val="00095D10"/>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0617"/>
    <w:rsid w:val="000C1F61"/>
    <w:rsid w:val="000C4A92"/>
    <w:rsid w:val="000C4F8B"/>
    <w:rsid w:val="000C5064"/>
    <w:rsid w:val="000C55B6"/>
    <w:rsid w:val="000C6D11"/>
    <w:rsid w:val="000C6D47"/>
    <w:rsid w:val="000C77CB"/>
    <w:rsid w:val="000D0236"/>
    <w:rsid w:val="000D0633"/>
    <w:rsid w:val="000D0A73"/>
    <w:rsid w:val="000D1B32"/>
    <w:rsid w:val="000D41C7"/>
    <w:rsid w:val="000D4B9C"/>
    <w:rsid w:val="000D51AA"/>
    <w:rsid w:val="000D5CBE"/>
    <w:rsid w:val="000E0219"/>
    <w:rsid w:val="000E04F1"/>
    <w:rsid w:val="000E04FE"/>
    <w:rsid w:val="000E1B48"/>
    <w:rsid w:val="000E2148"/>
    <w:rsid w:val="000E2D89"/>
    <w:rsid w:val="000E3A1C"/>
    <w:rsid w:val="000E5684"/>
    <w:rsid w:val="000E786F"/>
    <w:rsid w:val="000F036B"/>
    <w:rsid w:val="000F041C"/>
    <w:rsid w:val="000F061B"/>
    <w:rsid w:val="000F28CF"/>
    <w:rsid w:val="000F2911"/>
    <w:rsid w:val="000F4AC8"/>
    <w:rsid w:val="000F4E34"/>
    <w:rsid w:val="000F6B5F"/>
    <w:rsid w:val="000F7BCE"/>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2B17"/>
    <w:rsid w:val="0012363D"/>
    <w:rsid w:val="00124376"/>
    <w:rsid w:val="00124CCD"/>
    <w:rsid w:val="001267E6"/>
    <w:rsid w:val="00127368"/>
    <w:rsid w:val="0013137B"/>
    <w:rsid w:val="001320CF"/>
    <w:rsid w:val="001324B8"/>
    <w:rsid w:val="00132C2A"/>
    <w:rsid w:val="00132D29"/>
    <w:rsid w:val="00135269"/>
    <w:rsid w:val="00137026"/>
    <w:rsid w:val="00137058"/>
    <w:rsid w:val="00137B2F"/>
    <w:rsid w:val="00140403"/>
    <w:rsid w:val="0014069B"/>
    <w:rsid w:val="00140ABD"/>
    <w:rsid w:val="00140B61"/>
    <w:rsid w:val="0014161D"/>
    <w:rsid w:val="001419F7"/>
    <w:rsid w:val="00141A65"/>
    <w:rsid w:val="00142E21"/>
    <w:rsid w:val="00143503"/>
    <w:rsid w:val="001437F8"/>
    <w:rsid w:val="00144632"/>
    <w:rsid w:val="00144DA9"/>
    <w:rsid w:val="001452E6"/>
    <w:rsid w:val="0014629B"/>
    <w:rsid w:val="001466E8"/>
    <w:rsid w:val="00146984"/>
    <w:rsid w:val="001469AD"/>
    <w:rsid w:val="001470DF"/>
    <w:rsid w:val="00147B62"/>
    <w:rsid w:val="00150924"/>
    <w:rsid w:val="00150CB6"/>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6882"/>
    <w:rsid w:val="00167417"/>
    <w:rsid w:val="00170C4E"/>
    <w:rsid w:val="0017118A"/>
    <w:rsid w:val="0017195A"/>
    <w:rsid w:val="00171AD9"/>
    <w:rsid w:val="00172A5F"/>
    <w:rsid w:val="00172EA6"/>
    <w:rsid w:val="00173C56"/>
    <w:rsid w:val="00174B32"/>
    <w:rsid w:val="00174F3A"/>
    <w:rsid w:val="00175044"/>
    <w:rsid w:val="00175477"/>
    <w:rsid w:val="0017615D"/>
    <w:rsid w:val="00177F57"/>
    <w:rsid w:val="00181533"/>
    <w:rsid w:val="00182084"/>
    <w:rsid w:val="00182D68"/>
    <w:rsid w:val="00183CE1"/>
    <w:rsid w:val="001846E8"/>
    <w:rsid w:val="00184AAE"/>
    <w:rsid w:val="001853F3"/>
    <w:rsid w:val="00185484"/>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4921"/>
    <w:rsid w:val="0021543F"/>
    <w:rsid w:val="002161BF"/>
    <w:rsid w:val="002170F2"/>
    <w:rsid w:val="00217F02"/>
    <w:rsid w:val="002202FB"/>
    <w:rsid w:val="00221012"/>
    <w:rsid w:val="00223164"/>
    <w:rsid w:val="002231C2"/>
    <w:rsid w:val="002246DD"/>
    <w:rsid w:val="00224DF0"/>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0F84"/>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4F7B"/>
    <w:rsid w:val="00265C44"/>
    <w:rsid w:val="00266048"/>
    <w:rsid w:val="002667AC"/>
    <w:rsid w:val="00266DAF"/>
    <w:rsid w:val="00266DEC"/>
    <w:rsid w:val="0026729B"/>
    <w:rsid w:val="002677C7"/>
    <w:rsid w:val="00267841"/>
    <w:rsid w:val="00270FF8"/>
    <w:rsid w:val="00271356"/>
    <w:rsid w:val="002746EF"/>
    <w:rsid w:val="00274B9C"/>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DCD"/>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1D58"/>
    <w:rsid w:val="002A23DD"/>
    <w:rsid w:val="002A2E7D"/>
    <w:rsid w:val="002A2F85"/>
    <w:rsid w:val="002A33E4"/>
    <w:rsid w:val="002A3865"/>
    <w:rsid w:val="002A4CE2"/>
    <w:rsid w:val="002A53E8"/>
    <w:rsid w:val="002A54CA"/>
    <w:rsid w:val="002A584F"/>
    <w:rsid w:val="002A6BE6"/>
    <w:rsid w:val="002A7718"/>
    <w:rsid w:val="002B03EA"/>
    <w:rsid w:val="002B115C"/>
    <w:rsid w:val="002B11DB"/>
    <w:rsid w:val="002B1209"/>
    <w:rsid w:val="002B258E"/>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072"/>
    <w:rsid w:val="002D770B"/>
    <w:rsid w:val="002E15C1"/>
    <w:rsid w:val="002E1F51"/>
    <w:rsid w:val="002E369B"/>
    <w:rsid w:val="002E36E9"/>
    <w:rsid w:val="002E371A"/>
    <w:rsid w:val="002E49EC"/>
    <w:rsid w:val="002E58BF"/>
    <w:rsid w:val="002E6147"/>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50"/>
    <w:rsid w:val="00301E66"/>
    <w:rsid w:val="003020C4"/>
    <w:rsid w:val="003022CA"/>
    <w:rsid w:val="00302F2E"/>
    <w:rsid w:val="003035F8"/>
    <w:rsid w:val="00304D12"/>
    <w:rsid w:val="003078B6"/>
    <w:rsid w:val="0031086C"/>
    <w:rsid w:val="00310C6A"/>
    <w:rsid w:val="00310C71"/>
    <w:rsid w:val="00311643"/>
    <w:rsid w:val="00311AE5"/>
    <w:rsid w:val="0031204B"/>
    <w:rsid w:val="00313686"/>
    <w:rsid w:val="00313B55"/>
    <w:rsid w:val="00313FC3"/>
    <w:rsid w:val="00315A8A"/>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5BD5"/>
    <w:rsid w:val="00326A34"/>
    <w:rsid w:val="00330AA8"/>
    <w:rsid w:val="00330B23"/>
    <w:rsid w:val="00330D9C"/>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1459"/>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0B06"/>
    <w:rsid w:val="00351FA5"/>
    <w:rsid w:val="00352441"/>
    <w:rsid w:val="003524A5"/>
    <w:rsid w:val="00352605"/>
    <w:rsid w:val="003537FB"/>
    <w:rsid w:val="00354D6A"/>
    <w:rsid w:val="0035581B"/>
    <w:rsid w:val="00355870"/>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BC4"/>
    <w:rsid w:val="00372CF5"/>
    <w:rsid w:val="003730CC"/>
    <w:rsid w:val="00373501"/>
    <w:rsid w:val="003752B3"/>
    <w:rsid w:val="00375355"/>
    <w:rsid w:val="00375CA9"/>
    <w:rsid w:val="0037626B"/>
    <w:rsid w:val="003769A7"/>
    <w:rsid w:val="00377B60"/>
    <w:rsid w:val="003808AB"/>
    <w:rsid w:val="0038217A"/>
    <w:rsid w:val="0038231F"/>
    <w:rsid w:val="003833A4"/>
    <w:rsid w:val="00383FB8"/>
    <w:rsid w:val="003841DB"/>
    <w:rsid w:val="0038456A"/>
    <w:rsid w:val="00384D41"/>
    <w:rsid w:val="00384E58"/>
    <w:rsid w:val="00386DCD"/>
    <w:rsid w:val="003873A0"/>
    <w:rsid w:val="0038793A"/>
    <w:rsid w:val="00390160"/>
    <w:rsid w:val="00390285"/>
    <w:rsid w:val="00390B0E"/>
    <w:rsid w:val="003912D2"/>
    <w:rsid w:val="00391A88"/>
    <w:rsid w:val="00391BC5"/>
    <w:rsid w:val="00392846"/>
    <w:rsid w:val="00393C00"/>
    <w:rsid w:val="00394186"/>
    <w:rsid w:val="00394B1D"/>
    <w:rsid w:val="00394B8A"/>
    <w:rsid w:val="0039642D"/>
    <w:rsid w:val="00396A21"/>
    <w:rsid w:val="00396D1E"/>
    <w:rsid w:val="00396FE1"/>
    <w:rsid w:val="0039776B"/>
    <w:rsid w:val="0039777A"/>
    <w:rsid w:val="003A1544"/>
    <w:rsid w:val="003A1F8A"/>
    <w:rsid w:val="003A43E0"/>
    <w:rsid w:val="003A4D54"/>
    <w:rsid w:val="003A6D6E"/>
    <w:rsid w:val="003A75E1"/>
    <w:rsid w:val="003B19C9"/>
    <w:rsid w:val="003B1BCB"/>
    <w:rsid w:val="003B1CD5"/>
    <w:rsid w:val="003B41DB"/>
    <w:rsid w:val="003B4674"/>
    <w:rsid w:val="003B490D"/>
    <w:rsid w:val="003B4A60"/>
    <w:rsid w:val="003B5279"/>
    <w:rsid w:val="003B585C"/>
    <w:rsid w:val="003B5935"/>
    <w:rsid w:val="003B5B5B"/>
    <w:rsid w:val="003B732F"/>
    <w:rsid w:val="003B79E1"/>
    <w:rsid w:val="003C0462"/>
    <w:rsid w:val="003C2026"/>
    <w:rsid w:val="003C22F7"/>
    <w:rsid w:val="003C3C3D"/>
    <w:rsid w:val="003C4B0B"/>
    <w:rsid w:val="003C4E62"/>
    <w:rsid w:val="003C5005"/>
    <w:rsid w:val="003C5E30"/>
    <w:rsid w:val="003C6B5F"/>
    <w:rsid w:val="003D09C0"/>
    <w:rsid w:val="003D1904"/>
    <w:rsid w:val="003D19F7"/>
    <w:rsid w:val="003D1F05"/>
    <w:rsid w:val="003D1FD1"/>
    <w:rsid w:val="003D55FB"/>
    <w:rsid w:val="003D76E8"/>
    <w:rsid w:val="003D7A12"/>
    <w:rsid w:val="003E1159"/>
    <w:rsid w:val="003E1175"/>
    <w:rsid w:val="003E179A"/>
    <w:rsid w:val="003E1B9E"/>
    <w:rsid w:val="003E2FDF"/>
    <w:rsid w:val="003E3DD5"/>
    <w:rsid w:val="003E4B01"/>
    <w:rsid w:val="003E503E"/>
    <w:rsid w:val="003E54C4"/>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1FC"/>
    <w:rsid w:val="0040523D"/>
    <w:rsid w:val="004053D5"/>
    <w:rsid w:val="0040715D"/>
    <w:rsid w:val="00407E91"/>
    <w:rsid w:val="00407EF5"/>
    <w:rsid w:val="00407F6C"/>
    <w:rsid w:val="00407F74"/>
    <w:rsid w:val="00410E90"/>
    <w:rsid w:val="00411178"/>
    <w:rsid w:val="00411526"/>
    <w:rsid w:val="00411D4F"/>
    <w:rsid w:val="00413B42"/>
    <w:rsid w:val="0041423E"/>
    <w:rsid w:val="00414417"/>
    <w:rsid w:val="00414BAC"/>
    <w:rsid w:val="00414F28"/>
    <w:rsid w:val="0041651B"/>
    <w:rsid w:val="00416BCE"/>
    <w:rsid w:val="00420AD1"/>
    <w:rsid w:val="00420BB6"/>
    <w:rsid w:val="00421318"/>
    <w:rsid w:val="004213A2"/>
    <w:rsid w:val="00421EC4"/>
    <w:rsid w:val="004229FD"/>
    <w:rsid w:val="00422FFD"/>
    <w:rsid w:val="0042310E"/>
    <w:rsid w:val="00423860"/>
    <w:rsid w:val="004242F9"/>
    <w:rsid w:val="00424322"/>
    <w:rsid w:val="004249AC"/>
    <w:rsid w:val="00424CEC"/>
    <w:rsid w:val="00425E8C"/>
    <w:rsid w:val="00425EB9"/>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55C6"/>
    <w:rsid w:val="00435839"/>
    <w:rsid w:val="00436184"/>
    <w:rsid w:val="00436C67"/>
    <w:rsid w:val="004401CA"/>
    <w:rsid w:val="004409AA"/>
    <w:rsid w:val="00440D8E"/>
    <w:rsid w:val="004411B8"/>
    <w:rsid w:val="00441882"/>
    <w:rsid w:val="004418CA"/>
    <w:rsid w:val="00443104"/>
    <w:rsid w:val="00443F92"/>
    <w:rsid w:val="00444066"/>
    <w:rsid w:val="004443ED"/>
    <w:rsid w:val="00444D96"/>
    <w:rsid w:val="00444E80"/>
    <w:rsid w:val="0044567B"/>
    <w:rsid w:val="004470C1"/>
    <w:rsid w:val="00447246"/>
    <w:rsid w:val="00450440"/>
    <w:rsid w:val="004519FB"/>
    <w:rsid w:val="00451D43"/>
    <w:rsid w:val="00451D65"/>
    <w:rsid w:val="00452412"/>
    <w:rsid w:val="00452593"/>
    <w:rsid w:val="00452A40"/>
    <w:rsid w:val="00452F3A"/>
    <w:rsid w:val="00453DE1"/>
    <w:rsid w:val="004546B7"/>
    <w:rsid w:val="00455779"/>
    <w:rsid w:val="00455B9E"/>
    <w:rsid w:val="0045621B"/>
    <w:rsid w:val="004578FF"/>
    <w:rsid w:val="00457AA6"/>
    <w:rsid w:val="004605AF"/>
    <w:rsid w:val="00460A87"/>
    <w:rsid w:val="00460F78"/>
    <w:rsid w:val="004614BC"/>
    <w:rsid w:val="004615AA"/>
    <w:rsid w:val="00461A51"/>
    <w:rsid w:val="00462F75"/>
    <w:rsid w:val="00463549"/>
    <w:rsid w:val="00463666"/>
    <w:rsid w:val="00463F3E"/>
    <w:rsid w:val="00464443"/>
    <w:rsid w:val="0046563C"/>
    <w:rsid w:val="004660D4"/>
    <w:rsid w:val="0046659D"/>
    <w:rsid w:val="0046692F"/>
    <w:rsid w:val="004675EC"/>
    <w:rsid w:val="00467B8E"/>
    <w:rsid w:val="00467F54"/>
    <w:rsid w:val="00470A77"/>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2CA8"/>
    <w:rsid w:val="004A6006"/>
    <w:rsid w:val="004A7C75"/>
    <w:rsid w:val="004B1DF0"/>
    <w:rsid w:val="004B23D7"/>
    <w:rsid w:val="004B2A00"/>
    <w:rsid w:val="004B391B"/>
    <w:rsid w:val="004B4238"/>
    <w:rsid w:val="004B4FF6"/>
    <w:rsid w:val="004B5172"/>
    <w:rsid w:val="004B51A1"/>
    <w:rsid w:val="004B5A5E"/>
    <w:rsid w:val="004B5FC6"/>
    <w:rsid w:val="004B6035"/>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DD9"/>
    <w:rsid w:val="004D4F07"/>
    <w:rsid w:val="004D536C"/>
    <w:rsid w:val="004D56A7"/>
    <w:rsid w:val="004D6DEE"/>
    <w:rsid w:val="004D6E97"/>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232"/>
    <w:rsid w:val="004F49E8"/>
    <w:rsid w:val="004F4C6E"/>
    <w:rsid w:val="004F5016"/>
    <w:rsid w:val="004F51D5"/>
    <w:rsid w:val="004F5A9B"/>
    <w:rsid w:val="0050063B"/>
    <w:rsid w:val="0050144C"/>
    <w:rsid w:val="00501BF1"/>
    <w:rsid w:val="00501FE0"/>
    <w:rsid w:val="00503C66"/>
    <w:rsid w:val="00503C72"/>
    <w:rsid w:val="00504994"/>
    <w:rsid w:val="00505082"/>
    <w:rsid w:val="00506E2E"/>
    <w:rsid w:val="005073DC"/>
    <w:rsid w:val="005074D5"/>
    <w:rsid w:val="00510618"/>
    <w:rsid w:val="00510B17"/>
    <w:rsid w:val="0051105A"/>
    <w:rsid w:val="00511373"/>
    <w:rsid w:val="00511BD6"/>
    <w:rsid w:val="00511E0E"/>
    <w:rsid w:val="005129D4"/>
    <w:rsid w:val="00512A59"/>
    <w:rsid w:val="00512BB6"/>
    <w:rsid w:val="005130AB"/>
    <w:rsid w:val="005135E2"/>
    <w:rsid w:val="00513C8B"/>
    <w:rsid w:val="0051444D"/>
    <w:rsid w:val="00515B4D"/>
    <w:rsid w:val="00516BDA"/>
    <w:rsid w:val="0051715D"/>
    <w:rsid w:val="00517AD6"/>
    <w:rsid w:val="00517D2E"/>
    <w:rsid w:val="005212E4"/>
    <w:rsid w:val="0052206F"/>
    <w:rsid w:val="00522BC2"/>
    <w:rsid w:val="0052534C"/>
    <w:rsid w:val="00525450"/>
    <w:rsid w:val="00525E99"/>
    <w:rsid w:val="00526497"/>
    <w:rsid w:val="00526DD3"/>
    <w:rsid w:val="00526E30"/>
    <w:rsid w:val="0052700A"/>
    <w:rsid w:val="005277EA"/>
    <w:rsid w:val="0053096C"/>
    <w:rsid w:val="00530E23"/>
    <w:rsid w:val="00531035"/>
    <w:rsid w:val="00531659"/>
    <w:rsid w:val="005324DD"/>
    <w:rsid w:val="005326BF"/>
    <w:rsid w:val="005326EF"/>
    <w:rsid w:val="005327E8"/>
    <w:rsid w:val="00533889"/>
    <w:rsid w:val="0053534F"/>
    <w:rsid w:val="00535BB3"/>
    <w:rsid w:val="00537ADB"/>
    <w:rsid w:val="005412E1"/>
    <w:rsid w:val="00543134"/>
    <w:rsid w:val="0054318A"/>
    <w:rsid w:val="00543CE3"/>
    <w:rsid w:val="005440FB"/>
    <w:rsid w:val="00544B37"/>
    <w:rsid w:val="00544C1D"/>
    <w:rsid w:val="00545FAE"/>
    <w:rsid w:val="00546502"/>
    <w:rsid w:val="00546F63"/>
    <w:rsid w:val="00547112"/>
    <w:rsid w:val="005476EF"/>
    <w:rsid w:val="005478E4"/>
    <w:rsid w:val="00547CE0"/>
    <w:rsid w:val="00547F14"/>
    <w:rsid w:val="005517FF"/>
    <w:rsid w:val="00551877"/>
    <w:rsid w:val="00553194"/>
    <w:rsid w:val="0055393D"/>
    <w:rsid w:val="0055410B"/>
    <w:rsid w:val="005542D1"/>
    <w:rsid w:val="0055430C"/>
    <w:rsid w:val="00554960"/>
    <w:rsid w:val="005558B7"/>
    <w:rsid w:val="00555E31"/>
    <w:rsid w:val="00555F57"/>
    <w:rsid w:val="00555FC1"/>
    <w:rsid w:val="00556345"/>
    <w:rsid w:val="0055649E"/>
    <w:rsid w:val="00557311"/>
    <w:rsid w:val="005573EA"/>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6B9"/>
    <w:rsid w:val="00572CCA"/>
    <w:rsid w:val="00572E47"/>
    <w:rsid w:val="0057327C"/>
    <w:rsid w:val="00573807"/>
    <w:rsid w:val="005741E8"/>
    <w:rsid w:val="005765E4"/>
    <w:rsid w:val="0057671C"/>
    <w:rsid w:val="005768EE"/>
    <w:rsid w:val="00576B0A"/>
    <w:rsid w:val="00576DAF"/>
    <w:rsid w:val="00576E29"/>
    <w:rsid w:val="0057704E"/>
    <w:rsid w:val="0057761A"/>
    <w:rsid w:val="0057767F"/>
    <w:rsid w:val="00580202"/>
    <w:rsid w:val="005812F9"/>
    <w:rsid w:val="0058240B"/>
    <w:rsid w:val="0058256A"/>
    <w:rsid w:val="00582CFC"/>
    <w:rsid w:val="005831DA"/>
    <w:rsid w:val="005852D5"/>
    <w:rsid w:val="0058595C"/>
    <w:rsid w:val="00585B06"/>
    <w:rsid w:val="005869CE"/>
    <w:rsid w:val="0058738D"/>
    <w:rsid w:val="00587FBF"/>
    <w:rsid w:val="00590662"/>
    <w:rsid w:val="00591B19"/>
    <w:rsid w:val="00592679"/>
    <w:rsid w:val="0059333E"/>
    <w:rsid w:val="00593CA6"/>
    <w:rsid w:val="00594334"/>
    <w:rsid w:val="00594A40"/>
    <w:rsid w:val="005958F2"/>
    <w:rsid w:val="00595B1F"/>
    <w:rsid w:val="005960DD"/>
    <w:rsid w:val="00596C04"/>
    <w:rsid w:val="00596D63"/>
    <w:rsid w:val="0059778C"/>
    <w:rsid w:val="005A0072"/>
    <w:rsid w:val="005A0829"/>
    <w:rsid w:val="005A09BB"/>
    <w:rsid w:val="005A0FC8"/>
    <w:rsid w:val="005A305A"/>
    <w:rsid w:val="005A37E0"/>
    <w:rsid w:val="005A3C14"/>
    <w:rsid w:val="005A4C64"/>
    <w:rsid w:val="005A5021"/>
    <w:rsid w:val="005A5497"/>
    <w:rsid w:val="005A62D3"/>
    <w:rsid w:val="005A6423"/>
    <w:rsid w:val="005A710E"/>
    <w:rsid w:val="005B003D"/>
    <w:rsid w:val="005B03A6"/>
    <w:rsid w:val="005B0A12"/>
    <w:rsid w:val="005B104C"/>
    <w:rsid w:val="005B2827"/>
    <w:rsid w:val="005B2B38"/>
    <w:rsid w:val="005B2E10"/>
    <w:rsid w:val="005B35C1"/>
    <w:rsid w:val="005B3617"/>
    <w:rsid w:val="005B3A8A"/>
    <w:rsid w:val="005B3B07"/>
    <w:rsid w:val="005B52E3"/>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2608"/>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448"/>
    <w:rsid w:val="005F4921"/>
    <w:rsid w:val="005F5A23"/>
    <w:rsid w:val="005F5C2B"/>
    <w:rsid w:val="005F5D45"/>
    <w:rsid w:val="005F5D9C"/>
    <w:rsid w:val="005F6E12"/>
    <w:rsid w:val="005F745C"/>
    <w:rsid w:val="0060223F"/>
    <w:rsid w:val="0060271E"/>
    <w:rsid w:val="00602E10"/>
    <w:rsid w:val="00603400"/>
    <w:rsid w:val="00603D5C"/>
    <w:rsid w:val="006048B5"/>
    <w:rsid w:val="00605113"/>
    <w:rsid w:val="0060577B"/>
    <w:rsid w:val="0060588A"/>
    <w:rsid w:val="00605AEB"/>
    <w:rsid w:val="006072D4"/>
    <w:rsid w:val="00607373"/>
    <w:rsid w:val="0060779C"/>
    <w:rsid w:val="006103BE"/>
    <w:rsid w:val="00610D0C"/>
    <w:rsid w:val="006119F3"/>
    <w:rsid w:val="006127D1"/>
    <w:rsid w:val="0061363E"/>
    <w:rsid w:val="006141A3"/>
    <w:rsid w:val="0061542D"/>
    <w:rsid w:val="00617820"/>
    <w:rsid w:val="00620144"/>
    <w:rsid w:val="006210B8"/>
    <w:rsid w:val="006214CB"/>
    <w:rsid w:val="00621557"/>
    <w:rsid w:val="00621A78"/>
    <w:rsid w:val="00621A7E"/>
    <w:rsid w:val="00621ACD"/>
    <w:rsid w:val="00622AEF"/>
    <w:rsid w:val="0062352A"/>
    <w:rsid w:val="0062358C"/>
    <w:rsid w:val="006243FA"/>
    <w:rsid w:val="006247D4"/>
    <w:rsid w:val="00624824"/>
    <w:rsid w:val="00624B3C"/>
    <w:rsid w:val="00625966"/>
    <w:rsid w:val="00626227"/>
    <w:rsid w:val="006265F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378CE"/>
    <w:rsid w:val="00640F7A"/>
    <w:rsid w:val="00641192"/>
    <w:rsid w:val="006416E3"/>
    <w:rsid w:val="00642F61"/>
    <w:rsid w:val="00644B6C"/>
    <w:rsid w:val="00644DE7"/>
    <w:rsid w:val="006450AD"/>
    <w:rsid w:val="00646234"/>
    <w:rsid w:val="00646FF6"/>
    <w:rsid w:val="00647DDA"/>
    <w:rsid w:val="0065049F"/>
    <w:rsid w:val="00650D95"/>
    <w:rsid w:val="00651D2B"/>
    <w:rsid w:val="00651D36"/>
    <w:rsid w:val="00651E20"/>
    <w:rsid w:val="00652156"/>
    <w:rsid w:val="006553AB"/>
    <w:rsid w:val="00655E8A"/>
    <w:rsid w:val="0065672D"/>
    <w:rsid w:val="00656EF1"/>
    <w:rsid w:val="0065745F"/>
    <w:rsid w:val="00660817"/>
    <w:rsid w:val="00660C1F"/>
    <w:rsid w:val="00662603"/>
    <w:rsid w:val="006630C0"/>
    <w:rsid w:val="00663EF8"/>
    <w:rsid w:val="006641E4"/>
    <w:rsid w:val="00664DDB"/>
    <w:rsid w:val="00665321"/>
    <w:rsid w:val="00665336"/>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0CA8"/>
    <w:rsid w:val="00691204"/>
    <w:rsid w:val="006916F1"/>
    <w:rsid w:val="00692C9B"/>
    <w:rsid w:val="00693568"/>
    <w:rsid w:val="00693F24"/>
    <w:rsid w:val="00694406"/>
    <w:rsid w:val="00694FF9"/>
    <w:rsid w:val="0069563C"/>
    <w:rsid w:val="0069687F"/>
    <w:rsid w:val="00696C70"/>
    <w:rsid w:val="006976AE"/>
    <w:rsid w:val="006A0197"/>
    <w:rsid w:val="006A1CE8"/>
    <w:rsid w:val="006A2166"/>
    <w:rsid w:val="006A2679"/>
    <w:rsid w:val="006A27B0"/>
    <w:rsid w:val="006A29A1"/>
    <w:rsid w:val="006A3CD8"/>
    <w:rsid w:val="006A3F0E"/>
    <w:rsid w:val="006A436F"/>
    <w:rsid w:val="006A4B31"/>
    <w:rsid w:val="006A4EE4"/>
    <w:rsid w:val="006A7338"/>
    <w:rsid w:val="006A740A"/>
    <w:rsid w:val="006A7A2B"/>
    <w:rsid w:val="006A7BB6"/>
    <w:rsid w:val="006A7CE4"/>
    <w:rsid w:val="006B04CB"/>
    <w:rsid w:val="006B0D48"/>
    <w:rsid w:val="006B0F34"/>
    <w:rsid w:val="006B1292"/>
    <w:rsid w:val="006B176D"/>
    <w:rsid w:val="006B1B63"/>
    <w:rsid w:val="006B1E9D"/>
    <w:rsid w:val="006B234D"/>
    <w:rsid w:val="006B39E9"/>
    <w:rsid w:val="006B46F2"/>
    <w:rsid w:val="006B5152"/>
    <w:rsid w:val="006B5BC7"/>
    <w:rsid w:val="006B5F7E"/>
    <w:rsid w:val="006B6604"/>
    <w:rsid w:val="006B71E3"/>
    <w:rsid w:val="006B73BD"/>
    <w:rsid w:val="006B7CD4"/>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08CF"/>
    <w:rsid w:val="006D120C"/>
    <w:rsid w:val="006D1784"/>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2C4"/>
    <w:rsid w:val="006F09A8"/>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851"/>
    <w:rsid w:val="00706508"/>
    <w:rsid w:val="0070731E"/>
    <w:rsid w:val="00710571"/>
    <w:rsid w:val="007106CF"/>
    <w:rsid w:val="00710C82"/>
    <w:rsid w:val="007111CB"/>
    <w:rsid w:val="007111DF"/>
    <w:rsid w:val="00711D5E"/>
    <w:rsid w:val="007126D7"/>
    <w:rsid w:val="00712706"/>
    <w:rsid w:val="00712B8C"/>
    <w:rsid w:val="00714EF6"/>
    <w:rsid w:val="007152DF"/>
    <w:rsid w:val="0071667A"/>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27F7E"/>
    <w:rsid w:val="007316A3"/>
    <w:rsid w:val="007316EC"/>
    <w:rsid w:val="00732118"/>
    <w:rsid w:val="00732A63"/>
    <w:rsid w:val="007336EF"/>
    <w:rsid w:val="00733DF4"/>
    <w:rsid w:val="0073435D"/>
    <w:rsid w:val="0073483A"/>
    <w:rsid w:val="00734A48"/>
    <w:rsid w:val="00735FF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CB6"/>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314"/>
    <w:rsid w:val="00771465"/>
    <w:rsid w:val="00772AE8"/>
    <w:rsid w:val="00772B89"/>
    <w:rsid w:val="00772F61"/>
    <w:rsid w:val="0077325B"/>
    <w:rsid w:val="00773327"/>
    <w:rsid w:val="00773A05"/>
    <w:rsid w:val="00776BB1"/>
    <w:rsid w:val="007778F8"/>
    <w:rsid w:val="00777FC7"/>
    <w:rsid w:val="0078006B"/>
    <w:rsid w:val="0078050C"/>
    <w:rsid w:val="00780819"/>
    <w:rsid w:val="00780E3B"/>
    <w:rsid w:val="00781B81"/>
    <w:rsid w:val="00782046"/>
    <w:rsid w:val="00783902"/>
    <w:rsid w:val="00783925"/>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8B5"/>
    <w:rsid w:val="00797E5B"/>
    <w:rsid w:val="007A041D"/>
    <w:rsid w:val="007A07E9"/>
    <w:rsid w:val="007A106B"/>
    <w:rsid w:val="007A108C"/>
    <w:rsid w:val="007A20A5"/>
    <w:rsid w:val="007A261C"/>
    <w:rsid w:val="007A3974"/>
    <w:rsid w:val="007A3CFD"/>
    <w:rsid w:val="007A424A"/>
    <w:rsid w:val="007A431C"/>
    <w:rsid w:val="007A43FE"/>
    <w:rsid w:val="007A452D"/>
    <w:rsid w:val="007A4C7E"/>
    <w:rsid w:val="007A55F1"/>
    <w:rsid w:val="007A634D"/>
    <w:rsid w:val="007A63C6"/>
    <w:rsid w:val="007A6723"/>
    <w:rsid w:val="007A7B85"/>
    <w:rsid w:val="007B0AAA"/>
    <w:rsid w:val="007B0B6D"/>
    <w:rsid w:val="007B0C7D"/>
    <w:rsid w:val="007B160E"/>
    <w:rsid w:val="007B2AD2"/>
    <w:rsid w:val="007B3348"/>
    <w:rsid w:val="007B3CBA"/>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C7EFA"/>
    <w:rsid w:val="007D003B"/>
    <w:rsid w:val="007D18D9"/>
    <w:rsid w:val="007D1E45"/>
    <w:rsid w:val="007D334B"/>
    <w:rsid w:val="007D34B4"/>
    <w:rsid w:val="007D366D"/>
    <w:rsid w:val="007D3AEB"/>
    <w:rsid w:val="007D42C4"/>
    <w:rsid w:val="007D461F"/>
    <w:rsid w:val="007D547A"/>
    <w:rsid w:val="007D56E9"/>
    <w:rsid w:val="007D5C1A"/>
    <w:rsid w:val="007D5D0A"/>
    <w:rsid w:val="007D640A"/>
    <w:rsid w:val="007D6446"/>
    <w:rsid w:val="007D6474"/>
    <w:rsid w:val="007D6B17"/>
    <w:rsid w:val="007D6C23"/>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540"/>
    <w:rsid w:val="008047D6"/>
    <w:rsid w:val="008048DC"/>
    <w:rsid w:val="00804B66"/>
    <w:rsid w:val="0080537A"/>
    <w:rsid w:val="0080547F"/>
    <w:rsid w:val="0080560E"/>
    <w:rsid w:val="00805700"/>
    <w:rsid w:val="008057CF"/>
    <w:rsid w:val="0080639B"/>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A76"/>
    <w:rsid w:val="0083748F"/>
    <w:rsid w:val="008408F1"/>
    <w:rsid w:val="008419E1"/>
    <w:rsid w:val="00841B10"/>
    <w:rsid w:val="00841C87"/>
    <w:rsid w:val="008423F6"/>
    <w:rsid w:val="00842E9E"/>
    <w:rsid w:val="00843D66"/>
    <w:rsid w:val="00844186"/>
    <w:rsid w:val="008446B7"/>
    <w:rsid w:val="00844782"/>
    <w:rsid w:val="00844C17"/>
    <w:rsid w:val="008502AB"/>
    <w:rsid w:val="0085041D"/>
    <w:rsid w:val="008504C2"/>
    <w:rsid w:val="00850664"/>
    <w:rsid w:val="00851C46"/>
    <w:rsid w:val="00851FAC"/>
    <w:rsid w:val="00852C2B"/>
    <w:rsid w:val="00853466"/>
    <w:rsid w:val="00853A8C"/>
    <w:rsid w:val="008540DB"/>
    <w:rsid w:val="00856AF0"/>
    <w:rsid w:val="00856E28"/>
    <w:rsid w:val="008605EB"/>
    <w:rsid w:val="00860633"/>
    <w:rsid w:val="00860EB3"/>
    <w:rsid w:val="00861C93"/>
    <w:rsid w:val="00862912"/>
    <w:rsid w:val="00862A3F"/>
    <w:rsid w:val="008630B5"/>
    <w:rsid w:val="00863992"/>
    <w:rsid w:val="00867E9C"/>
    <w:rsid w:val="00870428"/>
    <w:rsid w:val="00870C2E"/>
    <w:rsid w:val="00870C9A"/>
    <w:rsid w:val="00870DAA"/>
    <w:rsid w:val="008718B4"/>
    <w:rsid w:val="0087271C"/>
    <w:rsid w:val="00872EBB"/>
    <w:rsid w:val="00873262"/>
    <w:rsid w:val="008738DA"/>
    <w:rsid w:val="00873E15"/>
    <w:rsid w:val="00875239"/>
    <w:rsid w:val="00875BB4"/>
    <w:rsid w:val="00875C03"/>
    <w:rsid w:val="00875C89"/>
    <w:rsid w:val="00875E24"/>
    <w:rsid w:val="008766F4"/>
    <w:rsid w:val="008806E7"/>
    <w:rsid w:val="00880C3B"/>
    <w:rsid w:val="00881B78"/>
    <w:rsid w:val="00881D43"/>
    <w:rsid w:val="008825A4"/>
    <w:rsid w:val="008845A2"/>
    <w:rsid w:val="008847BC"/>
    <w:rsid w:val="008850E2"/>
    <w:rsid w:val="0088566F"/>
    <w:rsid w:val="00890D46"/>
    <w:rsid w:val="00890D61"/>
    <w:rsid w:val="00892B45"/>
    <w:rsid w:val="008932A6"/>
    <w:rsid w:val="008934E9"/>
    <w:rsid w:val="008939C0"/>
    <w:rsid w:val="00896BB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5C4C"/>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177"/>
    <w:rsid w:val="008D185A"/>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1C7F"/>
    <w:rsid w:val="008F29B6"/>
    <w:rsid w:val="008F2AC0"/>
    <w:rsid w:val="008F2B7A"/>
    <w:rsid w:val="008F5F5D"/>
    <w:rsid w:val="008F6FA5"/>
    <w:rsid w:val="008F7097"/>
    <w:rsid w:val="00900381"/>
    <w:rsid w:val="009017BE"/>
    <w:rsid w:val="00901E57"/>
    <w:rsid w:val="0090391A"/>
    <w:rsid w:val="00903BA4"/>
    <w:rsid w:val="00905BF4"/>
    <w:rsid w:val="00905DFD"/>
    <w:rsid w:val="00906433"/>
    <w:rsid w:val="00906901"/>
    <w:rsid w:val="0090717C"/>
    <w:rsid w:val="00907C1C"/>
    <w:rsid w:val="00910371"/>
    <w:rsid w:val="00911280"/>
    <w:rsid w:val="009114A9"/>
    <w:rsid w:val="00912107"/>
    <w:rsid w:val="00912289"/>
    <w:rsid w:val="00912A7F"/>
    <w:rsid w:val="00912ACC"/>
    <w:rsid w:val="00913C94"/>
    <w:rsid w:val="00914674"/>
    <w:rsid w:val="009155C8"/>
    <w:rsid w:val="00915695"/>
    <w:rsid w:val="00915991"/>
    <w:rsid w:val="00915A00"/>
    <w:rsid w:val="00916187"/>
    <w:rsid w:val="00916659"/>
    <w:rsid w:val="00917D4E"/>
    <w:rsid w:val="00920507"/>
    <w:rsid w:val="00920C44"/>
    <w:rsid w:val="00920D0B"/>
    <w:rsid w:val="0092245A"/>
    <w:rsid w:val="00922863"/>
    <w:rsid w:val="00922E7F"/>
    <w:rsid w:val="009230C6"/>
    <w:rsid w:val="00923AD8"/>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2FD"/>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1D6"/>
    <w:rsid w:val="00967931"/>
    <w:rsid w:val="00967AD1"/>
    <w:rsid w:val="00967B6C"/>
    <w:rsid w:val="00967F34"/>
    <w:rsid w:val="0097094B"/>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C86"/>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460"/>
    <w:rsid w:val="00995DCD"/>
    <w:rsid w:val="0099607D"/>
    <w:rsid w:val="009963D1"/>
    <w:rsid w:val="00997D35"/>
    <w:rsid w:val="009A12AF"/>
    <w:rsid w:val="009A1550"/>
    <w:rsid w:val="009A1DB5"/>
    <w:rsid w:val="009A2B28"/>
    <w:rsid w:val="009A2EFA"/>
    <w:rsid w:val="009A5522"/>
    <w:rsid w:val="009A57DC"/>
    <w:rsid w:val="009A62D5"/>
    <w:rsid w:val="009A6602"/>
    <w:rsid w:val="009A6A9F"/>
    <w:rsid w:val="009A7686"/>
    <w:rsid w:val="009A7D0B"/>
    <w:rsid w:val="009B0DCC"/>
    <w:rsid w:val="009B1ADD"/>
    <w:rsid w:val="009B20EB"/>
    <w:rsid w:val="009B2408"/>
    <w:rsid w:val="009B2FD9"/>
    <w:rsid w:val="009B3254"/>
    <w:rsid w:val="009B36A7"/>
    <w:rsid w:val="009B5205"/>
    <w:rsid w:val="009B56E7"/>
    <w:rsid w:val="009B6C7A"/>
    <w:rsid w:val="009B78FA"/>
    <w:rsid w:val="009B79B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B19"/>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3A16"/>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16A"/>
    <w:rsid w:val="00A057C3"/>
    <w:rsid w:val="00A05A79"/>
    <w:rsid w:val="00A06906"/>
    <w:rsid w:val="00A078ED"/>
    <w:rsid w:val="00A079F5"/>
    <w:rsid w:val="00A12105"/>
    <w:rsid w:val="00A12797"/>
    <w:rsid w:val="00A13BBD"/>
    <w:rsid w:val="00A14455"/>
    <w:rsid w:val="00A14F1A"/>
    <w:rsid w:val="00A150E6"/>
    <w:rsid w:val="00A16285"/>
    <w:rsid w:val="00A165C4"/>
    <w:rsid w:val="00A16766"/>
    <w:rsid w:val="00A1773E"/>
    <w:rsid w:val="00A177EC"/>
    <w:rsid w:val="00A179B2"/>
    <w:rsid w:val="00A20953"/>
    <w:rsid w:val="00A212A9"/>
    <w:rsid w:val="00A213DA"/>
    <w:rsid w:val="00A21F35"/>
    <w:rsid w:val="00A21F8D"/>
    <w:rsid w:val="00A2231B"/>
    <w:rsid w:val="00A2255B"/>
    <w:rsid w:val="00A22CF8"/>
    <w:rsid w:val="00A22EAE"/>
    <w:rsid w:val="00A23990"/>
    <w:rsid w:val="00A24D9C"/>
    <w:rsid w:val="00A25102"/>
    <w:rsid w:val="00A25868"/>
    <w:rsid w:val="00A25E45"/>
    <w:rsid w:val="00A25E60"/>
    <w:rsid w:val="00A25FDA"/>
    <w:rsid w:val="00A26254"/>
    <w:rsid w:val="00A262F3"/>
    <w:rsid w:val="00A26A9F"/>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49C"/>
    <w:rsid w:val="00A405EE"/>
    <w:rsid w:val="00A40B9B"/>
    <w:rsid w:val="00A40C43"/>
    <w:rsid w:val="00A42232"/>
    <w:rsid w:val="00A42B10"/>
    <w:rsid w:val="00A43CFC"/>
    <w:rsid w:val="00A43F64"/>
    <w:rsid w:val="00A444EA"/>
    <w:rsid w:val="00A44EF0"/>
    <w:rsid w:val="00A45B03"/>
    <w:rsid w:val="00A47547"/>
    <w:rsid w:val="00A4754D"/>
    <w:rsid w:val="00A50834"/>
    <w:rsid w:val="00A51010"/>
    <w:rsid w:val="00A5282D"/>
    <w:rsid w:val="00A52B8F"/>
    <w:rsid w:val="00A52FCA"/>
    <w:rsid w:val="00A533C0"/>
    <w:rsid w:val="00A556EF"/>
    <w:rsid w:val="00A56857"/>
    <w:rsid w:val="00A574A6"/>
    <w:rsid w:val="00A57F0B"/>
    <w:rsid w:val="00A6086C"/>
    <w:rsid w:val="00A608AB"/>
    <w:rsid w:val="00A63978"/>
    <w:rsid w:val="00A63A45"/>
    <w:rsid w:val="00A64917"/>
    <w:rsid w:val="00A65731"/>
    <w:rsid w:val="00A66506"/>
    <w:rsid w:val="00A668E7"/>
    <w:rsid w:val="00A67961"/>
    <w:rsid w:val="00A7294F"/>
    <w:rsid w:val="00A73187"/>
    <w:rsid w:val="00A73F66"/>
    <w:rsid w:val="00A74946"/>
    <w:rsid w:val="00A74D8B"/>
    <w:rsid w:val="00A75071"/>
    <w:rsid w:val="00A756D1"/>
    <w:rsid w:val="00A75A8D"/>
    <w:rsid w:val="00A775E2"/>
    <w:rsid w:val="00A8086B"/>
    <w:rsid w:val="00A81C7F"/>
    <w:rsid w:val="00A821C0"/>
    <w:rsid w:val="00A8233F"/>
    <w:rsid w:val="00A82B7C"/>
    <w:rsid w:val="00A82B89"/>
    <w:rsid w:val="00A82CBA"/>
    <w:rsid w:val="00A82E80"/>
    <w:rsid w:val="00A8313D"/>
    <w:rsid w:val="00A83D64"/>
    <w:rsid w:val="00A83FCC"/>
    <w:rsid w:val="00A87167"/>
    <w:rsid w:val="00A903F7"/>
    <w:rsid w:val="00A9070F"/>
    <w:rsid w:val="00A91590"/>
    <w:rsid w:val="00A92059"/>
    <w:rsid w:val="00A920FD"/>
    <w:rsid w:val="00A922B5"/>
    <w:rsid w:val="00A923B5"/>
    <w:rsid w:val="00A92DA8"/>
    <w:rsid w:val="00A93D60"/>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0129"/>
    <w:rsid w:val="00AB1066"/>
    <w:rsid w:val="00AB14CA"/>
    <w:rsid w:val="00AB16FC"/>
    <w:rsid w:val="00AB5173"/>
    <w:rsid w:val="00AB523E"/>
    <w:rsid w:val="00AB54D3"/>
    <w:rsid w:val="00AB7103"/>
    <w:rsid w:val="00AB7C9C"/>
    <w:rsid w:val="00AC195F"/>
    <w:rsid w:val="00AC1F2C"/>
    <w:rsid w:val="00AC2267"/>
    <w:rsid w:val="00AC3AC6"/>
    <w:rsid w:val="00AC4695"/>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D17"/>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BFD"/>
    <w:rsid w:val="00AF2D57"/>
    <w:rsid w:val="00AF47FE"/>
    <w:rsid w:val="00AF4814"/>
    <w:rsid w:val="00AF54DD"/>
    <w:rsid w:val="00AF5DA3"/>
    <w:rsid w:val="00AF6BCB"/>
    <w:rsid w:val="00AF79B8"/>
    <w:rsid w:val="00AF7C6D"/>
    <w:rsid w:val="00B007DA"/>
    <w:rsid w:val="00B00CF6"/>
    <w:rsid w:val="00B01303"/>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850"/>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112C"/>
    <w:rsid w:val="00B4299C"/>
    <w:rsid w:val="00B4499D"/>
    <w:rsid w:val="00B4536A"/>
    <w:rsid w:val="00B455D6"/>
    <w:rsid w:val="00B467DB"/>
    <w:rsid w:val="00B4737C"/>
    <w:rsid w:val="00B477D1"/>
    <w:rsid w:val="00B47865"/>
    <w:rsid w:val="00B47918"/>
    <w:rsid w:val="00B47ABE"/>
    <w:rsid w:val="00B512F7"/>
    <w:rsid w:val="00B51F46"/>
    <w:rsid w:val="00B52ECF"/>
    <w:rsid w:val="00B53426"/>
    <w:rsid w:val="00B5550C"/>
    <w:rsid w:val="00B55B45"/>
    <w:rsid w:val="00B56816"/>
    <w:rsid w:val="00B578E6"/>
    <w:rsid w:val="00B60AAB"/>
    <w:rsid w:val="00B60C11"/>
    <w:rsid w:val="00B62A59"/>
    <w:rsid w:val="00B631B2"/>
    <w:rsid w:val="00B654C1"/>
    <w:rsid w:val="00B65D9A"/>
    <w:rsid w:val="00B66249"/>
    <w:rsid w:val="00B6730F"/>
    <w:rsid w:val="00B67BB8"/>
    <w:rsid w:val="00B67CE7"/>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49F2"/>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7D27"/>
    <w:rsid w:val="00BB039E"/>
    <w:rsid w:val="00BB178D"/>
    <w:rsid w:val="00BB17E3"/>
    <w:rsid w:val="00BB1D57"/>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0AA"/>
    <w:rsid w:val="00C06268"/>
    <w:rsid w:val="00C0658B"/>
    <w:rsid w:val="00C06993"/>
    <w:rsid w:val="00C071F0"/>
    <w:rsid w:val="00C10124"/>
    <w:rsid w:val="00C11554"/>
    <w:rsid w:val="00C117A5"/>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ABA"/>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5C4C"/>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70A"/>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6762"/>
    <w:rsid w:val="00CB7147"/>
    <w:rsid w:val="00CB7650"/>
    <w:rsid w:val="00CC0184"/>
    <w:rsid w:val="00CC058A"/>
    <w:rsid w:val="00CC2713"/>
    <w:rsid w:val="00CC29D0"/>
    <w:rsid w:val="00CC3601"/>
    <w:rsid w:val="00CC4D16"/>
    <w:rsid w:val="00CC4F16"/>
    <w:rsid w:val="00CC4F4B"/>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29E"/>
    <w:rsid w:val="00CE7DB3"/>
    <w:rsid w:val="00CF03F1"/>
    <w:rsid w:val="00CF0980"/>
    <w:rsid w:val="00CF2E58"/>
    <w:rsid w:val="00CF3195"/>
    <w:rsid w:val="00CF36A9"/>
    <w:rsid w:val="00CF3C71"/>
    <w:rsid w:val="00CF3EF6"/>
    <w:rsid w:val="00CF3FB0"/>
    <w:rsid w:val="00CF43C2"/>
    <w:rsid w:val="00CF48E4"/>
    <w:rsid w:val="00CF4973"/>
    <w:rsid w:val="00CF4B0F"/>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2AD6"/>
    <w:rsid w:val="00D133A3"/>
    <w:rsid w:val="00D135F5"/>
    <w:rsid w:val="00D137AC"/>
    <w:rsid w:val="00D1452E"/>
    <w:rsid w:val="00D14CB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57B94"/>
    <w:rsid w:val="00D650D6"/>
    <w:rsid w:val="00D66249"/>
    <w:rsid w:val="00D6699E"/>
    <w:rsid w:val="00D70631"/>
    <w:rsid w:val="00D70C93"/>
    <w:rsid w:val="00D71810"/>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259A"/>
    <w:rsid w:val="00D835B5"/>
    <w:rsid w:val="00D83938"/>
    <w:rsid w:val="00D8399A"/>
    <w:rsid w:val="00D8413C"/>
    <w:rsid w:val="00D8618C"/>
    <w:rsid w:val="00D87422"/>
    <w:rsid w:val="00D87DD9"/>
    <w:rsid w:val="00D90149"/>
    <w:rsid w:val="00D908DE"/>
    <w:rsid w:val="00D90B9E"/>
    <w:rsid w:val="00D91015"/>
    <w:rsid w:val="00D91898"/>
    <w:rsid w:val="00D9565D"/>
    <w:rsid w:val="00D96E10"/>
    <w:rsid w:val="00D978A9"/>
    <w:rsid w:val="00D97EA3"/>
    <w:rsid w:val="00DA0174"/>
    <w:rsid w:val="00DA01C2"/>
    <w:rsid w:val="00DA054A"/>
    <w:rsid w:val="00DA09E7"/>
    <w:rsid w:val="00DA114C"/>
    <w:rsid w:val="00DA18E4"/>
    <w:rsid w:val="00DA2009"/>
    <w:rsid w:val="00DA3315"/>
    <w:rsid w:val="00DA62AA"/>
    <w:rsid w:val="00DA74BE"/>
    <w:rsid w:val="00DA7B1A"/>
    <w:rsid w:val="00DA7C4F"/>
    <w:rsid w:val="00DB0244"/>
    <w:rsid w:val="00DB158F"/>
    <w:rsid w:val="00DB16B2"/>
    <w:rsid w:val="00DB4535"/>
    <w:rsid w:val="00DB4FA4"/>
    <w:rsid w:val="00DB525A"/>
    <w:rsid w:val="00DB698F"/>
    <w:rsid w:val="00DC0034"/>
    <w:rsid w:val="00DC0487"/>
    <w:rsid w:val="00DC0621"/>
    <w:rsid w:val="00DC0DD2"/>
    <w:rsid w:val="00DC3C0F"/>
    <w:rsid w:val="00DC462A"/>
    <w:rsid w:val="00DC5C81"/>
    <w:rsid w:val="00DC5F59"/>
    <w:rsid w:val="00DC66C0"/>
    <w:rsid w:val="00DC7C33"/>
    <w:rsid w:val="00DD077B"/>
    <w:rsid w:val="00DD1185"/>
    <w:rsid w:val="00DD11AD"/>
    <w:rsid w:val="00DD11CB"/>
    <w:rsid w:val="00DD1A68"/>
    <w:rsid w:val="00DD312C"/>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6A4A"/>
    <w:rsid w:val="00DF76C2"/>
    <w:rsid w:val="00DF7831"/>
    <w:rsid w:val="00E012C3"/>
    <w:rsid w:val="00E01887"/>
    <w:rsid w:val="00E01A10"/>
    <w:rsid w:val="00E01A2D"/>
    <w:rsid w:val="00E01A2E"/>
    <w:rsid w:val="00E02545"/>
    <w:rsid w:val="00E041DB"/>
    <w:rsid w:val="00E0423D"/>
    <w:rsid w:val="00E043C9"/>
    <w:rsid w:val="00E0450A"/>
    <w:rsid w:val="00E06221"/>
    <w:rsid w:val="00E0681E"/>
    <w:rsid w:val="00E07721"/>
    <w:rsid w:val="00E07728"/>
    <w:rsid w:val="00E07F58"/>
    <w:rsid w:val="00E10E21"/>
    <w:rsid w:val="00E1112F"/>
    <w:rsid w:val="00E11F0A"/>
    <w:rsid w:val="00E12BE0"/>
    <w:rsid w:val="00E1388A"/>
    <w:rsid w:val="00E13F24"/>
    <w:rsid w:val="00E144D4"/>
    <w:rsid w:val="00E14AA6"/>
    <w:rsid w:val="00E14AC2"/>
    <w:rsid w:val="00E15480"/>
    <w:rsid w:val="00E156CC"/>
    <w:rsid w:val="00E15EB5"/>
    <w:rsid w:val="00E16294"/>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4C1C"/>
    <w:rsid w:val="00E3693C"/>
    <w:rsid w:val="00E37690"/>
    <w:rsid w:val="00E37F4E"/>
    <w:rsid w:val="00E400BD"/>
    <w:rsid w:val="00E404C8"/>
    <w:rsid w:val="00E4064A"/>
    <w:rsid w:val="00E41012"/>
    <w:rsid w:val="00E415B1"/>
    <w:rsid w:val="00E42101"/>
    <w:rsid w:val="00E42262"/>
    <w:rsid w:val="00E426C3"/>
    <w:rsid w:val="00E4549D"/>
    <w:rsid w:val="00E45A1D"/>
    <w:rsid w:val="00E46BD6"/>
    <w:rsid w:val="00E4702F"/>
    <w:rsid w:val="00E50159"/>
    <w:rsid w:val="00E501D6"/>
    <w:rsid w:val="00E503A8"/>
    <w:rsid w:val="00E504C8"/>
    <w:rsid w:val="00E505F7"/>
    <w:rsid w:val="00E506BD"/>
    <w:rsid w:val="00E50D5B"/>
    <w:rsid w:val="00E51601"/>
    <w:rsid w:val="00E52CCA"/>
    <w:rsid w:val="00E531DE"/>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1EE"/>
    <w:rsid w:val="00E7188D"/>
    <w:rsid w:val="00E71DFE"/>
    <w:rsid w:val="00E72547"/>
    <w:rsid w:val="00E725C3"/>
    <w:rsid w:val="00E72C46"/>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1617"/>
    <w:rsid w:val="00E921A5"/>
    <w:rsid w:val="00E92EE4"/>
    <w:rsid w:val="00E93351"/>
    <w:rsid w:val="00E93B3C"/>
    <w:rsid w:val="00E93F19"/>
    <w:rsid w:val="00E943FE"/>
    <w:rsid w:val="00E947F9"/>
    <w:rsid w:val="00E94868"/>
    <w:rsid w:val="00E969E5"/>
    <w:rsid w:val="00E96EE5"/>
    <w:rsid w:val="00EA04F3"/>
    <w:rsid w:val="00EA18C8"/>
    <w:rsid w:val="00EA2814"/>
    <w:rsid w:val="00EA2831"/>
    <w:rsid w:val="00EA2A79"/>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5C58"/>
    <w:rsid w:val="00EE65DD"/>
    <w:rsid w:val="00EE7C56"/>
    <w:rsid w:val="00EE7CF2"/>
    <w:rsid w:val="00EF03FE"/>
    <w:rsid w:val="00EF0B71"/>
    <w:rsid w:val="00EF196A"/>
    <w:rsid w:val="00EF1E68"/>
    <w:rsid w:val="00EF20D2"/>
    <w:rsid w:val="00EF35E0"/>
    <w:rsid w:val="00EF375D"/>
    <w:rsid w:val="00EF443C"/>
    <w:rsid w:val="00EF4CAE"/>
    <w:rsid w:val="00EF6C19"/>
    <w:rsid w:val="00EF70AD"/>
    <w:rsid w:val="00F00CF7"/>
    <w:rsid w:val="00F02109"/>
    <w:rsid w:val="00F022D0"/>
    <w:rsid w:val="00F026CC"/>
    <w:rsid w:val="00F02970"/>
    <w:rsid w:val="00F03B02"/>
    <w:rsid w:val="00F053C8"/>
    <w:rsid w:val="00F055BB"/>
    <w:rsid w:val="00F05EFB"/>
    <w:rsid w:val="00F1051A"/>
    <w:rsid w:val="00F10B6B"/>
    <w:rsid w:val="00F11CBC"/>
    <w:rsid w:val="00F126C4"/>
    <w:rsid w:val="00F12FAF"/>
    <w:rsid w:val="00F133D6"/>
    <w:rsid w:val="00F13EB3"/>
    <w:rsid w:val="00F141A8"/>
    <w:rsid w:val="00F14C57"/>
    <w:rsid w:val="00F17C7D"/>
    <w:rsid w:val="00F17E47"/>
    <w:rsid w:val="00F22EC4"/>
    <w:rsid w:val="00F23179"/>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884"/>
    <w:rsid w:val="00F40AE8"/>
    <w:rsid w:val="00F41BCA"/>
    <w:rsid w:val="00F420A6"/>
    <w:rsid w:val="00F42917"/>
    <w:rsid w:val="00F42F07"/>
    <w:rsid w:val="00F42F46"/>
    <w:rsid w:val="00F430E5"/>
    <w:rsid w:val="00F44642"/>
    <w:rsid w:val="00F46E09"/>
    <w:rsid w:val="00F5092F"/>
    <w:rsid w:val="00F510FA"/>
    <w:rsid w:val="00F51DBB"/>
    <w:rsid w:val="00F52AF4"/>
    <w:rsid w:val="00F53197"/>
    <w:rsid w:val="00F53406"/>
    <w:rsid w:val="00F543FA"/>
    <w:rsid w:val="00F548BA"/>
    <w:rsid w:val="00F55BDB"/>
    <w:rsid w:val="00F573B3"/>
    <w:rsid w:val="00F57F61"/>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26A3"/>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38E7"/>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376"/>
    <w:rsid w:val="00FD2DF3"/>
    <w:rsid w:val="00FD3200"/>
    <w:rsid w:val="00FD35D0"/>
    <w:rsid w:val="00FD4D99"/>
    <w:rsid w:val="00FD6E7C"/>
    <w:rsid w:val="00FD700F"/>
    <w:rsid w:val="00FD7837"/>
    <w:rsid w:val="00FE0575"/>
    <w:rsid w:val="00FE1564"/>
    <w:rsid w:val="00FE1E9E"/>
    <w:rsid w:val="00FE25BD"/>
    <w:rsid w:val="00FE4104"/>
    <w:rsid w:val="00FE45A3"/>
    <w:rsid w:val="00FE469F"/>
    <w:rsid w:val="00FE49B4"/>
    <w:rsid w:val="00FE5134"/>
    <w:rsid w:val="00FE5903"/>
    <w:rsid w:val="00FE60DA"/>
    <w:rsid w:val="00FE6DCF"/>
    <w:rsid w:val="00FE700C"/>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E68F8A3"/>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9F3A16"/>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B585C"/>
    <w:rPr>
      <w:sz w:val="20"/>
      <w:szCs w:val="20"/>
    </w:rPr>
  </w:style>
  <w:style w:type="character" w:customStyle="1" w:styleId="CommentTextChar">
    <w:name w:val="Comment Text Char"/>
    <w:basedOn w:val="DefaultParagraphFont"/>
    <w:link w:val="CommentText"/>
    <w:uiPriority w:val="99"/>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9"/>
    <w:rsid w:val="009F3A16"/>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34"/>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boldright">
    <w:name w:val="table bold right"/>
    <w:rsid w:val="007A108C"/>
    <w:pPr>
      <w:jc w:val="right"/>
    </w:pPr>
    <w:rPr>
      <w:rFonts w:eastAsia="Times New Roman"/>
      <w:b/>
      <w:bCs/>
      <w:color w:val="000000"/>
      <w:sz w:val="22"/>
      <w:lang w:eastAsia="en-US"/>
    </w:rPr>
  </w:style>
  <w:style w:type="paragraph" w:styleId="TOC7">
    <w:name w:val="toc 7"/>
    <w:basedOn w:val="Normal"/>
    <w:next w:val="Normal"/>
    <w:autoRedefine/>
    <w:uiPriority w:val="39"/>
    <w:semiHidden/>
    <w:rsid w:val="00B26850"/>
    <w:pPr>
      <w:spacing w:after="100"/>
      <w:ind w:left="1320"/>
    </w:pPr>
  </w:style>
  <w:style w:type="character" w:styleId="UnresolvedMention">
    <w:name w:val="Unresolved Mention"/>
    <w:basedOn w:val="DefaultParagraphFont"/>
    <w:uiPriority w:val="99"/>
    <w:semiHidden/>
    <w:unhideWhenUsed/>
    <w:rsid w:val="00E16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840478">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we.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we.gov.au/biosecurity-trade/import/arrival/pes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C:/Users/O'Leary%20Anna/AppData/Local/Microsoft/Windows/INetCache/Content.Outlook/TXB5EYX8/health.gov.au/quarantin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w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2A5B4AA-330D-4DC3-AC9A-C1F64B201E08}">
  <ds:schemaRefs>
    <ds:schemaRef ds:uri="http://schemas.openxmlformats.org/officeDocument/2006/bibliography"/>
  </ds:schemaRefs>
</ds:datastoreItem>
</file>

<file path=customXml/itemProps2.xml><?xml version="1.0" encoding="utf-8"?>
<ds:datastoreItem xmlns:ds="http://schemas.openxmlformats.org/officeDocument/2006/customXml" ds:itemID="{4D6AFEFB-8E97-4A13-BBB8-B6A55861E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3834</Words>
  <Characters>21854</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AA for second conveyances</vt:lpstr>
    </vt:vector>
  </TitlesOfParts>
  <LinksUpToDate>false</LinksUpToDate>
  <CharactersWithSpaces>25637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 for second conveyances</dc:title>
  <dc:creator>Department of Agriculture, Water and the Environment</dc:creator>
  <cp:lastPrinted>2021-12-15T00:39:00Z</cp:lastPrinted>
  <dcterms:created xsi:type="dcterms:W3CDTF">2021-12-15T05:21:00Z</dcterms:created>
  <dcterms:modified xsi:type="dcterms:W3CDTF">2021-12-15T05:21:00Z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