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C63" w:rsidR="00171C76" w:rsidP="6B16EE63" w:rsidRDefault="00171C76" w14:paraId="6720CA00" w14:textId="1959D922">
      <w:pPr>
        <w:pStyle w:val="Date"/>
        <w:suppressLineNumbers w:val="0"/>
        <w:bidi w:val="0"/>
        <w:spacing w:before="600" w:beforeAutospacing="off" w:after="160" w:afterAutospacing="off" w:line="360" w:lineRule="auto"/>
        <w:ind w:left="0" w:right="0"/>
        <w:jc w:val="left"/>
      </w:pPr>
      <w:r w:rsidR="3155E307">
        <w:rPr/>
        <w:t>2</w:t>
      </w:r>
      <w:r w:rsidR="5F814D5C">
        <w:rPr/>
        <w:t>4</w:t>
      </w:r>
      <w:r w:rsidR="3155E307">
        <w:rPr/>
        <w:t xml:space="preserve"> September</w:t>
      </w:r>
      <w:r w:rsidR="57A6C6BD">
        <w:rPr/>
        <w:t xml:space="preserve"> </w:t>
      </w:r>
      <w:r w:rsidR="57A6C6BD">
        <w:rPr/>
        <w:t>2026</w:t>
      </w:r>
    </w:p>
    <w:p w:rsidRPr="008920F6" w:rsidR="00171C76" w:rsidP="005D2BF6" w:rsidRDefault="00340CB0" w14:paraId="6FF24B59" w14:textId="268A5538">
      <w:pPr>
        <w:pStyle w:val="Heading1"/>
        <w:jc w:val="center"/>
        <w:rPr>
          <w:i/>
          <w:iCs/>
        </w:rPr>
      </w:pPr>
      <w:r w:rsidRPr="720DD84C">
        <w:rPr>
          <w:i/>
          <w:iCs/>
        </w:rPr>
        <w:t>Biosecurity (Exposed Conveyances Exempt from Biosecurity Control) Determination 2026</w:t>
      </w:r>
    </w:p>
    <w:p w:rsidRPr="00C120EA" w:rsidR="00430BE4" w:rsidP="00430BE4" w:rsidRDefault="00430BE4" w14:paraId="6F5933AB" w14:textId="77777777">
      <w:pPr>
        <w:pStyle w:val="Heading2"/>
      </w:pPr>
      <w:r w:rsidR="00430BE4">
        <w:rPr/>
        <w:t>Introduction</w:t>
      </w:r>
    </w:p>
    <w:p w:rsidR="00DC5006" w:rsidP="00DC5006" w:rsidRDefault="00DC5006" w14:paraId="61B56E79" w14:textId="6373EAA3">
      <w:bookmarkStart w:name="_Hlk206398240" w:id="0"/>
      <w:r w:rsidRPr="69262C08" w:rsidR="00DC5006">
        <w:rPr>
          <w:lang w:val="en-GB"/>
        </w:rPr>
        <w:t xml:space="preserve">The </w:t>
      </w:r>
      <w:r w:rsidRPr="69262C08" w:rsidR="00DC5006">
        <w:rPr>
          <w:i w:val="1"/>
          <w:iCs w:val="1"/>
          <w:lang w:val="en-GB"/>
        </w:rPr>
        <w:t xml:space="preserve">Biosecurity (Exposed Conveyances Exempt from Biosecurity Control) Determination 2026 </w:t>
      </w:r>
      <w:r w:rsidRPr="69262C08" w:rsidR="00DC5006">
        <w:rPr>
          <w:lang w:val="en-GB"/>
        </w:rPr>
        <w:t xml:space="preserve">(the Determination) </w:t>
      </w:r>
      <w:r w:rsidRPr="69262C08" w:rsidR="008A4FA1">
        <w:rPr>
          <w:lang w:val="en-GB"/>
        </w:rPr>
        <w:t xml:space="preserve">provides </w:t>
      </w:r>
      <w:r w:rsidR="00DC5006">
        <w:rPr/>
        <w:t>ex</w:t>
      </w:r>
      <w:r w:rsidR="00512AF6">
        <w:rPr/>
        <w:t>emptions</w:t>
      </w:r>
      <w:r w:rsidR="00DC5006">
        <w:rPr/>
        <w:t xml:space="preserve"> from biosecurity control for conveyances that are exposed to acceptable levels of biosecurity risk</w:t>
      </w:r>
      <w:r w:rsidR="005B00A0">
        <w:rPr/>
        <w:t xml:space="preserve">. It </w:t>
      </w:r>
      <w:r w:rsidR="008A4FA1">
        <w:rPr/>
        <w:t xml:space="preserve">reduces unnecessary regulatory </w:t>
      </w:r>
      <w:r w:rsidR="0014246C">
        <w:rPr/>
        <w:t>burden on an operat</w:t>
      </w:r>
      <w:r w:rsidR="7D96EC80">
        <w:rPr/>
        <w:t>or</w:t>
      </w:r>
      <w:r w:rsidR="0014246C">
        <w:rPr/>
        <w:t xml:space="preserve"> or person in charge</w:t>
      </w:r>
      <w:r w:rsidR="0014246C">
        <w:rPr/>
        <w:t xml:space="preserve"> of a</w:t>
      </w:r>
      <w:r w:rsidR="0014246C">
        <w:rPr/>
        <w:t xml:space="preserve"> conveyance</w:t>
      </w:r>
      <w:r w:rsidR="009B09A8">
        <w:rPr/>
        <w:t>,</w:t>
      </w:r>
      <w:r w:rsidR="3EF4A519">
        <w:rPr/>
        <w:t xml:space="preserve"> that</w:t>
      </w:r>
      <w:r w:rsidR="0014246C">
        <w:rPr/>
        <w:t xml:space="preserve"> has not been exposed to unacceptable levels of biosecurity risk.</w:t>
      </w:r>
    </w:p>
    <w:p w:rsidR="00E41084" w:rsidP="368FECBC" w:rsidRDefault="009863AE" w14:paraId="60D690A4" w14:textId="15EF6FC7">
      <w:r>
        <w:t xml:space="preserve">The Determination </w:t>
      </w:r>
      <w:r w:rsidR="4F07C456">
        <w:t>replaces</w:t>
      </w:r>
      <w:r>
        <w:t xml:space="preserve"> the </w:t>
      </w:r>
      <w:r w:rsidRPr="368FECBC">
        <w:rPr>
          <w:i/>
          <w:iCs/>
        </w:rPr>
        <w:t xml:space="preserve">Biosecurity (Exposed Conveyances—Exceptions from Biosecurity Control) Determination 2016 </w:t>
      </w:r>
      <w:r>
        <w:t xml:space="preserve">(the 2016 Determination) </w:t>
      </w:r>
      <w:r w:rsidR="0033528A">
        <w:t xml:space="preserve">and </w:t>
      </w:r>
      <w:r w:rsidR="00DD2284">
        <w:t xml:space="preserve">largely replicates </w:t>
      </w:r>
      <w:r w:rsidR="19D263BD">
        <w:t>existing settings</w:t>
      </w:r>
      <w:r w:rsidR="00A6059B">
        <w:t>, with some</w:t>
      </w:r>
      <w:r w:rsidR="0008362E">
        <w:t xml:space="preserve"> </w:t>
      </w:r>
      <w:r w:rsidR="00D369EF">
        <w:t xml:space="preserve">technical and transitional changes </w:t>
      </w:r>
      <w:r w:rsidR="001E3EB2">
        <w:t xml:space="preserve">to update terminology and improve clarity, consistency and </w:t>
      </w:r>
      <w:r w:rsidR="009C0D73">
        <w:t>interpretation</w:t>
      </w:r>
      <w:r w:rsidR="5502F057">
        <w:t>, and align</w:t>
      </w:r>
      <w:r w:rsidR="3777115D">
        <w:t xml:space="preserve"> the Determination</w:t>
      </w:r>
      <w:r w:rsidR="5502F057">
        <w:t xml:space="preserve"> with current legislative drafting processes</w:t>
      </w:r>
      <w:r w:rsidR="001E3EB2">
        <w:t xml:space="preserve">. </w:t>
      </w:r>
    </w:p>
    <w:p w:rsidR="00DC5006" w:rsidP="5394B0DC" w:rsidRDefault="00692BD6" w14:paraId="085C019C" w14:textId="31AAC349">
      <w:r>
        <w:t xml:space="preserve">The Determination </w:t>
      </w:r>
      <w:r w:rsidRPr="5394B0DC" w:rsidR="0572D50F">
        <w:rPr>
          <w:rFonts w:ascii="Aptos" w:hAnsi="Aptos" w:eastAsia="Aptos" w:cs="Aptos"/>
          <w:color w:val="000000" w:themeColor="text1"/>
        </w:rPr>
        <w:t>will commence on 1 October 2026</w:t>
      </w:r>
      <w:r w:rsidR="009C0D73">
        <w:t>.</w:t>
      </w:r>
      <w:r w:rsidR="00C877D8">
        <w:t xml:space="preserve"> </w:t>
      </w:r>
      <w:r w:rsidR="009C0D73">
        <w:t>E</w:t>
      </w:r>
      <w:r w:rsidR="00E820C4">
        <w:t xml:space="preserve">xposures occurring before commencement </w:t>
      </w:r>
      <w:r w:rsidR="00B42E2E">
        <w:t xml:space="preserve">on 1 October 2026 </w:t>
      </w:r>
      <w:r w:rsidR="00E57992">
        <w:t xml:space="preserve">will </w:t>
      </w:r>
      <w:r w:rsidR="00E820C4">
        <w:t>continue to be assessed under the 2016 Determination, while exposures occurring after commencement</w:t>
      </w:r>
      <w:r w:rsidR="00433B61">
        <w:t xml:space="preserve"> </w:t>
      </w:r>
      <w:r w:rsidR="009C0D73">
        <w:t>will be</w:t>
      </w:r>
      <w:r w:rsidR="00E820C4">
        <w:t xml:space="preserve"> assessed under the</w:t>
      </w:r>
      <w:r w:rsidR="0A9E7AB4">
        <w:t xml:space="preserve"> 2026</w:t>
      </w:r>
      <w:r w:rsidR="00E820C4">
        <w:t xml:space="preserve"> Determination.</w:t>
      </w:r>
    </w:p>
    <w:p w:rsidR="004B5183" w:rsidRDefault="00E1015E" w14:paraId="5999A848" w14:textId="36BAFDF2">
      <w:pPr>
        <w:pStyle w:val="Heading2"/>
      </w:pPr>
      <w:r>
        <w:t xml:space="preserve">Key details of the </w:t>
      </w:r>
      <w:r w:rsidRPr="368FECBC" w:rsidR="00DC035F">
        <w:rPr>
          <w:i/>
          <w:iCs/>
        </w:rPr>
        <w:t xml:space="preserve">Biosecurity (Exposed </w:t>
      </w:r>
      <w:r w:rsidRPr="368FECBC" w:rsidR="00B17ADE">
        <w:rPr>
          <w:i/>
          <w:iCs/>
        </w:rPr>
        <w:t>Conveyances Exempt from Biosecurity Control) Determination 2026</w:t>
      </w:r>
      <w:r w:rsidR="004B5183">
        <w:t xml:space="preserve"> </w:t>
      </w:r>
    </w:p>
    <w:p w:rsidR="03FBA00E" w:rsidP="368FECBC" w:rsidRDefault="03FBA00E" w14:paraId="76AFC9DF" w14:textId="6554D4B2">
      <w:pPr>
        <w:rPr>
          <w:rFonts w:ascii="Aptos" w:hAnsi="Aptos" w:eastAsia="Aptos" w:cs="Aptos"/>
          <w:b/>
          <w:bCs/>
          <w:color w:val="000000" w:themeColor="text1"/>
        </w:rPr>
      </w:pPr>
      <w:r w:rsidRPr="368FECBC">
        <w:rPr>
          <w:rFonts w:ascii="Aptos" w:hAnsi="Aptos" w:eastAsia="Aptos" w:cs="Aptos"/>
          <w:b/>
          <w:bCs/>
          <w:color w:val="000000" w:themeColor="text1"/>
        </w:rPr>
        <w:t>Definitions</w:t>
      </w:r>
      <w:r w:rsidRPr="368FECBC" w:rsidR="4891597E">
        <w:rPr>
          <w:rFonts w:ascii="Aptos" w:hAnsi="Aptos" w:eastAsia="Aptos" w:cs="Aptos"/>
          <w:b/>
          <w:bCs/>
          <w:color w:val="000000" w:themeColor="text1"/>
        </w:rPr>
        <w:t xml:space="preserve"> and purpose</w:t>
      </w:r>
    </w:p>
    <w:p w:rsidRPr="00FC03C5" w:rsidR="00A110D1" w:rsidP="5CF57BED" w:rsidRDefault="4B6E6E2D" w14:paraId="22BAFE36" w14:textId="5DF96CC0">
      <w:pPr>
        <w:pStyle w:val="ListParagraph"/>
        <w:numPr>
          <w:ilvl w:val="0"/>
          <w:numId w:val="2"/>
        </w:numPr>
        <w:rPr>
          <w:rFonts w:ascii="Aptos" w:hAnsi="Aptos" w:eastAsia="Aptos" w:cs="Aptos"/>
          <w:color w:val="000000" w:themeColor="text1"/>
        </w:rPr>
      </w:pPr>
      <w:r w:rsidRPr="5CF57BED">
        <w:t xml:space="preserve">The following items have been broadened: </w:t>
      </w:r>
    </w:p>
    <w:p w:rsidRPr="00FC03C5" w:rsidR="00A110D1" w:rsidP="5CF57BED" w:rsidRDefault="0C25A6AC" w14:paraId="294A8C18" w14:textId="1161B702">
      <w:pPr>
        <w:pStyle w:val="ListParagraph"/>
        <w:numPr>
          <w:ilvl w:val="1"/>
          <w:numId w:val="2"/>
        </w:numPr>
        <w:rPr>
          <w:rFonts w:ascii="Aptos" w:hAnsi="Aptos" w:eastAsia="Aptos" w:cs="Aptos"/>
        </w:rPr>
      </w:pPr>
      <w:r w:rsidR="0C25A6AC">
        <w:rPr/>
        <w:t xml:space="preserve">The definition of low-risk goods </w:t>
      </w:r>
      <w:r w:rsidR="0C25A6AC">
        <w:rPr/>
        <w:t>now includes certain goods, such as spare parts, machinery</w:t>
      </w:r>
      <w:r w:rsidR="15C2E769">
        <w:rPr/>
        <w:t>,</w:t>
      </w:r>
      <w:r w:rsidR="0C25A6AC">
        <w:rPr/>
        <w:t xml:space="preserve"> or tools used for maintenance or repair of government-operated conveyances, such as military vessels.</w:t>
      </w:r>
    </w:p>
    <w:p w:rsidRPr="00FC03C5" w:rsidR="00A110D1" w:rsidP="5CF57BED" w:rsidRDefault="484CFEE5" w14:paraId="0103A7D4" w14:textId="2ACD9D63">
      <w:pPr>
        <w:pStyle w:val="ListParagraph"/>
        <w:numPr>
          <w:ilvl w:val="1"/>
          <w:numId w:val="2"/>
        </w:numPr>
        <w:rPr>
          <w:rFonts w:ascii="Aptos" w:hAnsi="Aptos" w:eastAsia="Aptos" w:cs="Aptos"/>
        </w:rPr>
      </w:pPr>
      <w:r w:rsidR="484CFEE5">
        <w:rPr/>
        <w:t xml:space="preserve">The </w:t>
      </w:r>
      <w:r w:rsidR="484CFEE5">
        <w:rPr/>
        <w:t>purpose</w:t>
      </w:r>
      <w:r w:rsidR="484CFEE5">
        <w:rPr/>
        <w:t xml:space="preserve"> </w:t>
      </w:r>
      <w:r w:rsidR="484CFEE5">
        <w:rPr/>
        <w:t>of</w:t>
      </w:r>
      <w:r w:rsidR="484CFEE5">
        <w:rPr/>
        <w:t xml:space="preserve"> </w:t>
      </w:r>
      <w:r w:rsidR="484CFEE5">
        <w:rPr/>
        <w:t xml:space="preserve">the instrument has been expanded to clearly describe the circumstances in which section 192 of the </w:t>
      </w:r>
      <w:r w:rsidRPr="69262C08" w:rsidR="484CFEE5">
        <w:rPr>
          <w:i w:val="1"/>
          <w:iCs w:val="1"/>
        </w:rPr>
        <w:t>Biosecurity Act 2015</w:t>
      </w:r>
      <w:r w:rsidR="484CFEE5">
        <w:rPr/>
        <w:t xml:space="preserve"> does not apply to an exposed conveyance.</w:t>
      </w:r>
    </w:p>
    <w:p w:rsidR="6A62BA0C" w:rsidP="368FECBC" w:rsidRDefault="6A62BA0C" w14:paraId="2E5E8D8B" w14:textId="46CD7F5A">
      <w:r w:rsidRPr="368FECBC">
        <w:rPr>
          <w:b/>
          <w:bCs/>
        </w:rPr>
        <w:t>Specified circumstances</w:t>
      </w:r>
    </w:p>
    <w:bookmarkEnd w:id="0"/>
    <w:p w:rsidR="5C15F1DE" w:rsidP="2ED64A91" w:rsidRDefault="5C15F1DE" w14:paraId="1B4B10B4" w14:textId="6D76911C">
      <w:pPr>
        <w:numPr>
          <w:ilvl w:val="0"/>
          <w:numId w:val="2"/>
        </w:numPr>
        <w:rPr>
          <w:rFonts w:ascii="Aptos" w:hAnsi="Aptos" w:eastAsia="Aptos" w:cs="Aptos"/>
          <w:color w:val="000000" w:themeColor="text1"/>
        </w:rPr>
      </w:pPr>
      <w:r w:rsidRPr="69262C08" w:rsidR="7A517ADA">
        <w:rPr>
          <w:rFonts w:ascii="Aptos" w:hAnsi="Aptos" w:eastAsia="Aptos" w:cs="Aptos"/>
        </w:rPr>
        <w:t xml:space="preserve">Specific conditions have been included in </w:t>
      </w:r>
      <w:r w:rsidRPr="69262C08" w:rsidR="7A517ADA">
        <w:rPr>
          <w:rFonts w:ascii="Aptos" w:hAnsi="Aptos" w:eastAsia="Aptos" w:cs="Aptos"/>
        </w:rPr>
        <w:t xml:space="preserve">section </w:t>
      </w:r>
      <w:r w:rsidRPr="69262C08" w:rsidR="76725B9D">
        <w:rPr>
          <w:rFonts w:ascii="Aptos" w:hAnsi="Aptos" w:eastAsia="Aptos" w:cs="Aptos"/>
        </w:rPr>
        <w:t>8</w:t>
      </w:r>
      <w:r w:rsidRPr="69262C08" w:rsidR="7A517ADA">
        <w:rPr>
          <w:rFonts w:ascii="Aptos" w:hAnsi="Aptos" w:eastAsia="Aptos" w:cs="Aptos"/>
        </w:rPr>
        <w:t xml:space="preserve"> </w:t>
      </w:r>
      <w:r w:rsidRPr="69262C08" w:rsidR="7A517ADA">
        <w:rPr>
          <w:rFonts w:ascii="Aptos" w:hAnsi="Aptos" w:eastAsia="Aptos" w:cs="Aptos"/>
        </w:rPr>
        <w:t>for circumstances involving exposure to a protected zone vessel</w:t>
      </w:r>
      <w:r w:rsidRPr="69262C08" w:rsidR="7A517ADA">
        <w:rPr>
          <w:rFonts w:ascii="Aptos" w:hAnsi="Aptos" w:eastAsia="Aptos" w:cs="Aptos"/>
        </w:rPr>
        <w:t xml:space="preserve">. The exemption </w:t>
      </w:r>
      <w:r w:rsidRPr="69262C08" w:rsidR="7A517ADA">
        <w:rPr>
          <w:rFonts w:ascii="Aptos" w:hAnsi="Aptos" w:eastAsia="Aptos" w:cs="Aptos"/>
        </w:rPr>
        <w:t>applies</w:t>
      </w:r>
      <w:r w:rsidRPr="69262C08" w:rsidR="7A517ADA">
        <w:rPr>
          <w:rFonts w:ascii="Aptos" w:hAnsi="Aptos" w:eastAsia="Aptos" w:cs="Aptos"/>
        </w:rPr>
        <w:t xml:space="preserve"> only</w:t>
      </w:r>
      <w:r w:rsidRPr="69262C08" w:rsidR="7A517ADA">
        <w:rPr>
          <w:rFonts w:ascii="Aptos" w:hAnsi="Aptos" w:eastAsia="Aptos" w:cs="Aptos"/>
        </w:rPr>
        <w:t xml:space="preserve"> where </w:t>
      </w:r>
      <w:r w:rsidRPr="69262C08" w:rsidR="7A517ADA">
        <w:rPr>
          <w:rFonts w:ascii="Aptos" w:hAnsi="Aptos" w:eastAsia="Aptos" w:cs="Aptos"/>
        </w:rPr>
        <w:t>any</w:t>
      </w:r>
      <w:r w:rsidRPr="69262C08" w:rsidR="7A517ADA">
        <w:rPr>
          <w:rFonts w:ascii="Aptos" w:hAnsi="Aptos" w:eastAsia="Aptos" w:cs="Aptos"/>
        </w:rPr>
        <w:t xml:space="preserve"> live animals or live plants on board the vessel are domestic goods.</w:t>
      </w:r>
      <w:r w:rsidR="00A110D1">
        <w:rPr/>
        <w:t xml:space="preserve"> </w:t>
      </w:r>
    </w:p>
    <w:p w:rsidR="5C15F1DE" w:rsidP="2ED64A91" w:rsidRDefault="5C15F1DE" w14:paraId="48A50633" w14:textId="2962EDF8">
      <w:pPr>
        <w:numPr>
          <w:ilvl w:val="0"/>
          <w:numId w:val="2"/>
        </w:numPr>
        <w:rPr>
          <w:rFonts w:ascii="Aptos" w:hAnsi="Aptos" w:eastAsia="Aptos" w:cs="Aptos"/>
          <w:color w:val="000000" w:themeColor="text1"/>
        </w:rPr>
      </w:pPr>
      <w:r w:rsidRPr="69262C08" w:rsidR="5C15F1DE">
        <w:rPr>
          <w:rFonts w:ascii="Aptos" w:hAnsi="Aptos" w:eastAsia="Aptos" w:cs="Aptos"/>
          <w:color w:val="000000" w:themeColor="text1" w:themeTint="FF" w:themeShade="FF"/>
        </w:rPr>
        <w:t>A transitional provision has been added, which specifies:</w:t>
      </w:r>
    </w:p>
    <w:p w:rsidR="5C15F1DE" w:rsidP="2ED64A91" w:rsidRDefault="5C15F1DE" w14:paraId="74AE4AB0" w14:textId="061FBE7E">
      <w:pPr>
        <w:pStyle w:val="ListParagraph"/>
        <w:numPr>
          <w:ilvl w:val="1"/>
          <w:numId w:val="2"/>
        </w:numPr>
        <w:rPr>
          <w:rFonts w:ascii="Aptos" w:hAnsi="Aptos" w:eastAsia="Aptos" w:cs="Aptos"/>
          <w:color w:val="000000" w:themeColor="text1"/>
        </w:rPr>
      </w:pPr>
      <w:r w:rsidRPr="2ED64A91">
        <w:rPr>
          <w:rFonts w:ascii="Aptos" w:hAnsi="Aptos" w:eastAsia="Aptos" w:cs="Aptos"/>
          <w:color w:val="000000" w:themeColor="text1"/>
        </w:rPr>
        <w:t>Exposures occurring before commencement continue to be assessed under the 2016 Determination, while exposures occurring after commencement are assessed under the 2026 Determination.</w:t>
      </w:r>
    </w:p>
    <w:p w:rsidR="5CF57BED" w:rsidP="5CF57BED" w:rsidRDefault="5CF57BED" w14:paraId="45CDA262" w14:textId="44E6BB40">
      <w:pPr>
        <w:spacing w:after="160" w:line="278" w:lineRule="auto"/>
        <w:ind w:left="720"/>
        <w:rPr>
          <w:rFonts w:ascii="Aptos" w:hAnsi="Aptos" w:eastAsia="Aptos" w:cs="Aptos"/>
          <w:color w:val="000000" w:themeColor="text1"/>
        </w:rPr>
      </w:pPr>
    </w:p>
    <w:p w:rsidR="00171C76" w:rsidP="00171C76" w:rsidRDefault="00171C76" w14:paraId="654A37D8" w14:textId="6DB58301">
      <w:pPr>
        <w:pStyle w:val="Heading2"/>
      </w:pPr>
      <w:r w:rsidRPr="00B03587">
        <w:t>More information</w:t>
      </w:r>
    </w:p>
    <w:p w:rsidR="00525FCF" w:rsidP="00525FCF" w:rsidRDefault="00525FCF" w14:paraId="4C77A396" w14:textId="735E0377">
      <w:r w:rsidRPr="6B16EE63" w:rsidR="00525FCF">
        <w:rPr>
          <w:lang w:val="en-US"/>
        </w:rPr>
        <w:t xml:space="preserve">The Determination and accompanying Explanatory Statement </w:t>
      </w:r>
      <w:r w:rsidR="00525FCF">
        <w:rPr/>
        <w:t xml:space="preserve">is available on the </w:t>
      </w:r>
      <w:hyperlink r:id="R6cab16e694974407">
        <w:r w:rsidRPr="6B16EE63" w:rsidR="00525FCF">
          <w:rPr>
            <w:rStyle w:val="Hyperlink"/>
          </w:rPr>
          <w:t>Federal Register of Legislation</w:t>
        </w:r>
      </w:hyperlink>
      <w:r w:rsidR="00525FCF">
        <w:rPr/>
        <w:t>.</w:t>
      </w:r>
    </w:p>
    <w:p w:rsidRPr="00C3391B" w:rsidR="00525FCF" w:rsidP="00525FCF" w:rsidRDefault="00525FCF" w14:paraId="24CB8EDB" w14:textId="77777777">
      <w:r w:rsidRPr="00C3391B">
        <w:t>Learn more about the department’s </w:t>
      </w:r>
      <w:hyperlink w:tgtFrame="_blank" w:history="1" w:anchor="biosecurity-legislation" r:id="rId16">
        <w:r w:rsidRPr="00C3391B">
          <w:rPr>
            <w:rStyle w:val="Hyperlink"/>
          </w:rPr>
          <w:t>biosecurity legislation</w:t>
        </w:r>
      </w:hyperlink>
      <w:r w:rsidRPr="00C3391B">
        <w:t>. </w:t>
      </w:r>
    </w:p>
    <w:p w:rsidRPr="00F8217F" w:rsidR="00525FCF" w:rsidP="00525FCF" w:rsidRDefault="00525FCF" w14:paraId="30342779" w14:textId="0F811F21">
      <w:pPr>
        <w:rPr>
          <w:lang w:val="en-US"/>
        </w:rPr>
      </w:pPr>
      <w:r>
        <w:t>Email </w:t>
      </w:r>
      <w:hyperlink r:id="rId17">
        <w:r w:rsidRPr="2087D4E0">
          <w:rPr>
            <w:rStyle w:val="Hyperlink"/>
          </w:rPr>
          <w:t>biosecuritylegislationfeedback@aff.gov.au </w:t>
        </w:r>
      </w:hyperlink>
    </w:p>
    <w:p w:rsidR="00171C76" w:rsidP="005D2BF6" w:rsidRDefault="00171C76" w14:paraId="23ED5E61" w14:textId="252EFE8A">
      <w:pPr>
        <w:pStyle w:val="Normalsmall"/>
      </w:pPr>
      <w:r w:rsidRPr="5CF57BED">
        <w:rPr>
          <w:rStyle w:val="Strong"/>
        </w:rPr>
        <w:t>Acknowledgement of Country</w:t>
      </w:r>
    </w:p>
    <w:p w:rsidRPr="000A5BA0" w:rsidR="00171C76" w:rsidP="00171C76" w:rsidRDefault="00171C76" w14:paraId="644A7DE9" w14:textId="77777777">
      <w:pPr>
        <w:pStyle w:val="Normalsmall"/>
        <w:rPr>
          <w:rStyle w:val="Hyperlink"/>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rsidR="00171C76" w:rsidP="00171C76" w:rsidRDefault="00171C76" w14:paraId="18CD4936" w14:textId="4277A84E">
      <w:pPr>
        <w:pStyle w:val="Normalsmall"/>
        <w:spacing w:before="360"/>
      </w:pPr>
      <w:r>
        <w:t>© Commonwealth of Australia 202</w:t>
      </w:r>
      <w:r w:rsidR="71F792EE">
        <w:t>6</w:t>
      </w:r>
    </w:p>
    <w:p w:rsidR="00171C76" w:rsidP="00171C76" w:rsidRDefault="00171C76" w14:paraId="167E4FDF" w14:textId="77777777">
      <w:pPr>
        <w:pStyle w:val="Normalsmall"/>
      </w:pPr>
      <w:r>
        <w:t>Unless otherwise noted, copyright (and any other intellectual property rights) in this publication is owned by the Commonwealth of Australia (referred to as the Commonwealth).</w:t>
      </w:r>
    </w:p>
    <w:p w:rsidR="00171C76" w:rsidP="00171C76" w:rsidRDefault="00171C76" w14:paraId="06CADAC8" w14:textId="77777777">
      <w:pPr>
        <w:pStyle w:val="Normalsmall"/>
      </w:pPr>
      <w:r>
        <w:t xml:space="preserve">All material in this publication is licensed under a </w:t>
      </w:r>
      <w:hyperlink w:history="1" r:id="rId18">
        <w:r>
          <w:rPr>
            <w:rStyle w:val="Hyperlink"/>
          </w:rPr>
          <w:t>Creative Commons Attribution 4.0 International Licence</w:t>
        </w:r>
      </w:hyperlink>
      <w:r>
        <w:t xml:space="preserve"> except content supplied by third parties, logos and the Commonwealth Coat of Arms.</w:t>
      </w:r>
    </w:p>
    <w:p w:rsidR="00441FDD" w:rsidP="003001D7" w:rsidRDefault="00171C76" w14:paraId="07BB5C71" w14:textId="71C23C28">
      <w:pPr>
        <w:pStyle w:val="Normalsmall"/>
      </w:pPr>
      <w:r>
        <w:t xml:space="preserve">The Australian Government acting through the </w:t>
      </w:r>
      <w:r w:rsidRPr="007B1F92">
        <w:t>Department of Agriculture, Fisheries and Forestry</w:t>
      </w:r>
      <w:r>
        <w:t xml:space="preserve"> has exercised due care and skill in preparing and compiling the information and data in this publication. Notwithstanding, the </w:t>
      </w:r>
      <w:r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441FDD" w:rsidSect="00171C76">
      <w:headerReference w:type="even" r:id="rId19"/>
      <w:headerReference w:type="default" r:id="rId20"/>
      <w:footerReference w:type="even" r:id="rId21"/>
      <w:footerReference w:type="default" r:id="rId22"/>
      <w:headerReference w:type="first" r:id="rId23"/>
      <w:footerReference w:type="first" r:id="rId24"/>
      <w:pgSz w:w="11906" w:h="16838" w:orient="portrait" w:code="9"/>
      <w:pgMar w:top="1418" w:right="1247" w:bottom="1134" w:left="1247" w:header="567" w:footer="284" w:gutter="0"/>
      <w:pgNumType w:start="1"/>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F104A" w:rsidP="00171C76" w:rsidRDefault="00EF104A" w14:paraId="1C2A54F0" w14:textId="77777777">
      <w:pPr>
        <w:spacing w:after="0" w:line="240" w:lineRule="auto"/>
      </w:pPr>
      <w:r>
        <w:separator/>
      </w:r>
    </w:p>
  </w:endnote>
  <w:endnote w:type="continuationSeparator" w:id="0">
    <w:p w:rsidR="00EF104A" w:rsidP="00171C76" w:rsidRDefault="00EF104A" w14:paraId="4288D0C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64E2DD41" w14:textId="2709581C">
    <w:pPr>
      <w:pStyle w:val="Footer"/>
    </w:pPr>
    <w:r>
      <w:rPr>
        <w:noProof/>
        <w14:ligatures w14:val="standardContextual"/>
      </w:rPr>
      <mc:AlternateContent>
        <mc:Choice Requires="wps">
          <w:drawing>
            <wp:anchor distT="0" distB="0" distL="0" distR="0" simplePos="0" relativeHeight="251658245" behindDoc="0" locked="0" layoutInCell="1" allowOverlap="1" wp14:anchorId="2C85FF11" wp14:editId="148E99FE">
              <wp:simplePos x="635" y="635"/>
              <wp:positionH relativeFrom="page">
                <wp:align>center</wp:align>
              </wp:positionH>
              <wp:positionV relativeFrom="page">
                <wp:align>bottom</wp:align>
              </wp:positionV>
              <wp:extent cx="551815" cy="404495"/>
              <wp:effectExtent l="0" t="0" r="635" b="0"/>
              <wp:wrapNone/>
              <wp:docPr id="18105732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2C85FF11">
              <v:stroke joinstyle="miter"/>
              <v:path gradientshapeok="t" o:connecttype="rect"/>
            </v:shapetype>
            <v:shape id="Text Box 5"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B199D72" w14:textId="00B9FA48">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427B66DC" w14:textId="1B88209C">
    <w:pPr>
      <w:pStyle w:val="Footer"/>
    </w:pPr>
    <w:r>
      <w:rPr>
        <w:noProof/>
        <w14:ligatures w14:val="standardContextual"/>
      </w:rPr>
      <mc:AlternateContent>
        <mc:Choice Requires="wps">
          <w:drawing>
            <wp:anchor distT="0" distB="0" distL="0" distR="0" simplePos="0" relativeHeight="251658246" behindDoc="0" locked="0" layoutInCell="1" allowOverlap="1" wp14:anchorId="5057B80B" wp14:editId="53206062">
              <wp:simplePos x="790575" y="10048875"/>
              <wp:positionH relativeFrom="page">
                <wp:align>center</wp:align>
              </wp:positionH>
              <wp:positionV relativeFrom="page">
                <wp:align>bottom</wp:align>
              </wp:positionV>
              <wp:extent cx="551815" cy="404495"/>
              <wp:effectExtent l="0" t="0" r="635" b="0"/>
              <wp:wrapNone/>
              <wp:docPr id="11701501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7588F06" w14:textId="6AE0A233">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057B80B">
              <v:stroke joinstyle="miter"/>
              <v:path gradientshapeok="t" o:connecttype="rect"/>
            </v:shapetype>
            <v:shape id="Text Box 6"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v:textbox style="mso-fit-shape-to-text:t" inset="0,0,0,15pt">
                <w:txbxContent>
                  <w:p w:rsidRPr="00171C76" w:rsidR="00171C76" w:rsidP="00171C76" w:rsidRDefault="00171C76" w14:paraId="37588F06" w14:textId="6AE0A233">
                    <w:pPr>
                      <w:spacing w:after="0"/>
                      <w:rPr>
                        <w:rFonts w:ascii="Calibri" w:hAnsi="Calibri" w:eastAsia="Calibri" w:cs="Calibri"/>
                        <w:noProof/>
                        <w:color w:val="FF0000"/>
                        <w:sz w:val="24"/>
                        <w:szCs w:val="24"/>
                      </w:rPr>
                    </w:pPr>
                  </w:p>
                </w:txbxContent>
              </v:textbox>
              <w10:wrap anchorx="page" anchory="page"/>
            </v:shape>
          </w:pict>
        </mc:Fallback>
      </mc:AlternateContent>
    </w:r>
    <w:r w:rsidRPr="007B1F92" w:rsidR="0040672B">
      <w:t>Department of Agriculture, Fisheries and Forestry</w:t>
    </w:r>
  </w:p>
  <w:p w:rsidR="0040672B" w:rsidRDefault="00EF104A" w14:paraId="1325EDB3" w14:textId="77777777">
    <w:pPr>
      <w:pStyle w:val="Footer"/>
    </w:pPr>
    <w:sdt>
      <w:sdtPr>
        <w:id w:val="-1564876113"/>
        <w:docPartObj>
          <w:docPartGallery w:val="Page Numbers (Bottom of Page)"/>
          <w:docPartUnique/>
        </w:docPartObj>
      </w:sdtPr>
      <w:sdtEndPr>
        <w:rPr>
          <w:noProof/>
        </w:rPr>
      </w:sdtEndPr>
      <w:sdtContent>
        <w:r w:rsidR="0040672B">
          <w:fldChar w:fldCharType="begin"/>
        </w:r>
        <w:r w:rsidR="0040672B">
          <w:instrText xml:space="preserve"> PAGE   \* MERGEFORMAT </w:instrText>
        </w:r>
        <w:r w:rsidR="0040672B">
          <w:fldChar w:fldCharType="separate"/>
        </w:r>
        <w:r w:rsidR="0040672B">
          <w:rPr>
            <w:noProof/>
          </w:rPr>
          <w:t>2</w:t>
        </w:r>
        <w:r w:rsidR="0040672B">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6183B233" w14:textId="1A6C7F0F">
    <w:pPr>
      <w:pStyle w:val="Footer"/>
    </w:pPr>
    <w:r>
      <w:rPr>
        <w:noProof/>
        <w14:ligatures w14:val="standardContextual"/>
      </w:rPr>
      <mc:AlternateContent>
        <mc:Choice Requires="wps">
          <w:drawing>
            <wp:anchor distT="0" distB="0" distL="0" distR="0" simplePos="0" relativeHeight="251658244" behindDoc="0" locked="0" layoutInCell="1" allowOverlap="1" wp14:anchorId="4F5321EA" wp14:editId="50038D77">
              <wp:simplePos x="790575" y="10048875"/>
              <wp:positionH relativeFrom="page">
                <wp:align>center</wp:align>
              </wp:positionH>
              <wp:positionV relativeFrom="page">
                <wp:align>bottom</wp:align>
              </wp:positionV>
              <wp:extent cx="551815" cy="404495"/>
              <wp:effectExtent l="0" t="0" r="635" b="0"/>
              <wp:wrapNone/>
              <wp:docPr id="104885227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5E15EB76" w14:textId="5F8ACCD3">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4F5321EA">
              <v:stroke joinstyle="miter"/>
              <v:path gradientshapeok="t" o:connecttype="rect"/>
            </v:shapetype>
            <v:shape id="Text Box 4"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v:textbox style="mso-fit-shape-to-text:t" inset="0,0,0,15pt">
                <w:txbxContent>
                  <w:p w:rsidRPr="00171C76" w:rsidR="00171C76" w:rsidP="00171C76" w:rsidRDefault="00171C76" w14:paraId="5E15EB76" w14:textId="5F8ACCD3">
                    <w:pPr>
                      <w:spacing w:after="0"/>
                      <w:rPr>
                        <w:rFonts w:ascii="Calibri" w:hAnsi="Calibri" w:eastAsia="Calibri" w:cs="Calibri"/>
                        <w:noProof/>
                        <w:color w:val="FF0000"/>
                        <w:sz w:val="24"/>
                        <w:szCs w:val="24"/>
                      </w:rPr>
                    </w:pPr>
                  </w:p>
                </w:txbxContent>
              </v:textbox>
              <w10:wrap anchorx="page" anchory="page"/>
            </v:shape>
          </w:pict>
        </mc:Fallback>
      </mc:AlternateContent>
    </w:r>
  </w:p>
  <w:sdt>
    <w:sdtPr>
      <w:id w:val="-858040093"/>
      <w:docPartObj>
        <w:docPartGallery w:val="Page Numbers (Bottom of Page)"/>
        <w:docPartUnique/>
      </w:docPartObj>
    </w:sdtPr>
    <w:sdtEndPr>
      <w:rPr>
        <w:noProof/>
      </w:rPr>
    </w:sdtEndPr>
    <w:sdtContent>
      <w:p w:rsidR="0040672B" w:rsidRDefault="0040672B" w14:paraId="14583C27" w14:textId="77777777">
        <w:pPr>
          <w:pStyle w:val="Footer"/>
        </w:pPr>
        <w:r w:rsidRPr="007B1F92">
          <w:t>Department of Agriculture, Fisheries and Forestry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F104A" w:rsidP="00171C76" w:rsidRDefault="00EF104A" w14:paraId="13BFCE4A" w14:textId="77777777">
      <w:pPr>
        <w:spacing w:after="0" w:line="240" w:lineRule="auto"/>
      </w:pPr>
      <w:r>
        <w:separator/>
      </w:r>
    </w:p>
  </w:footnote>
  <w:footnote w:type="continuationSeparator" w:id="0">
    <w:p w:rsidR="00EF104A" w:rsidP="00171C76" w:rsidRDefault="00EF104A" w14:paraId="4B9A41E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672B" w:rsidRDefault="00171C76" w14:paraId="223AF282" w14:textId="3328C0CE">
    <w:pPr>
      <w:pStyle w:val="Header"/>
    </w:pPr>
    <w:r>
      <w:rPr>
        <w:noProof/>
        <w14:ligatures w14:val="standardContextual"/>
      </w:rPr>
      <mc:AlternateContent>
        <mc:Choice Requires="wps">
          <w:drawing>
            <wp:anchor distT="0" distB="0" distL="0" distR="0" simplePos="0" relativeHeight="251658242" behindDoc="0" locked="0" layoutInCell="1" allowOverlap="1" wp14:anchorId="3D797C6C" wp14:editId="0671701E">
              <wp:simplePos x="635" y="635"/>
              <wp:positionH relativeFrom="page">
                <wp:align>center</wp:align>
              </wp:positionH>
              <wp:positionV relativeFrom="page">
                <wp:align>top</wp:align>
              </wp:positionV>
              <wp:extent cx="551815" cy="404495"/>
              <wp:effectExtent l="0" t="0" r="635" b="14605"/>
              <wp:wrapNone/>
              <wp:docPr id="11454557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3D797C6C">
              <v:stroke joinstyle="miter"/>
              <v:path gradientshapeok="t" o:connecttype="rect"/>
            </v:shapetype>
            <v:shape id="Text Box 2"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v:textbox style="mso-fit-shape-to-text:t" inset="0,15pt,0,0">
                <w:txbxContent>
                  <w:p w:rsidRPr="00171C76" w:rsidR="00171C76" w:rsidP="00171C76" w:rsidRDefault="00171C76" w14:paraId="3C1FB43D" w14:textId="27526932">
                    <w:pPr>
                      <w:spacing w:after="0"/>
                      <w:rPr>
                        <w:rFonts w:ascii="Calibri" w:hAnsi="Calibri" w:eastAsia="Calibri" w:cs="Calibri"/>
                        <w:noProof/>
                        <w:color w:val="FF0000"/>
                        <w:sz w:val="24"/>
                        <w:szCs w:val="24"/>
                      </w:rPr>
                    </w:pPr>
                    <w:r w:rsidRPr="00171C76">
                      <w:rPr>
                        <w:rFonts w:ascii="Calibri" w:hAnsi="Calibri" w:eastAsia="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B03587" w:rsidR="0040672B" w:rsidP="5348C89C" w:rsidRDefault="00171C76" w14:paraId="4D7BF4C2" w14:textId="7443D6A4">
    <w:pPr>
      <w:widowControl w:val="0"/>
      <w:spacing w:before="360" w:after="240" w:line="240" w:lineRule="auto"/>
      <w:contextualSpacing/>
      <w:jc w:val="center"/>
      <w:outlineLvl w:val="0"/>
      <w:rPr>
        <w:i/>
        <w:iCs/>
        <w:color w:val="000000"/>
        <w:spacing w:val="5"/>
        <w:kern w:val="28"/>
        <w:sz w:val="20"/>
        <w:szCs w:val="20"/>
      </w:rPr>
    </w:pPr>
    <w:r>
      <w:rPr>
        <w:noProof/>
        <w:color w:val="000000"/>
        <w:spacing w:val="5"/>
        <w:kern w:val="28"/>
        <w:sz w:val="20"/>
        <w:szCs w:val="20"/>
        <w14:ligatures w14:val="standardContextual"/>
      </w:rPr>
      <mc:AlternateContent>
        <mc:Choice Requires="wps">
          <w:drawing>
            <wp:anchor distT="0" distB="0" distL="0" distR="0" simplePos="0" relativeHeight="251658243" behindDoc="0" locked="0" layoutInCell="1" allowOverlap="1" wp14:anchorId="73373A87" wp14:editId="4FCD51DC">
              <wp:simplePos x="790575" y="361950"/>
              <wp:positionH relativeFrom="page">
                <wp:align>center</wp:align>
              </wp:positionH>
              <wp:positionV relativeFrom="page">
                <wp:align>top</wp:align>
              </wp:positionV>
              <wp:extent cx="551815" cy="404495"/>
              <wp:effectExtent l="0" t="0" r="635" b="14605"/>
              <wp:wrapNone/>
              <wp:docPr id="115889269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674459C4" w14:textId="4881F754">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73373A87">
              <v:stroke joinstyle="miter"/>
              <v:path gradientshapeok="t" o:connecttype="rect"/>
            </v:shapetype>
            <v:shape id="Text Box 3"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v:textbox style="mso-fit-shape-to-text:t" inset="0,15pt,0,0">
                <w:txbxContent>
                  <w:p w:rsidRPr="00171C76" w:rsidR="00171C76" w:rsidP="00171C76" w:rsidRDefault="00171C76" w14:paraId="674459C4" w14:textId="4881F754">
                    <w:pPr>
                      <w:spacing w:after="0"/>
                      <w:rPr>
                        <w:rFonts w:ascii="Calibri" w:hAnsi="Calibri" w:eastAsia="Calibri" w:cs="Calibri"/>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672B" w:rsidRDefault="00171C76" w14:paraId="61B6EF04" w14:textId="17BFA134">
    <w:pPr>
      <w:pStyle w:val="Footer"/>
      <w:spacing w:after="0"/>
      <w:jc w:val="left"/>
    </w:pPr>
    <w:r>
      <w:rPr>
        <w:noProof/>
        <w14:ligatures w14:val="standardContextual"/>
      </w:rPr>
      <mc:AlternateContent>
        <mc:Choice Requires="wps">
          <w:drawing>
            <wp:anchor distT="0" distB="0" distL="0" distR="0" simplePos="0" relativeHeight="251658241" behindDoc="0" locked="0" layoutInCell="1" allowOverlap="1" wp14:anchorId="2D9800C3" wp14:editId="0C903B2D">
              <wp:simplePos x="790575" y="361950"/>
              <wp:positionH relativeFrom="page">
                <wp:align>center</wp:align>
              </wp:positionH>
              <wp:positionV relativeFrom="page">
                <wp:align>top</wp:align>
              </wp:positionV>
              <wp:extent cx="551815" cy="404495"/>
              <wp:effectExtent l="0" t="0" r="635" b="14605"/>
              <wp:wrapNone/>
              <wp:docPr id="17485095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rsidRPr="00171C76" w:rsidR="00171C76" w:rsidP="00171C76" w:rsidRDefault="00171C76" w14:paraId="3BAD17CF" w14:textId="3A64B29E">
                          <w:pPr>
                            <w:spacing w:after="0"/>
                            <w:rPr>
                              <w:rFonts w:ascii="Calibri" w:hAnsi="Calibri" w:eastAsia="Calibri" w:cs="Calibri"/>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14="http://schemas.microsoft.com/office/drawing/2010/main" xmlns:pic="http://schemas.openxmlformats.org/drawingml/2006/picture" xmlns:aclsh="http://schemas.microsoft.com/office/drawing/2020/classificationShape" xmlns:a="http://schemas.openxmlformats.org/drawingml/2006/main">
          <w:pict>
            <v:shapetype id="_x0000_t202" coordsize="21600,21600" o:spt="202" path="m,l,21600r21600,l21600,xe" w14:anchorId="2D9800C3">
              <v:stroke joinstyle="miter"/>
              <v:path gradientshapeok="t" o:connecttype="rect"/>
            </v:shapetype>
            <v:shape id="Text Box 1"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v:textbox style="mso-fit-shape-to-text:t" inset="0,15pt,0,0">
                <w:txbxContent>
                  <w:p w:rsidRPr="00171C76" w:rsidR="00171C76" w:rsidP="00171C76" w:rsidRDefault="00171C76" w14:paraId="3BAD17CF" w14:textId="3A64B29E">
                    <w:pPr>
                      <w:spacing w:after="0"/>
                      <w:rPr>
                        <w:rFonts w:ascii="Calibri" w:hAnsi="Calibri" w:eastAsia="Calibri" w:cs="Calibri"/>
                        <w:noProof/>
                        <w:color w:val="FF0000"/>
                        <w:sz w:val="24"/>
                        <w:szCs w:val="24"/>
                      </w:rPr>
                    </w:pPr>
                  </w:p>
                </w:txbxContent>
              </v:textbox>
              <w10:wrap anchorx="page" anchory="page"/>
            </v:shape>
          </w:pict>
        </mc:Fallback>
      </mc:AlternateContent>
    </w:r>
    <w:r w:rsidR="0040672B">
      <w:rPr>
        <w:noProof/>
      </w:rPr>
      <w:drawing>
        <wp:anchor distT="0" distB="0" distL="114300" distR="114300" simplePos="0" relativeHeight="251658240" behindDoc="1" locked="0" layoutInCell="1" allowOverlap="1" wp14:anchorId="66A8D5F5" wp14:editId="7625089E">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F21"/>
    <w:multiLevelType w:val="hybridMultilevel"/>
    <w:tmpl w:val="DB04BF8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07CF3F9D"/>
    <w:multiLevelType w:val="hybridMultilevel"/>
    <w:tmpl w:val="530A1E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14B04E39"/>
    <w:multiLevelType w:val="hybridMultilevel"/>
    <w:tmpl w:val="57A829B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14F1189D"/>
    <w:multiLevelType w:val="hybridMultilevel"/>
    <w:tmpl w:val="8B70C484"/>
    <w:lvl w:ilvl="0" w:tplc="6DD29A74">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5E52034"/>
    <w:multiLevelType w:val="hybridMultilevel"/>
    <w:tmpl w:val="3C4A2CBE"/>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5" w15:restartNumberingAfterBreak="0">
    <w:nsid w:val="25710BA1"/>
    <w:multiLevelType w:val="hybridMultilevel"/>
    <w:tmpl w:val="AA90FB62"/>
    <w:lvl w:ilvl="0" w:tplc="2D1A991C">
      <w:numFmt w:val="bullet"/>
      <w:lvlText w:val="-"/>
      <w:lvlJc w:val="left"/>
      <w:pPr>
        <w:ind w:left="1080" w:hanging="360"/>
      </w:pPr>
      <w:rPr>
        <w:rFonts w:hint="default" w:ascii="Aptos" w:hAnsi="Aptos" w:eastAsiaTheme="minorHAnsi" w:cstheme="minorBidi"/>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6" w15:restartNumberingAfterBreak="0">
    <w:nsid w:val="2C527902"/>
    <w:multiLevelType w:val="hybridMultilevel"/>
    <w:tmpl w:val="42E80AA2"/>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2E716155"/>
    <w:multiLevelType w:val="hybridMultilevel"/>
    <w:tmpl w:val="AD3C6C0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8" w15:restartNumberingAfterBreak="0">
    <w:nsid w:val="354012F5"/>
    <w:multiLevelType w:val="hybridMultilevel"/>
    <w:tmpl w:val="1EFC049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9" w15:restartNumberingAfterBreak="0">
    <w:nsid w:val="3EA62455"/>
    <w:multiLevelType w:val="hybridMultilevel"/>
    <w:tmpl w:val="15E8CDA0"/>
    <w:lvl w:ilvl="0" w:tplc="0C090001">
      <w:start w:val="1"/>
      <w:numFmt w:val="bullet"/>
      <w:lvlText w:val=""/>
      <w:lvlJc w:val="left"/>
      <w:pPr>
        <w:ind w:left="644" w:hanging="360"/>
      </w:pPr>
      <w:rPr>
        <w:rFonts w:hint="default" w:ascii="Symbol" w:hAnsi="Symbol"/>
      </w:rPr>
    </w:lvl>
    <w:lvl w:ilvl="1" w:tplc="0C090003" w:tentative="1">
      <w:start w:val="1"/>
      <w:numFmt w:val="bullet"/>
      <w:lvlText w:val="o"/>
      <w:lvlJc w:val="left"/>
      <w:pPr>
        <w:ind w:left="1364" w:hanging="360"/>
      </w:pPr>
      <w:rPr>
        <w:rFonts w:hint="default" w:ascii="Courier New" w:hAnsi="Courier New" w:cs="Courier New"/>
      </w:rPr>
    </w:lvl>
    <w:lvl w:ilvl="2" w:tplc="0C090005" w:tentative="1">
      <w:start w:val="1"/>
      <w:numFmt w:val="bullet"/>
      <w:lvlText w:val=""/>
      <w:lvlJc w:val="left"/>
      <w:pPr>
        <w:ind w:left="2084" w:hanging="360"/>
      </w:pPr>
      <w:rPr>
        <w:rFonts w:hint="default" w:ascii="Wingdings" w:hAnsi="Wingdings"/>
      </w:rPr>
    </w:lvl>
    <w:lvl w:ilvl="3" w:tplc="0C090001" w:tentative="1">
      <w:start w:val="1"/>
      <w:numFmt w:val="bullet"/>
      <w:lvlText w:val=""/>
      <w:lvlJc w:val="left"/>
      <w:pPr>
        <w:ind w:left="2804" w:hanging="360"/>
      </w:pPr>
      <w:rPr>
        <w:rFonts w:hint="default" w:ascii="Symbol" w:hAnsi="Symbol"/>
      </w:rPr>
    </w:lvl>
    <w:lvl w:ilvl="4" w:tplc="0C090003" w:tentative="1">
      <w:start w:val="1"/>
      <w:numFmt w:val="bullet"/>
      <w:lvlText w:val="o"/>
      <w:lvlJc w:val="left"/>
      <w:pPr>
        <w:ind w:left="3524" w:hanging="360"/>
      </w:pPr>
      <w:rPr>
        <w:rFonts w:hint="default" w:ascii="Courier New" w:hAnsi="Courier New" w:cs="Courier New"/>
      </w:rPr>
    </w:lvl>
    <w:lvl w:ilvl="5" w:tplc="0C090005" w:tentative="1">
      <w:start w:val="1"/>
      <w:numFmt w:val="bullet"/>
      <w:lvlText w:val=""/>
      <w:lvlJc w:val="left"/>
      <w:pPr>
        <w:ind w:left="4244" w:hanging="360"/>
      </w:pPr>
      <w:rPr>
        <w:rFonts w:hint="default" w:ascii="Wingdings" w:hAnsi="Wingdings"/>
      </w:rPr>
    </w:lvl>
    <w:lvl w:ilvl="6" w:tplc="0C090001" w:tentative="1">
      <w:start w:val="1"/>
      <w:numFmt w:val="bullet"/>
      <w:lvlText w:val=""/>
      <w:lvlJc w:val="left"/>
      <w:pPr>
        <w:ind w:left="4964" w:hanging="360"/>
      </w:pPr>
      <w:rPr>
        <w:rFonts w:hint="default" w:ascii="Symbol" w:hAnsi="Symbol"/>
      </w:rPr>
    </w:lvl>
    <w:lvl w:ilvl="7" w:tplc="0C090003" w:tentative="1">
      <w:start w:val="1"/>
      <w:numFmt w:val="bullet"/>
      <w:lvlText w:val="o"/>
      <w:lvlJc w:val="left"/>
      <w:pPr>
        <w:ind w:left="5684" w:hanging="360"/>
      </w:pPr>
      <w:rPr>
        <w:rFonts w:hint="default" w:ascii="Courier New" w:hAnsi="Courier New" w:cs="Courier New"/>
      </w:rPr>
    </w:lvl>
    <w:lvl w:ilvl="8" w:tplc="0C090005" w:tentative="1">
      <w:start w:val="1"/>
      <w:numFmt w:val="bullet"/>
      <w:lvlText w:val=""/>
      <w:lvlJc w:val="left"/>
      <w:pPr>
        <w:ind w:left="6404" w:hanging="360"/>
      </w:pPr>
      <w:rPr>
        <w:rFonts w:hint="default" w:ascii="Wingdings" w:hAnsi="Wingdings"/>
      </w:rPr>
    </w:lvl>
  </w:abstractNum>
  <w:abstractNum w:abstractNumId="10" w15:restartNumberingAfterBreak="0">
    <w:nsid w:val="42D36087"/>
    <w:multiLevelType w:val="hybridMultilevel"/>
    <w:tmpl w:val="C810B6F6"/>
    <w:lvl w:ilvl="0" w:tplc="0C090001">
      <w:start w:val="1"/>
      <w:numFmt w:val="bullet"/>
      <w:lvlText w:val=""/>
      <w:lvlJc w:val="left"/>
      <w:pPr>
        <w:ind w:left="360" w:hanging="360"/>
      </w:pPr>
      <w:rPr>
        <w:rFonts w:hint="default" w:ascii="Symbol" w:hAnsi="Symbol"/>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1" w15:restartNumberingAfterBreak="0">
    <w:nsid w:val="49840471"/>
    <w:multiLevelType w:val="hybridMultilevel"/>
    <w:tmpl w:val="00E0DB8E"/>
    <w:lvl w:ilvl="0" w:tplc="8A92709C">
      <w:start w:val="1"/>
      <w:numFmt w:val="decimal"/>
      <w:lvlText w:val="%1)"/>
      <w:lvlJc w:val="left"/>
      <w:pPr>
        <w:ind w:left="1020" w:hanging="360"/>
      </w:pPr>
    </w:lvl>
    <w:lvl w:ilvl="1" w:tplc="85E05BB8">
      <w:start w:val="1"/>
      <w:numFmt w:val="decimal"/>
      <w:lvlText w:val="%2)"/>
      <w:lvlJc w:val="left"/>
      <w:pPr>
        <w:ind w:left="1020" w:hanging="360"/>
      </w:pPr>
    </w:lvl>
    <w:lvl w:ilvl="2" w:tplc="2D2C77F0">
      <w:start w:val="1"/>
      <w:numFmt w:val="decimal"/>
      <w:lvlText w:val="%3)"/>
      <w:lvlJc w:val="left"/>
      <w:pPr>
        <w:ind w:left="1020" w:hanging="360"/>
      </w:pPr>
    </w:lvl>
    <w:lvl w:ilvl="3" w:tplc="916A1AEE">
      <w:start w:val="1"/>
      <w:numFmt w:val="decimal"/>
      <w:lvlText w:val="%4)"/>
      <w:lvlJc w:val="left"/>
      <w:pPr>
        <w:ind w:left="1020" w:hanging="360"/>
      </w:pPr>
    </w:lvl>
    <w:lvl w:ilvl="4" w:tplc="737CCDC8">
      <w:start w:val="1"/>
      <w:numFmt w:val="decimal"/>
      <w:lvlText w:val="%5)"/>
      <w:lvlJc w:val="left"/>
      <w:pPr>
        <w:ind w:left="1020" w:hanging="360"/>
      </w:pPr>
    </w:lvl>
    <w:lvl w:ilvl="5" w:tplc="F87671F6">
      <w:start w:val="1"/>
      <w:numFmt w:val="decimal"/>
      <w:lvlText w:val="%6)"/>
      <w:lvlJc w:val="left"/>
      <w:pPr>
        <w:ind w:left="1020" w:hanging="360"/>
      </w:pPr>
    </w:lvl>
    <w:lvl w:ilvl="6" w:tplc="8612C0A6">
      <w:start w:val="1"/>
      <w:numFmt w:val="decimal"/>
      <w:lvlText w:val="%7)"/>
      <w:lvlJc w:val="left"/>
      <w:pPr>
        <w:ind w:left="1020" w:hanging="360"/>
      </w:pPr>
    </w:lvl>
    <w:lvl w:ilvl="7" w:tplc="510CD35A">
      <w:start w:val="1"/>
      <w:numFmt w:val="decimal"/>
      <w:lvlText w:val="%8)"/>
      <w:lvlJc w:val="left"/>
      <w:pPr>
        <w:ind w:left="1020" w:hanging="360"/>
      </w:pPr>
    </w:lvl>
    <w:lvl w:ilvl="8" w:tplc="A20072DE">
      <w:start w:val="1"/>
      <w:numFmt w:val="decimal"/>
      <w:lvlText w:val="%9)"/>
      <w:lvlJc w:val="left"/>
      <w:pPr>
        <w:ind w:left="1020" w:hanging="360"/>
      </w:pPr>
    </w:lvl>
  </w:abstractNum>
  <w:abstractNum w:abstractNumId="12" w15:restartNumberingAfterBreak="0">
    <w:nsid w:val="4B3C0A8C"/>
    <w:multiLevelType w:val="hybridMultilevel"/>
    <w:tmpl w:val="814232B6"/>
    <w:lvl w:ilvl="0" w:tplc="F1B2C430">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9196E27"/>
    <w:multiLevelType w:val="hybridMultilevel"/>
    <w:tmpl w:val="9628125A"/>
    <w:lvl w:ilvl="0" w:tplc="838E6B1A">
      <w:start w:val="1"/>
      <w:numFmt w:val="decimal"/>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9B65D28"/>
    <w:multiLevelType w:val="hybridMultilevel"/>
    <w:tmpl w:val="BDDE9698"/>
    <w:lvl w:ilvl="0" w:tplc="0C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Symbol" w:hAnsi="Symbol"/>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6BE2A3C0"/>
    <w:multiLevelType w:val="hybridMultilevel"/>
    <w:tmpl w:val="84621AE8"/>
    <w:lvl w:ilvl="0" w:tplc="B4048784">
      <w:start w:val="1"/>
      <w:numFmt w:val="bullet"/>
      <w:lvlText w:val=""/>
      <w:lvlJc w:val="left"/>
      <w:pPr>
        <w:ind w:left="720" w:hanging="360"/>
      </w:pPr>
      <w:rPr>
        <w:rFonts w:hint="default" w:ascii="Symbol" w:hAnsi="Symbol"/>
      </w:rPr>
    </w:lvl>
    <w:lvl w:ilvl="1" w:tplc="51C8D1D8">
      <w:start w:val="1"/>
      <w:numFmt w:val="bullet"/>
      <w:lvlText w:val="o"/>
      <w:lvlJc w:val="left"/>
      <w:pPr>
        <w:ind w:left="1440" w:hanging="360"/>
      </w:pPr>
      <w:rPr>
        <w:rFonts w:hint="default" w:ascii="Symbol" w:hAnsi="Symbol"/>
      </w:rPr>
    </w:lvl>
    <w:lvl w:ilvl="2" w:tplc="0658ABE2">
      <w:start w:val="1"/>
      <w:numFmt w:val="bullet"/>
      <w:lvlText w:val=""/>
      <w:lvlJc w:val="left"/>
      <w:pPr>
        <w:ind w:left="2160" w:hanging="360"/>
      </w:pPr>
      <w:rPr>
        <w:rFonts w:hint="default" w:ascii="Wingdings" w:hAnsi="Wingdings"/>
      </w:rPr>
    </w:lvl>
    <w:lvl w:ilvl="3" w:tplc="8C52BDA6">
      <w:start w:val="1"/>
      <w:numFmt w:val="bullet"/>
      <w:lvlText w:val=""/>
      <w:lvlJc w:val="left"/>
      <w:pPr>
        <w:ind w:left="2880" w:hanging="360"/>
      </w:pPr>
      <w:rPr>
        <w:rFonts w:hint="default" w:ascii="Symbol" w:hAnsi="Symbol"/>
      </w:rPr>
    </w:lvl>
    <w:lvl w:ilvl="4" w:tplc="1B760392">
      <w:start w:val="1"/>
      <w:numFmt w:val="bullet"/>
      <w:lvlText w:val="o"/>
      <w:lvlJc w:val="left"/>
      <w:pPr>
        <w:ind w:left="3600" w:hanging="360"/>
      </w:pPr>
      <w:rPr>
        <w:rFonts w:hint="default" w:ascii="Courier New" w:hAnsi="Courier New"/>
      </w:rPr>
    </w:lvl>
    <w:lvl w:ilvl="5" w:tplc="4E50A3D8">
      <w:start w:val="1"/>
      <w:numFmt w:val="bullet"/>
      <w:lvlText w:val=""/>
      <w:lvlJc w:val="left"/>
      <w:pPr>
        <w:ind w:left="4320" w:hanging="360"/>
      </w:pPr>
      <w:rPr>
        <w:rFonts w:hint="default" w:ascii="Wingdings" w:hAnsi="Wingdings"/>
      </w:rPr>
    </w:lvl>
    <w:lvl w:ilvl="6" w:tplc="21065CE4">
      <w:start w:val="1"/>
      <w:numFmt w:val="bullet"/>
      <w:lvlText w:val=""/>
      <w:lvlJc w:val="left"/>
      <w:pPr>
        <w:ind w:left="5040" w:hanging="360"/>
      </w:pPr>
      <w:rPr>
        <w:rFonts w:hint="default" w:ascii="Symbol" w:hAnsi="Symbol"/>
      </w:rPr>
    </w:lvl>
    <w:lvl w:ilvl="7" w:tplc="2F22A5BE">
      <w:start w:val="1"/>
      <w:numFmt w:val="bullet"/>
      <w:lvlText w:val="o"/>
      <w:lvlJc w:val="left"/>
      <w:pPr>
        <w:ind w:left="5760" w:hanging="360"/>
      </w:pPr>
      <w:rPr>
        <w:rFonts w:hint="default" w:ascii="Courier New" w:hAnsi="Courier New"/>
      </w:rPr>
    </w:lvl>
    <w:lvl w:ilvl="8" w:tplc="FB72F7D2">
      <w:start w:val="1"/>
      <w:numFmt w:val="bullet"/>
      <w:lvlText w:val=""/>
      <w:lvlJc w:val="left"/>
      <w:pPr>
        <w:ind w:left="6480" w:hanging="360"/>
      </w:pPr>
      <w:rPr>
        <w:rFonts w:hint="default" w:ascii="Wingdings" w:hAnsi="Wingdings"/>
      </w:rPr>
    </w:lvl>
  </w:abstractNum>
  <w:abstractNum w:abstractNumId="16" w15:restartNumberingAfterBreak="0">
    <w:nsid w:val="719B10DA"/>
    <w:multiLevelType w:val="hybridMultilevel"/>
    <w:tmpl w:val="75EE8AF4"/>
    <w:lvl w:ilvl="0" w:tplc="0C090003">
      <w:start w:val="1"/>
      <w:numFmt w:val="bullet"/>
      <w:lvlText w:val="o"/>
      <w:lvlJc w:val="left"/>
      <w:pPr>
        <w:ind w:left="1440" w:hanging="360"/>
      </w:pPr>
      <w:rPr>
        <w:rFonts w:hint="default" w:ascii="Courier New" w:hAnsi="Courier New" w:cs="Courier New"/>
      </w:rPr>
    </w:lvl>
    <w:lvl w:ilvl="1" w:tplc="0C090003" w:tentative="1">
      <w:start w:val="1"/>
      <w:numFmt w:val="bullet"/>
      <w:lvlText w:val="o"/>
      <w:lvlJc w:val="left"/>
      <w:pPr>
        <w:ind w:left="2160" w:hanging="360"/>
      </w:pPr>
      <w:rPr>
        <w:rFonts w:hint="default" w:ascii="Courier New" w:hAnsi="Courier New" w:cs="Courier New"/>
      </w:rPr>
    </w:lvl>
    <w:lvl w:ilvl="2" w:tplc="0C090005" w:tentative="1">
      <w:start w:val="1"/>
      <w:numFmt w:val="bullet"/>
      <w:lvlText w:val=""/>
      <w:lvlJc w:val="left"/>
      <w:pPr>
        <w:ind w:left="2880" w:hanging="360"/>
      </w:pPr>
      <w:rPr>
        <w:rFonts w:hint="default" w:ascii="Wingdings" w:hAnsi="Wingdings"/>
      </w:rPr>
    </w:lvl>
    <w:lvl w:ilvl="3" w:tplc="0C090001" w:tentative="1">
      <w:start w:val="1"/>
      <w:numFmt w:val="bullet"/>
      <w:lvlText w:val=""/>
      <w:lvlJc w:val="left"/>
      <w:pPr>
        <w:ind w:left="3600" w:hanging="360"/>
      </w:pPr>
      <w:rPr>
        <w:rFonts w:hint="default" w:ascii="Symbol" w:hAnsi="Symbol"/>
      </w:rPr>
    </w:lvl>
    <w:lvl w:ilvl="4" w:tplc="0C090003" w:tentative="1">
      <w:start w:val="1"/>
      <w:numFmt w:val="bullet"/>
      <w:lvlText w:val="o"/>
      <w:lvlJc w:val="left"/>
      <w:pPr>
        <w:ind w:left="4320" w:hanging="360"/>
      </w:pPr>
      <w:rPr>
        <w:rFonts w:hint="default" w:ascii="Courier New" w:hAnsi="Courier New" w:cs="Courier New"/>
      </w:rPr>
    </w:lvl>
    <w:lvl w:ilvl="5" w:tplc="0C090005" w:tentative="1">
      <w:start w:val="1"/>
      <w:numFmt w:val="bullet"/>
      <w:lvlText w:val=""/>
      <w:lvlJc w:val="left"/>
      <w:pPr>
        <w:ind w:left="5040" w:hanging="360"/>
      </w:pPr>
      <w:rPr>
        <w:rFonts w:hint="default" w:ascii="Wingdings" w:hAnsi="Wingdings"/>
      </w:rPr>
    </w:lvl>
    <w:lvl w:ilvl="6" w:tplc="0C090001" w:tentative="1">
      <w:start w:val="1"/>
      <w:numFmt w:val="bullet"/>
      <w:lvlText w:val=""/>
      <w:lvlJc w:val="left"/>
      <w:pPr>
        <w:ind w:left="5760" w:hanging="360"/>
      </w:pPr>
      <w:rPr>
        <w:rFonts w:hint="default" w:ascii="Symbol" w:hAnsi="Symbol"/>
      </w:rPr>
    </w:lvl>
    <w:lvl w:ilvl="7" w:tplc="0C090003" w:tentative="1">
      <w:start w:val="1"/>
      <w:numFmt w:val="bullet"/>
      <w:lvlText w:val="o"/>
      <w:lvlJc w:val="left"/>
      <w:pPr>
        <w:ind w:left="6480" w:hanging="360"/>
      </w:pPr>
      <w:rPr>
        <w:rFonts w:hint="default" w:ascii="Courier New" w:hAnsi="Courier New" w:cs="Courier New"/>
      </w:rPr>
    </w:lvl>
    <w:lvl w:ilvl="8" w:tplc="0C090005" w:tentative="1">
      <w:start w:val="1"/>
      <w:numFmt w:val="bullet"/>
      <w:lvlText w:val=""/>
      <w:lvlJc w:val="left"/>
      <w:pPr>
        <w:ind w:left="7200" w:hanging="360"/>
      </w:pPr>
      <w:rPr>
        <w:rFonts w:hint="default" w:ascii="Wingdings" w:hAnsi="Wingdings"/>
      </w:rPr>
    </w:lvl>
  </w:abstractNum>
  <w:abstractNum w:abstractNumId="17" w15:restartNumberingAfterBreak="0">
    <w:nsid w:val="72A14F37"/>
    <w:multiLevelType w:val="hybridMultilevel"/>
    <w:tmpl w:val="5FBAF47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8" w15:restartNumberingAfterBreak="0">
    <w:nsid w:val="76107D5E"/>
    <w:multiLevelType w:val="hybridMultilevel"/>
    <w:tmpl w:val="141AA928"/>
    <w:lvl w:ilvl="0" w:tplc="F3689A50">
      <w:start w:val="1"/>
      <w:numFmt w:val="bullet"/>
      <w:lvlText w:val=""/>
      <w:lvlJc w:val="left"/>
      <w:pPr>
        <w:ind w:left="720" w:hanging="360"/>
      </w:pPr>
      <w:rPr>
        <w:rFonts w:hint="default" w:ascii="Symbol" w:hAnsi="Symbol"/>
      </w:rPr>
    </w:lvl>
    <w:lvl w:ilvl="1" w:tplc="87488068">
      <w:start w:val="1"/>
      <w:numFmt w:val="bullet"/>
      <w:lvlText w:val="o"/>
      <w:lvlJc w:val="left"/>
      <w:pPr>
        <w:ind w:left="1440" w:hanging="360"/>
      </w:pPr>
      <w:rPr>
        <w:rFonts w:hint="default" w:ascii="Courier New" w:hAnsi="Courier New"/>
      </w:rPr>
    </w:lvl>
    <w:lvl w:ilvl="2" w:tplc="94F0416E">
      <w:start w:val="1"/>
      <w:numFmt w:val="bullet"/>
      <w:lvlText w:val=""/>
      <w:lvlJc w:val="left"/>
      <w:pPr>
        <w:ind w:left="2160" w:hanging="360"/>
      </w:pPr>
      <w:rPr>
        <w:rFonts w:hint="default" w:ascii="Wingdings" w:hAnsi="Wingdings"/>
      </w:rPr>
    </w:lvl>
    <w:lvl w:ilvl="3" w:tplc="778EE42E">
      <w:start w:val="1"/>
      <w:numFmt w:val="bullet"/>
      <w:lvlText w:val=""/>
      <w:lvlJc w:val="left"/>
      <w:pPr>
        <w:ind w:left="2880" w:hanging="360"/>
      </w:pPr>
      <w:rPr>
        <w:rFonts w:hint="default" w:ascii="Symbol" w:hAnsi="Symbol"/>
      </w:rPr>
    </w:lvl>
    <w:lvl w:ilvl="4" w:tplc="3F6A4CD4">
      <w:start w:val="1"/>
      <w:numFmt w:val="bullet"/>
      <w:lvlText w:val="o"/>
      <w:lvlJc w:val="left"/>
      <w:pPr>
        <w:ind w:left="3600" w:hanging="360"/>
      </w:pPr>
      <w:rPr>
        <w:rFonts w:hint="default" w:ascii="Courier New" w:hAnsi="Courier New"/>
      </w:rPr>
    </w:lvl>
    <w:lvl w:ilvl="5" w:tplc="CC3A7400">
      <w:start w:val="1"/>
      <w:numFmt w:val="bullet"/>
      <w:lvlText w:val=""/>
      <w:lvlJc w:val="left"/>
      <w:pPr>
        <w:ind w:left="4320" w:hanging="360"/>
      </w:pPr>
      <w:rPr>
        <w:rFonts w:hint="default" w:ascii="Wingdings" w:hAnsi="Wingdings"/>
      </w:rPr>
    </w:lvl>
    <w:lvl w:ilvl="6" w:tplc="9DE0449C">
      <w:start w:val="1"/>
      <w:numFmt w:val="bullet"/>
      <w:lvlText w:val=""/>
      <w:lvlJc w:val="left"/>
      <w:pPr>
        <w:ind w:left="5040" w:hanging="360"/>
      </w:pPr>
      <w:rPr>
        <w:rFonts w:hint="default" w:ascii="Symbol" w:hAnsi="Symbol"/>
      </w:rPr>
    </w:lvl>
    <w:lvl w:ilvl="7" w:tplc="8D3495E6">
      <w:start w:val="1"/>
      <w:numFmt w:val="bullet"/>
      <w:lvlText w:val="o"/>
      <w:lvlJc w:val="left"/>
      <w:pPr>
        <w:ind w:left="5760" w:hanging="360"/>
      </w:pPr>
      <w:rPr>
        <w:rFonts w:hint="default" w:ascii="Courier New" w:hAnsi="Courier New"/>
      </w:rPr>
    </w:lvl>
    <w:lvl w:ilvl="8" w:tplc="1DD61B78">
      <w:start w:val="1"/>
      <w:numFmt w:val="bullet"/>
      <w:lvlText w:val=""/>
      <w:lvlJc w:val="left"/>
      <w:pPr>
        <w:ind w:left="6480" w:hanging="360"/>
      </w:pPr>
      <w:rPr>
        <w:rFonts w:hint="default" w:ascii="Wingdings" w:hAnsi="Wingdings"/>
      </w:rPr>
    </w:lvl>
  </w:abstractNum>
  <w:abstractNum w:abstractNumId="19" w15:restartNumberingAfterBreak="0">
    <w:nsid w:val="7B5B15A9"/>
    <w:multiLevelType w:val="hybridMultilevel"/>
    <w:tmpl w:val="3CAC0C8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1956054533">
    <w:abstractNumId w:val="15"/>
  </w:num>
  <w:num w:numId="2" w16cid:durableId="830297858">
    <w:abstractNumId w:val="18"/>
  </w:num>
  <w:num w:numId="3" w16cid:durableId="1649900490">
    <w:abstractNumId w:val="9"/>
  </w:num>
  <w:num w:numId="4" w16cid:durableId="372970880">
    <w:abstractNumId w:val="5"/>
  </w:num>
  <w:num w:numId="5" w16cid:durableId="89472665">
    <w:abstractNumId w:val="10"/>
  </w:num>
  <w:num w:numId="6" w16cid:durableId="966592232">
    <w:abstractNumId w:val="2"/>
  </w:num>
  <w:num w:numId="7" w16cid:durableId="249125203">
    <w:abstractNumId w:val="11"/>
  </w:num>
  <w:num w:numId="8" w16cid:durableId="1641223627">
    <w:abstractNumId w:val="12"/>
  </w:num>
  <w:num w:numId="9" w16cid:durableId="441996607">
    <w:abstractNumId w:val="1"/>
  </w:num>
  <w:num w:numId="10" w16cid:durableId="1635215820">
    <w:abstractNumId w:val="0"/>
  </w:num>
  <w:num w:numId="11" w16cid:durableId="367919711">
    <w:abstractNumId w:val="4"/>
  </w:num>
  <w:num w:numId="12" w16cid:durableId="176312586">
    <w:abstractNumId w:val="6"/>
  </w:num>
  <w:num w:numId="13" w16cid:durableId="616182331">
    <w:abstractNumId w:val="8"/>
  </w:num>
  <w:num w:numId="14" w16cid:durableId="1073963684">
    <w:abstractNumId w:val="19"/>
  </w:num>
  <w:num w:numId="15" w16cid:durableId="680936036">
    <w:abstractNumId w:val="7"/>
  </w:num>
  <w:num w:numId="16" w16cid:durableId="1813518390">
    <w:abstractNumId w:val="13"/>
  </w:num>
  <w:num w:numId="17" w16cid:durableId="682366681">
    <w:abstractNumId w:val="3"/>
  </w:num>
  <w:num w:numId="18" w16cid:durableId="488790257">
    <w:abstractNumId w:val="14"/>
  </w:num>
  <w:num w:numId="19" w16cid:durableId="1161232986">
    <w:abstractNumId w:val="17"/>
  </w:num>
  <w:num w:numId="20" w16cid:durableId="721445867">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76"/>
    <w:rsid w:val="0000086C"/>
    <w:rsid w:val="000040F6"/>
    <w:rsid w:val="00007507"/>
    <w:rsid w:val="00007BB4"/>
    <w:rsid w:val="00014374"/>
    <w:rsid w:val="00020BDC"/>
    <w:rsid w:val="000217D2"/>
    <w:rsid w:val="0002408F"/>
    <w:rsid w:val="000242B6"/>
    <w:rsid w:val="000251E8"/>
    <w:rsid w:val="000268D2"/>
    <w:rsid w:val="00031ED9"/>
    <w:rsid w:val="000327BA"/>
    <w:rsid w:val="00032DD7"/>
    <w:rsid w:val="00033591"/>
    <w:rsid w:val="00036E7C"/>
    <w:rsid w:val="00040753"/>
    <w:rsid w:val="000423C7"/>
    <w:rsid w:val="00042D14"/>
    <w:rsid w:val="0004504F"/>
    <w:rsid w:val="00045D86"/>
    <w:rsid w:val="00061041"/>
    <w:rsid w:val="0006324F"/>
    <w:rsid w:val="0007376D"/>
    <w:rsid w:val="00074626"/>
    <w:rsid w:val="00076895"/>
    <w:rsid w:val="0008362E"/>
    <w:rsid w:val="00092E34"/>
    <w:rsid w:val="00093962"/>
    <w:rsid w:val="00093F00"/>
    <w:rsid w:val="000A22FC"/>
    <w:rsid w:val="000A4465"/>
    <w:rsid w:val="000B0EF6"/>
    <w:rsid w:val="000B5662"/>
    <w:rsid w:val="000B7C09"/>
    <w:rsid w:val="000C3E0E"/>
    <w:rsid w:val="000C4ACB"/>
    <w:rsid w:val="000C7AD5"/>
    <w:rsid w:val="000C7B5E"/>
    <w:rsid w:val="000D0DBF"/>
    <w:rsid w:val="000D3AEF"/>
    <w:rsid w:val="000D7ED7"/>
    <w:rsid w:val="000F1615"/>
    <w:rsid w:val="000F29C0"/>
    <w:rsid w:val="000F46D1"/>
    <w:rsid w:val="000F5D99"/>
    <w:rsid w:val="000F60E3"/>
    <w:rsid w:val="00101CC9"/>
    <w:rsid w:val="00101D0F"/>
    <w:rsid w:val="0011399B"/>
    <w:rsid w:val="0012517B"/>
    <w:rsid w:val="001301A2"/>
    <w:rsid w:val="0013072F"/>
    <w:rsid w:val="001315D8"/>
    <w:rsid w:val="00135B6D"/>
    <w:rsid w:val="00136979"/>
    <w:rsid w:val="00137191"/>
    <w:rsid w:val="0014067D"/>
    <w:rsid w:val="0014246C"/>
    <w:rsid w:val="001441FF"/>
    <w:rsid w:val="0015009C"/>
    <w:rsid w:val="00150188"/>
    <w:rsid w:val="00155E10"/>
    <w:rsid w:val="00157B86"/>
    <w:rsid w:val="0016711D"/>
    <w:rsid w:val="00171C76"/>
    <w:rsid w:val="0017488E"/>
    <w:rsid w:val="001909B7"/>
    <w:rsid w:val="001918AF"/>
    <w:rsid w:val="00193871"/>
    <w:rsid w:val="00193971"/>
    <w:rsid w:val="001A1E7A"/>
    <w:rsid w:val="001A23C0"/>
    <w:rsid w:val="001A6003"/>
    <w:rsid w:val="001A626C"/>
    <w:rsid w:val="001B02F9"/>
    <w:rsid w:val="001B12AE"/>
    <w:rsid w:val="001B175C"/>
    <w:rsid w:val="001C2034"/>
    <w:rsid w:val="001C54C8"/>
    <w:rsid w:val="001C635E"/>
    <w:rsid w:val="001D1949"/>
    <w:rsid w:val="001D1C34"/>
    <w:rsid w:val="001D33D8"/>
    <w:rsid w:val="001D53EB"/>
    <w:rsid w:val="001E145E"/>
    <w:rsid w:val="001E31C5"/>
    <w:rsid w:val="001E33CC"/>
    <w:rsid w:val="001E3EB2"/>
    <w:rsid w:val="001E4E25"/>
    <w:rsid w:val="001E7D27"/>
    <w:rsid w:val="001F60AE"/>
    <w:rsid w:val="001F6DC8"/>
    <w:rsid w:val="00201AB0"/>
    <w:rsid w:val="00206EBF"/>
    <w:rsid w:val="00213177"/>
    <w:rsid w:val="00215F1A"/>
    <w:rsid w:val="00216D13"/>
    <w:rsid w:val="00224542"/>
    <w:rsid w:val="002272DC"/>
    <w:rsid w:val="00235D85"/>
    <w:rsid w:val="002364D0"/>
    <w:rsid w:val="002407B6"/>
    <w:rsid w:val="002421CA"/>
    <w:rsid w:val="00245D42"/>
    <w:rsid w:val="00247582"/>
    <w:rsid w:val="00250B85"/>
    <w:rsid w:val="00250F78"/>
    <w:rsid w:val="00250FCA"/>
    <w:rsid w:val="0025692D"/>
    <w:rsid w:val="002577EA"/>
    <w:rsid w:val="002661A2"/>
    <w:rsid w:val="0028035E"/>
    <w:rsid w:val="00286E80"/>
    <w:rsid w:val="002872A3"/>
    <w:rsid w:val="00294FD4"/>
    <w:rsid w:val="00295879"/>
    <w:rsid w:val="00295BB3"/>
    <w:rsid w:val="00296120"/>
    <w:rsid w:val="002A0E56"/>
    <w:rsid w:val="002A623F"/>
    <w:rsid w:val="002B2AE1"/>
    <w:rsid w:val="002B5122"/>
    <w:rsid w:val="002C133C"/>
    <w:rsid w:val="002C20D0"/>
    <w:rsid w:val="002C24A9"/>
    <w:rsid w:val="002C5907"/>
    <w:rsid w:val="002C6E90"/>
    <w:rsid w:val="002D0C40"/>
    <w:rsid w:val="002D2B43"/>
    <w:rsid w:val="002E2AF7"/>
    <w:rsid w:val="002E5C3A"/>
    <w:rsid w:val="002E6250"/>
    <w:rsid w:val="002E6F5A"/>
    <w:rsid w:val="002E7A3D"/>
    <w:rsid w:val="002F2996"/>
    <w:rsid w:val="002F5F14"/>
    <w:rsid w:val="002F5F3D"/>
    <w:rsid w:val="002F6B41"/>
    <w:rsid w:val="003001D7"/>
    <w:rsid w:val="0030085F"/>
    <w:rsid w:val="003102A0"/>
    <w:rsid w:val="00310869"/>
    <w:rsid w:val="0031088C"/>
    <w:rsid w:val="00311D36"/>
    <w:rsid w:val="00316F2F"/>
    <w:rsid w:val="003175F1"/>
    <w:rsid w:val="003228D5"/>
    <w:rsid w:val="00324F9A"/>
    <w:rsid w:val="00332B73"/>
    <w:rsid w:val="00334870"/>
    <w:rsid w:val="0033528A"/>
    <w:rsid w:val="0033664B"/>
    <w:rsid w:val="00336B8E"/>
    <w:rsid w:val="00340CB0"/>
    <w:rsid w:val="00340E0C"/>
    <w:rsid w:val="00342FA0"/>
    <w:rsid w:val="00343213"/>
    <w:rsid w:val="00344B65"/>
    <w:rsid w:val="00350189"/>
    <w:rsid w:val="003556EA"/>
    <w:rsid w:val="00357E3E"/>
    <w:rsid w:val="00360B9D"/>
    <w:rsid w:val="00362DA5"/>
    <w:rsid w:val="00367598"/>
    <w:rsid w:val="00374140"/>
    <w:rsid w:val="00380372"/>
    <w:rsid w:val="00382CCC"/>
    <w:rsid w:val="0038462A"/>
    <w:rsid w:val="003927CD"/>
    <w:rsid w:val="003A5AB9"/>
    <w:rsid w:val="003A77F8"/>
    <w:rsid w:val="003B5BD9"/>
    <w:rsid w:val="003D0143"/>
    <w:rsid w:val="003D18EC"/>
    <w:rsid w:val="003D7B8E"/>
    <w:rsid w:val="003E045B"/>
    <w:rsid w:val="003E3F20"/>
    <w:rsid w:val="003E550F"/>
    <w:rsid w:val="003F0199"/>
    <w:rsid w:val="003F1AEC"/>
    <w:rsid w:val="003F2257"/>
    <w:rsid w:val="003F2278"/>
    <w:rsid w:val="003F58A5"/>
    <w:rsid w:val="003F622E"/>
    <w:rsid w:val="004000D2"/>
    <w:rsid w:val="00401123"/>
    <w:rsid w:val="0040672B"/>
    <w:rsid w:val="004069CD"/>
    <w:rsid w:val="00407AB5"/>
    <w:rsid w:val="00411DF4"/>
    <w:rsid w:val="0041224C"/>
    <w:rsid w:val="0041388B"/>
    <w:rsid w:val="00416866"/>
    <w:rsid w:val="00417185"/>
    <w:rsid w:val="00422875"/>
    <w:rsid w:val="004242B8"/>
    <w:rsid w:val="00425E23"/>
    <w:rsid w:val="00426C54"/>
    <w:rsid w:val="00430BE4"/>
    <w:rsid w:val="00433B61"/>
    <w:rsid w:val="00441FDD"/>
    <w:rsid w:val="004423CE"/>
    <w:rsid w:val="004515B7"/>
    <w:rsid w:val="00454678"/>
    <w:rsid w:val="004574FB"/>
    <w:rsid w:val="00457834"/>
    <w:rsid w:val="00462B12"/>
    <w:rsid w:val="0047483E"/>
    <w:rsid w:val="00474FB0"/>
    <w:rsid w:val="004824E4"/>
    <w:rsid w:val="00482FB7"/>
    <w:rsid w:val="00483DF4"/>
    <w:rsid w:val="00485F3F"/>
    <w:rsid w:val="00491AAA"/>
    <w:rsid w:val="004920F1"/>
    <w:rsid w:val="0049402C"/>
    <w:rsid w:val="004A04EF"/>
    <w:rsid w:val="004A4E92"/>
    <w:rsid w:val="004A6FAB"/>
    <w:rsid w:val="004B14E7"/>
    <w:rsid w:val="004B4C55"/>
    <w:rsid w:val="004B5183"/>
    <w:rsid w:val="004B5434"/>
    <w:rsid w:val="004C1254"/>
    <w:rsid w:val="004C7DA2"/>
    <w:rsid w:val="004D14A6"/>
    <w:rsid w:val="004D5EE8"/>
    <w:rsid w:val="004F7C9E"/>
    <w:rsid w:val="00502FC1"/>
    <w:rsid w:val="0050500C"/>
    <w:rsid w:val="00507257"/>
    <w:rsid w:val="00512AF6"/>
    <w:rsid w:val="00512CA4"/>
    <w:rsid w:val="00514152"/>
    <w:rsid w:val="0051720F"/>
    <w:rsid w:val="005235C8"/>
    <w:rsid w:val="00524320"/>
    <w:rsid w:val="00525FCF"/>
    <w:rsid w:val="0053655A"/>
    <w:rsid w:val="00540E19"/>
    <w:rsid w:val="00546BD0"/>
    <w:rsid w:val="00550497"/>
    <w:rsid w:val="005513B3"/>
    <w:rsid w:val="00553F5F"/>
    <w:rsid w:val="005545A8"/>
    <w:rsid w:val="00556520"/>
    <w:rsid w:val="005579BD"/>
    <w:rsid w:val="00560885"/>
    <w:rsid w:val="005648F4"/>
    <w:rsid w:val="005650F0"/>
    <w:rsid w:val="005658F0"/>
    <w:rsid w:val="00567640"/>
    <w:rsid w:val="00572530"/>
    <w:rsid w:val="005759F8"/>
    <w:rsid w:val="0057666E"/>
    <w:rsid w:val="00577B24"/>
    <w:rsid w:val="005805E7"/>
    <w:rsid w:val="00583FB9"/>
    <w:rsid w:val="0059039A"/>
    <w:rsid w:val="005946E3"/>
    <w:rsid w:val="00596963"/>
    <w:rsid w:val="005A0C6B"/>
    <w:rsid w:val="005A599E"/>
    <w:rsid w:val="005B00A0"/>
    <w:rsid w:val="005B3E4D"/>
    <w:rsid w:val="005C17FD"/>
    <w:rsid w:val="005C29B1"/>
    <w:rsid w:val="005C3491"/>
    <w:rsid w:val="005C3ACA"/>
    <w:rsid w:val="005C3E36"/>
    <w:rsid w:val="005C6469"/>
    <w:rsid w:val="005D2BF6"/>
    <w:rsid w:val="005E1D5A"/>
    <w:rsid w:val="005E23E8"/>
    <w:rsid w:val="005F0BE2"/>
    <w:rsid w:val="00600D54"/>
    <w:rsid w:val="00603BEA"/>
    <w:rsid w:val="00604A1E"/>
    <w:rsid w:val="0060750E"/>
    <w:rsid w:val="00613350"/>
    <w:rsid w:val="0062482D"/>
    <w:rsid w:val="00624E66"/>
    <w:rsid w:val="00626B32"/>
    <w:rsid w:val="00634EDF"/>
    <w:rsid w:val="00643D99"/>
    <w:rsid w:val="006446F5"/>
    <w:rsid w:val="00644E33"/>
    <w:rsid w:val="00647F10"/>
    <w:rsid w:val="00653495"/>
    <w:rsid w:val="00657E15"/>
    <w:rsid w:val="0066157B"/>
    <w:rsid w:val="00681D92"/>
    <w:rsid w:val="00683148"/>
    <w:rsid w:val="00684CBA"/>
    <w:rsid w:val="00687D5E"/>
    <w:rsid w:val="00692BD6"/>
    <w:rsid w:val="00695927"/>
    <w:rsid w:val="00695AE1"/>
    <w:rsid w:val="006960F8"/>
    <w:rsid w:val="00696C15"/>
    <w:rsid w:val="006C589A"/>
    <w:rsid w:val="006C67BE"/>
    <w:rsid w:val="006D3EF1"/>
    <w:rsid w:val="006E1FEC"/>
    <w:rsid w:val="006E4874"/>
    <w:rsid w:val="006F0571"/>
    <w:rsid w:val="006F204B"/>
    <w:rsid w:val="006F21A8"/>
    <w:rsid w:val="00701FE2"/>
    <w:rsid w:val="00703213"/>
    <w:rsid w:val="00705845"/>
    <w:rsid w:val="007069CF"/>
    <w:rsid w:val="00710D59"/>
    <w:rsid w:val="007124DD"/>
    <w:rsid w:val="00713837"/>
    <w:rsid w:val="00713E0E"/>
    <w:rsid w:val="00715125"/>
    <w:rsid w:val="007165A2"/>
    <w:rsid w:val="00720289"/>
    <w:rsid w:val="00720C16"/>
    <w:rsid w:val="00721D5F"/>
    <w:rsid w:val="00740D79"/>
    <w:rsid w:val="0074113B"/>
    <w:rsid w:val="00746E2E"/>
    <w:rsid w:val="00747573"/>
    <w:rsid w:val="007513A7"/>
    <w:rsid w:val="00751A7A"/>
    <w:rsid w:val="00752E75"/>
    <w:rsid w:val="00755CCD"/>
    <w:rsid w:val="00757582"/>
    <w:rsid w:val="00761A1D"/>
    <w:rsid w:val="007705C8"/>
    <w:rsid w:val="00773CF6"/>
    <w:rsid w:val="0077445D"/>
    <w:rsid w:val="00780633"/>
    <w:rsid w:val="00784061"/>
    <w:rsid w:val="00785303"/>
    <w:rsid w:val="007860CC"/>
    <w:rsid w:val="00786A5B"/>
    <w:rsid w:val="00786B07"/>
    <w:rsid w:val="007870D2"/>
    <w:rsid w:val="007934DA"/>
    <w:rsid w:val="007A3B07"/>
    <w:rsid w:val="007A5663"/>
    <w:rsid w:val="007A5854"/>
    <w:rsid w:val="007B46F2"/>
    <w:rsid w:val="007B4BE6"/>
    <w:rsid w:val="007B55F2"/>
    <w:rsid w:val="007B68B3"/>
    <w:rsid w:val="007C00C5"/>
    <w:rsid w:val="007C090D"/>
    <w:rsid w:val="007C287C"/>
    <w:rsid w:val="007C4FD8"/>
    <w:rsid w:val="007D42A1"/>
    <w:rsid w:val="007D799B"/>
    <w:rsid w:val="007F03BE"/>
    <w:rsid w:val="007F12F3"/>
    <w:rsid w:val="007F3871"/>
    <w:rsid w:val="007F547D"/>
    <w:rsid w:val="007F788A"/>
    <w:rsid w:val="00800A18"/>
    <w:rsid w:val="00802272"/>
    <w:rsid w:val="008070EC"/>
    <w:rsid w:val="00810F64"/>
    <w:rsid w:val="008161F1"/>
    <w:rsid w:val="00816CD7"/>
    <w:rsid w:val="00823E72"/>
    <w:rsid w:val="00826FBE"/>
    <w:rsid w:val="00830DC5"/>
    <w:rsid w:val="00841E0B"/>
    <w:rsid w:val="00841F85"/>
    <w:rsid w:val="0084437E"/>
    <w:rsid w:val="0084483A"/>
    <w:rsid w:val="00847489"/>
    <w:rsid w:val="00851BE6"/>
    <w:rsid w:val="00854156"/>
    <w:rsid w:val="00855A3B"/>
    <w:rsid w:val="0086083B"/>
    <w:rsid w:val="00863B3B"/>
    <w:rsid w:val="00874BE1"/>
    <w:rsid w:val="00875285"/>
    <w:rsid w:val="008819EA"/>
    <w:rsid w:val="00882AD5"/>
    <w:rsid w:val="00885DC4"/>
    <w:rsid w:val="0088699C"/>
    <w:rsid w:val="0089129C"/>
    <w:rsid w:val="008920F6"/>
    <w:rsid w:val="00894712"/>
    <w:rsid w:val="008A39CC"/>
    <w:rsid w:val="008A4FA1"/>
    <w:rsid w:val="008A69FF"/>
    <w:rsid w:val="008B1327"/>
    <w:rsid w:val="008B39F2"/>
    <w:rsid w:val="008B455C"/>
    <w:rsid w:val="008B5039"/>
    <w:rsid w:val="008C33C7"/>
    <w:rsid w:val="008C3B1D"/>
    <w:rsid w:val="008D0FDB"/>
    <w:rsid w:val="008D7E34"/>
    <w:rsid w:val="008E0968"/>
    <w:rsid w:val="008E41B7"/>
    <w:rsid w:val="008F1DB4"/>
    <w:rsid w:val="008F5C26"/>
    <w:rsid w:val="008F7339"/>
    <w:rsid w:val="008F74FC"/>
    <w:rsid w:val="00900A32"/>
    <w:rsid w:val="009049FC"/>
    <w:rsid w:val="00906075"/>
    <w:rsid w:val="00910443"/>
    <w:rsid w:val="00912FE1"/>
    <w:rsid w:val="009136A5"/>
    <w:rsid w:val="00926D92"/>
    <w:rsid w:val="00935D47"/>
    <w:rsid w:val="0094256C"/>
    <w:rsid w:val="00950D16"/>
    <w:rsid w:val="009517B1"/>
    <w:rsid w:val="00964922"/>
    <w:rsid w:val="00967390"/>
    <w:rsid w:val="00973D92"/>
    <w:rsid w:val="00975E52"/>
    <w:rsid w:val="0097605E"/>
    <w:rsid w:val="00976F4A"/>
    <w:rsid w:val="00977CCB"/>
    <w:rsid w:val="009863AE"/>
    <w:rsid w:val="0098742F"/>
    <w:rsid w:val="00992613"/>
    <w:rsid w:val="00993F18"/>
    <w:rsid w:val="009941BA"/>
    <w:rsid w:val="009A46C1"/>
    <w:rsid w:val="009A49AF"/>
    <w:rsid w:val="009A4EC2"/>
    <w:rsid w:val="009A56B2"/>
    <w:rsid w:val="009A6208"/>
    <w:rsid w:val="009A7E2F"/>
    <w:rsid w:val="009B09A8"/>
    <w:rsid w:val="009B285C"/>
    <w:rsid w:val="009B5814"/>
    <w:rsid w:val="009B6D33"/>
    <w:rsid w:val="009C0D73"/>
    <w:rsid w:val="009C1A37"/>
    <w:rsid w:val="009C2366"/>
    <w:rsid w:val="009C6418"/>
    <w:rsid w:val="009C6DE0"/>
    <w:rsid w:val="009C767A"/>
    <w:rsid w:val="009D051F"/>
    <w:rsid w:val="009D1C11"/>
    <w:rsid w:val="009D2406"/>
    <w:rsid w:val="009D3281"/>
    <w:rsid w:val="009D382B"/>
    <w:rsid w:val="009D6BC4"/>
    <w:rsid w:val="009E04B1"/>
    <w:rsid w:val="009E096C"/>
    <w:rsid w:val="009E1923"/>
    <w:rsid w:val="009E3B80"/>
    <w:rsid w:val="009E4E87"/>
    <w:rsid w:val="009E6726"/>
    <w:rsid w:val="009F0D1C"/>
    <w:rsid w:val="009F31F8"/>
    <w:rsid w:val="009F5C79"/>
    <w:rsid w:val="009F74DA"/>
    <w:rsid w:val="00A04E99"/>
    <w:rsid w:val="00A0528A"/>
    <w:rsid w:val="00A062AE"/>
    <w:rsid w:val="00A105E9"/>
    <w:rsid w:val="00A110D1"/>
    <w:rsid w:val="00A11D4E"/>
    <w:rsid w:val="00A153CE"/>
    <w:rsid w:val="00A17A04"/>
    <w:rsid w:val="00A20C66"/>
    <w:rsid w:val="00A23F7F"/>
    <w:rsid w:val="00A24AF8"/>
    <w:rsid w:val="00A27FD0"/>
    <w:rsid w:val="00A32DFF"/>
    <w:rsid w:val="00A3632B"/>
    <w:rsid w:val="00A41BCD"/>
    <w:rsid w:val="00A43A34"/>
    <w:rsid w:val="00A50F46"/>
    <w:rsid w:val="00A512B0"/>
    <w:rsid w:val="00A54F5A"/>
    <w:rsid w:val="00A56833"/>
    <w:rsid w:val="00A5745D"/>
    <w:rsid w:val="00A579C4"/>
    <w:rsid w:val="00A6059B"/>
    <w:rsid w:val="00A607BD"/>
    <w:rsid w:val="00A6148F"/>
    <w:rsid w:val="00A7013F"/>
    <w:rsid w:val="00A73EA8"/>
    <w:rsid w:val="00A81873"/>
    <w:rsid w:val="00A826DF"/>
    <w:rsid w:val="00A82D54"/>
    <w:rsid w:val="00A85780"/>
    <w:rsid w:val="00A85A1D"/>
    <w:rsid w:val="00A873D1"/>
    <w:rsid w:val="00A925A2"/>
    <w:rsid w:val="00A92EC9"/>
    <w:rsid w:val="00A94210"/>
    <w:rsid w:val="00A9516B"/>
    <w:rsid w:val="00A95B3C"/>
    <w:rsid w:val="00A95C97"/>
    <w:rsid w:val="00A97495"/>
    <w:rsid w:val="00AA099A"/>
    <w:rsid w:val="00AA170B"/>
    <w:rsid w:val="00AA2AA6"/>
    <w:rsid w:val="00AA5C64"/>
    <w:rsid w:val="00AA6074"/>
    <w:rsid w:val="00AB193C"/>
    <w:rsid w:val="00AC27BE"/>
    <w:rsid w:val="00AC439C"/>
    <w:rsid w:val="00AC448D"/>
    <w:rsid w:val="00AD1885"/>
    <w:rsid w:val="00AD224A"/>
    <w:rsid w:val="00AD65AF"/>
    <w:rsid w:val="00AE17B2"/>
    <w:rsid w:val="00AE2038"/>
    <w:rsid w:val="00AF0AA4"/>
    <w:rsid w:val="00AF3738"/>
    <w:rsid w:val="00AF44E2"/>
    <w:rsid w:val="00AF4DDF"/>
    <w:rsid w:val="00AF5789"/>
    <w:rsid w:val="00AF6EAB"/>
    <w:rsid w:val="00AF7853"/>
    <w:rsid w:val="00B031F7"/>
    <w:rsid w:val="00B053B9"/>
    <w:rsid w:val="00B10B13"/>
    <w:rsid w:val="00B11AA7"/>
    <w:rsid w:val="00B17ADE"/>
    <w:rsid w:val="00B21AC6"/>
    <w:rsid w:val="00B25026"/>
    <w:rsid w:val="00B26A3F"/>
    <w:rsid w:val="00B27F23"/>
    <w:rsid w:val="00B30E07"/>
    <w:rsid w:val="00B3339B"/>
    <w:rsid w:val="00B35242"/>
    <w:rsid w:val="00B36A2D"/>
    <w:rsid w:val="00B42853"/>
    <w:rsid w:val="00B42E2E"/>
    <w:rsid w:val="00B4317A"/>
    <w:rsid w:val="00B458C7"/>
    <w:rsid w:val="00B54F1B"/>
    <w:rsid w:val="00B6448A"/>
    <w:rsid w:val="00B71B49"/>
    <w:rsid w:val="00B73545"/>
    <w:rsid w:val="00B75BAE"/>
    <w:rsid w:val="00B80333"/>
    <w:rsid w:val="00B83AAF"/>
    <w:rsid w:val="00B84710"/>
    <w:rsid w:val="00B85BBB"/>
    <w:rsid w:val="00B90DA1"/>
    <w:rsid w:val="00B9601B"/>
    <w:rsid w:val="00BA033C"/>
    <w:rsid w:val="00BA0F73"/>
    <w:rsid w:val="00BA14AD"/>
    <w:rsid w:val="00BA2CB5"/>
    <w:rsid w:val="00BA40BD"/>
    <w:rsid w:val="00BA62BC"/>
    <w:rsid w:val="00BB1BBD"/>
    <w:rsid w:val="00BB2056"/>
    <w:rsid w:val="00BB694B"/>
    <w:rsid w:val="00BC3251"/>
    <w:rsid w:val="00BC69B5"/>
    <w:rsid w:val="00BD1C7F"/>
    <w:rsid w:val="00BD4A14"/>
    <w:rsid w:val="00BD540B"/>
    <w:rsid w:val="00BD633F"/>
    <w:rsid w:val="00BF25EF"/>
    <w:rsid w:val="00BF274F"/>
    <w:rsid w:val="00BF3E54"/>
    <w:rsid w:val="00BF6066"/>
    <w:rsid w:val="00BF67FB"/>
    <w:rsid w:val="00BF7C86"/>
    <w:rsid w:val="00C00603"/>
    <w:rsid w:val="00C07848"/>
    <w:rsid w:val="00C0789C"/>
    <w:rsid w:val="00C105EF"/>
    <w:rsid w:val="00C120C7"/>
    <w:rsid w:val="00C1253C"/>
    <w:rsid w:val="00C13B30"/>
    <w:rsid w:val="00C15E01"/>
    <w:rsid w:val="00C174CF"/>
    <w:rsid w:val="00C24F4F"/>
    <w:rsid w:val="00C33BEE"/>
    <w:rsid w:val="00C376A2"/>
    <w:rsid w:val="00C404DA"/>
    <w:rsid w:val="00C40608"/>
    <w:rsid w:val="00C426A2"/>
    <w:rsid w:val="00C45A6E"/>
    <w:rsid w:val="00C47DD0"/>
    <w:rsid w:val="00C51615"/>
    <w:rsid w:val="00C54031"/>
    <w:rsid w:val="00C640E3"/>
    <w:rsid w:val="00C709E9"/>
    <w:rsid w:val="00C74DB1"/>
    <w:rsid w:val="00C815BE"/>
    <w:rsid w:val="00C82950"/>
    <w:rsid w:val="00C84D42"/>
    <w:rsid w:val="00C877D8"/>
    <w:rsid w:val="00C910AB"/>
    <w:rsid w:val="00C91E6F"/>
    <w:rsid w:val="00C91F6C"/>
    <w:rsid w:val="00C94374"/>
    <w:rsid w:val="00C94435"/>
    <w:rsid w:val="00C968EE"/>
    <w:rsid w:val="00C9761F"/>
    <w:rsid w:val="00CA0C96"/>
    <w:rsid w:val="00CA26A9"/>
    <w:rsid w:val="00CA4A12"/>
    <w:rsid w:val="00CA7C66"/>
    <w:rsid w:val="00CB025B"/>
    <w:rsid w:val="00CB0996"/>
    <w:rsid w:val="00CB0DE4"/>
    <w:rsid w:val="00CB3B2D"/>
    <w:rsid w:val="00CB508A"/>
    <w:rsid w:val="00CB50DA"/>
    <w:rsid w:val="00CC1BC2"/>
    <w:rsid w:val="00CD02B1"/>
    <w:rsid w:val="00CD1A92"/>
    <w:rsid w:val="00CD1FA5"/>
    <w:rsid w:val="00CD4273"/>
    <w:rsid w:val="00CE0E29"/>
    <w:rsid w:val="00CE1885"/>
    <w:rsid w:val="00CE1FA9"/>
    <w:rsid w:val="00CE5733"/>
    <w:rsid w:val="00CF0302"/>
    <w:rsid w:val="00CF3D47"/>
    <w:rsid w:val="00CF5E24"/>
    <w:rsid w:val="00CF6D1B"/>
    <w:rsid w:val="00D00ACD"/>
    <w:rsid w:val="00D00ADD"/>
    <w:rsid w:val="00D01DF2"/>
    <w:rsid w:val="00D0223C"/>
    <w:rsid w:val="00D053D3"/>
    <w:rsid w:val="00D07A43"/>
    <w:rsid w:val="00D13A2E"/>
    <w:rsid w:val="00D1544A"/>
    <w:rsid w:val="00D157DA"/>
    <w:rsid w:val="00D24F68"/>
    <w:rsid w:val="00D2717E"/>
    <w:rsid w:val="00D30636"/>
    <w:rsid w:val="00D369EF"/>
    <w:rsid w:val="00D36CEB"/>
    <w:rsid w:val="00D378B3"/>
    <w:rsid w:val="00D432D6"/>
    <w:rsid w:val="00D46C03"/>
    <w:rsid w:val="00D50292"/>
    <w:rsid w:val="00D5235A"/>
    <w:rsid w:val="00D535D1"/>
    <w:rsid w:val="00D53664"/>
    <w:rsid w:val="00D63567"/>
    <w:rsid w:val="00D63DB5"/>
    <w:rsid w:val="00D64474"/>
    <w:rsid w:val="00D672C8"/>
    <w:rsid w:val="00D71159"/>
    <w:rsid w:val="00D75761"/>
    <w:rsid w:val="00D764C7"/>
    <w:rsid w:val="00D81151"/>
    <w:rsid w:val="00D85AF6"/>
    <w:rsid w:val="00D90AB4"/>
    <w:rsid w:val="00D90E10"/>
    <w:rsid w:val="00D938E9"/>
    <w:rsid w:val="00D941F0"/>
    <w:rsid w:val="00DB0465"/>
    <w:rsid w:val="00DB7B9F"/>
    <w:rsid w:val="00DC035F"/>
    <w:rsid w:val="00DC2A07"/>
    <w:rsid w:val="00DC463E"/>
    <w:rsid w:val="00DC5006"/>
    <w:rsid w:val="00DC581E"/>
    <w:rsid w:val="00DD0FD4"/>
    <w:rsid w:val="00DD2284"/>
    <w:rsid w:val="00DE2D74"/>
    <w:rsid w:val="00DE442C"/>
    <w:rsid w:val="00DF2692"/>
    <w:rsid w:val="00DF4348"/>
    <w:rsid w:val="00E01729"/>
    <w:rsid w:val="00E02E9B"/>
    <w:rsid w:val="00E04987"/>
    <w:rsid w:val="00E05FE0"/>
    <w:rsid w:val="00E1015E"/>
    <w:rsid w:val="00E11CE4"/>
    <w:rsid w:val="00E21F22"/>
    <w:rsid w:val="00E23171"/>
    <w:rsid w:val="00E25084"/>
    <w:rsid w:val="00E3115A"/>
    <w:rsid w:val="00E32C0E"/>
    <w:rsid w:val="00E33C8B"/>
    <w:rsid w:val="00E3683F"/>
    <w:rsid w:val="00E36D7D"/>
    <w:rsid w:val="00E402A7"/>
    <w:rsid w:val="00E41084"/>
    <w:rsid w:val="00E41277"/>
    <w:rsid w:val="00E4225C"/>
    <w:rsid w:val="00E47026"/>
    <w:rsid w:val="00E47E5B"/>
    <w:rsid w:val="00E54286"/>
    <w:rsid w:val="00E57992"/>
    <w:rsid w:val="00E606D9"/>
    <w:rsid w:val="00E608FA"/>
    <w:rsid w:val="00E61546"/>
    <w:rsid w:val="00E62C89"/>
    <w:rsid w:val="00E6502F"/>
    <w:rsid w:val="00E820C4"/>
    <w:rsid w:val="00E924C3"/>
    <w:rsid w:val="00E9447D"/>
    <w:rsid w:val="00E96673"/>
    <w:rsid w:val="00EB291F"/>
    <w:rsid w:val="00EB691E"/>
    <w:rsid w:val="00EC1D79"/>
    <w:rsid w:val="00EC2A1F"/>
    <w:rsid w:val="00EC71E5"/>
    <w:rsid w:val="00ED4B88"/>
    <w:rsid w:val="00ED4E16"/>
    <w:rsid w:val="00ED59A5"/>
    <w:rsid w:val="00ED6E4F"/>
    <w:rsid w:val="00EE3F17"/>
    <w:rsid w:val="00EE4BE0"/>
    <w:rsid w:val="00EE633B"/>
    <w:rsid w:val="00EE68E4"/>
    <w:rsid w:val="00EE696D"/>
    <w:rsid w:val="00EE77A8"/>
    <w:rsid w:val="00EE7C5D"/>
    <w:rsid w:val="00EF042B"/>
    <w:rsid w:val="00EF104A"/>
    <w:rsid w:val="00EF1282"/>
    <w:rsid w:val="00EF3983"/>
    <w:rsid w:val="00EF4774"/>
    <w:rsid w:val="00EF71D1"/>
    <w:rsid w:val="00F0123B"/>
    <w:rsid w:val="00F02520"/>
    <w:rsid w:val="00F030E1"/>
    <w:rsid w:val="00F03134"/>
    <w:rsid w:val="00F03692"/>
    <w:rsid w:val="00F058B0"/>
    <w:rsid w:val="00F14176"/>
    <w:rsid w:val="00F17C4E"/>
    <w:rsid w:val="00F24FA8"/>
    <w:rsid w:val="00F309BA"/>
    <w:rsid w:val="00F31A60"/>
    <w:rsid w:val="00F321DC"/>
    <w:rsid w:val="00F46724"/>
    <w:rsid w:val="00F6005C"/>
    <w:rsid w:val="00F61E6E"/>
    <w:rsid w:val="00F61F95"/>
    <w:rsid w:val="00F6347B"/>
    <w:rsid w:val="00F64486"/>
    <w:rsid w:val="00F67D14"/>
    <w:rsid w:val="00F73FD7"/>
    <w:rsid w:val="00F75243"/>
    <w:rsid w:val="00F77634"/>
    <w:rsid w:val="00F80F48"/>
    <w:rsid w:val="00F8217F"/>
    <w:rsid w:val="00F84753"/>
    <w:rsid w:val="00F84FF1"/>
    <w:rsid w:val="00F8572F"/>
    <w:rsid w:val="00F868D1"/>
    <w:rsid w:val="00F9053B"/>
    <w:rsid w:val="00F91655"/>
    <w:rsid w:val="00F92BC4"/>
    <w:rsid w:val="00F935F9"/>
    <w:rsid w:val="00F93B16"/>
    <w:rsid w:val="00F95894"/>
    <w:rsid w:val="00FB1242"/>
    <w:rsid w:val="00FB5D81"/>
    <w:rsid w:val="00FB724C"/>
    <w:rsid w:val="00FB7E12"/>
    <w:rsid w:val="00FC0245"/>
    <w:rsid w:val="00FC03C5"/>
    <w:rsid w:val="00FC61CE"/>
    <w:rsid w:val="00FD0DCB"/>
    <w:rsid w:val="00FD0F41"/>
    <w:rsid w:val="00FF065F"/>
    <w:rsid w:val="00FF1728"/>
    <w:rsid w:val="00FF3F92"/>
    <w:rsid w:val="00FF6D71"/>
    <w:rsid w:val="03354073"/>
    <w:rsid w:val="03FBA00E"/>
    <w:rsid w:val="04F96A5C"/>
    <w:rsid w:val="0572D50F"/>
    <w:rsid w:val="05C0B2B8"/>
    <w:rsid w:val="0667114C"/>
    <w:rsid w:val="06AAA939"/>
    <w:rsid w:val="087FFBF5"/>
    <w:rsid w:val="08C55FDD"/>
    <w:rsid w:val="09119E58"/>
    <w:rsid w:val="0A9E7AB4"/>
    <w:rsid w:val="0BD6B69F"/>
    <w:rsid w:val="0C25A6AC"/>
    <w:rsid w:val="0CF880B5"/>
    <w:rsid w:val="0D252136"/>
    <w:rsid w:val="0F6F5CBA"/>
    <w:rsid w:val="0F849A25"/>
    <w:rsid w:val="1085427D"/>
    <w:rsid w:val="10D8074A"/>
    <w:rsid w:val="11E8D5D9"/>
    <w:rsid w:val="14C2448F"/>
    <w:rsid w:val="15C2E769"/>
    <w:rsid w:val="1871E57D"/>
    <w:rsid w:val="19D263BD"/>
    <w:rsid w:val="1B076F31"/>
    <w:rsid w:val="1B463D5C"/>
    <w:rsid w:val="1EA484F9"/>
    <w:rsid w:val="2087D4E0"/>
    <w:rsid w:val="21D84E12"/>
    <w:rsid w:val="29028753"/>
    <w:rsid w:val="2A65D42C"/>
    <w:rsid w:val="2C138BB8"/>
    <w:rsid w:val="2D4DDF29"/>
    <w:rsid w:val="2E0DD75C"/>
    <w:rsid w:val="2EB57940"/>
    <w:rsid w:val="2ED64A91"/>
    <w:rsid w:val="3070AC62"/>
    <w:rsid w:val="3128B1B1"/>
    <w:rsid w:val="3155E307"/>
    <w:rsid w:val="3561F2ED"/>
    <w:rsid w:val="368FECBC"/>
    <w:rsid w:val="3777115D"/>
    <w:rsid w:val="37E43075"/>
    <w:rsid w:val="3B0083A1"/>
    <w:rsid w:val="3BE61FF1"/>
    <w:rsid w:val="3EF4A519"/>
    <w:rsid w:val="40F8AABB"/>
    <w:rsid w:val="46F34F6E"/>
    <w:rsid w:val="484CFEE5"/>
    <w:rsid w:val="485A112C"/>
    <w:rsid w:val="4891597E"/>
    <w:rsid w:val="48B544A2"/>
    <w:rsid w:val="4B6E6E2D"/>
    <w:rsid w:val="4F07C456"/>
    <w:rsid w:val="4F188522"/>
    <w:rsid w:val="50140906"/>
    <w:rsid w:val="50A989F6"/>
    <w:rsid w:val="525F6794"/>
    <w:rsid w:val="532220C5"/>
    <w:rsid w:val="5348C89C"/>
    <w:rsid w:val="5394B0DC"/>
    <w:rsid w:val="539E8E9A"/>
    <w:rsid w:val="5502F057"/>
    <w:rsid w:val="553550B8"/>
    <w:rsid w:val="56E17152"/>
    <w:rsid w:val="57A6C6BD"/>
    <w:rsid w:val="589F4DD2"/>
    <w:rsid w:val="5B1DE3A8"/>
    <w:rsid w:val="5C15F1DE"/>
    <w:rsid w:val="5CF57BED"/>
    <w:rsid w:val="5E1101EA"/>
    <w:rsid w:val="5F814D5C"/>
    <w:rsid w:val="60873780"/>
    <w:rsid w:val="62F37739"/>
    <w:rsid w:val="6579250C"/>
    <w:rsid w:val="67CFE3AC"/>
    <w:rsid w:val="69262C08"/>
    <w:rsid w:val="6A62BA0C"/>
    <w:rsid w:val="6AA4DEE5"/>
    <w:rsid w:val="6B16EE63"/>
    <w:rsid w:val="6D3C9B59"/>
    <w:rsid w:val="6EE70EE9"/>
    <w:rsid w:val="6F52F224"/>
    <w:rsid w:val="71F792EE"/>
    <w:rsid w:val="720DD84C"/>
    <w:rsid w:val="73226A9C"/>
    <w:rsid w:val="76725B9D"/>
    <w:rsid w:val="77582C97"/>
    <w:rsid w:val="79662721"/>
    <w:rsid w:val="7A517ADA"/>
    <w:rsid w:val="7A9A32BA"/>
    <w:rsid w:val="7D96EC80"/>
    <w:rsid w:val="7EF9F5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1E812"/>
  <w15:chartTrackingRefBased/>
  <w15:docId w15:val="{04B20F90-6DBB-464D-8B5F-D8560C7F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3"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1C76"/>
    <w:pPr>
      <w:spacing w:after="120" w:line="276" w:lineRule="auto"/>
    </w:pPr>
    <w:rPr>
      <w:kern w:val="0"/>
      <w14:ligatures w14:val="none"/>
    </w:rPr>
  </w:style>
  <w:style w:type="paragraph" w:styleId="Heading1">
    <w:name w:val="heading 1"/>
    <w:basedOn w:val="Normal"/>
    <w:next w:val="Normal"/>
    <w:link w:val="Heading1Char"/>
    <w:uiPriority w:val="1"/>
    <w:qFormat/>
    <w:rsid w:val="00171C7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171C7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71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1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1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1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1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1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1C7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1"/>
    <w:rsid w:val="00171C7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3"/>
    <w:rsid w:val="00171C7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171C7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71C7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71C7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71C7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71C7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71C7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71C76"/>
    <w:rPr>
      <w:rFonts w:eastAsiaTheme="majorEastAsia" w:cstheme="majorBidi"/>
      <w:color w:val="272727" w:themeColor="text1" w:themeTint="D8"/>
    </w:rPr>
  </w:style>
  <w:style w:type="paragraph" w:styleId="Title">
    <w:name w:val="Title"/>
    <w:basedOn w:val="Normal"/>
    <w:next w:val="Normal"/>
    <w:link w:val="TitleChar"/>
    <w:uiPriority w:val="10"/>
    <w:qFormat/>
    <w:rsid w:val="00171C7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71C7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71C7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71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1C76"/>
    <w:pPr>
      <w:spacing w:before="160"/>
      <w:jc w:val="center"/>
    </w:pPr>
    <w:rPr>
      <w:i/>
      <w:iCs/>
      <w:color w:val="404040" w:themeColor="text1" w:themeTint="BF"/>
    </w:rPr>
  </w:style>
  <w:style w:type="character" w:styleId="QuoteChar" w:customStyle="1">
    <w:name w:val="Quote Char"/>
    <w:basedOn w:val="DefaultParagraphFont"/>
    <w:link w:val="Quote"/>
    <w:uiPriority w:val="29"/>
    <w:rsid w:val="00171C76"/>
    <w:rPr>
      <w:i/>
      <w:iCs/>
      <w:color w:val="404040" w:themeColor="text1" w:themeTint="BF"/>
    </w:rPr>
  </w:style>
  <w:style w:type="paragraph" w:styleId="ListParagraph">
    <w:name w:val="List Paragraph"/>
    <w:aliases w:val="Body Bullets 1,Bullet Point,Bullet point,Bullet points,Bulleted Para,Content descriptions,L,List Bullet 1,List Paragraph Number,List Paragraph1,List Paragraph11,List Paragraph2,NFP GP Bulleted List,Number,Recommendation,bullet point list"/>
    <w:basedOn w:val="Normal"/>
    <w:link w:val="ListParagraphChar"/>
    <w:uiPriority w:val="34"/>
    <w:qFormat/>
    <w:rsid w:val="00171C76"/>
    <w:pPr>
      <w:ind w:left="720"/>
      <w:contextualSpacing/>
    </w:pPr>
  </w:style>
  <w:style w:type="character" w:styleId="IntenseEmphasis">
    <w:name w:val="Intense Emphasis"/>
    <w:basedOn w:val="DefaultParagraphFont"/>
    <w:uiPriority w:val="21"/>
    <w:qFormat/>
    <w:rsid w:val="00171C76"/>
    <w:rPr>
      <w:i/>
      <w:iCs/>
      <w:color w:val="0F4761" w:themeColor="accent1" w:themeShade="BF"/>
    </w:rPr>
  </w:style>
  <w:style w:type="paragraph" w:styleId="IntenseQuote">
    <w:name w:val="Intense Quote"/>
    <w:basedOn w:val="Normal"/>
    <w:next w:val="Normal"/>
    <w:link w:val="IntenseQuoteChar"/>
    <w:uiPriority w:val="30"/>
    <w:qFormat/>
    <w:rsid w:val="00171C7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71C76"/>
    <w:rPr>
      <w:i/>
      <w:iCs/>
      <w:color w:val="0F4761" w:themeColor="accent1" w:themeShade="BF"/>
    </w:rPr>
  </w:style>
  <w:style w:type="character" w:styleId="IntenseReference">
    <w:name w:val="Intense Reference"/>
    <w:basedOn w:val="DefaultParagraphFont"/>
    <w:uiPriority w:val="32"/>
    <w:qFormat/>
    <w:rsid w:val="00171C76"/>
    <w:rPr>
      <w:b/>
      <w:bCs/>
      <w:smallCaps/>
      <w:color w:val="0F4761" w:themeColor="accent1" w:themeShade="BF"/>
      <w:spacing w:val="5"/>
    </w:rPr>
  </w:style>
  <w:style w:type="paragraph" w:styleId="Header">
    <w:name w:val="header"/>
    <w:basedOn w:val="Normal"/>
    <w:link w:val="HeaderChar"/>
    <w:uiPriority w:val="99"/>
    <w:rsid w:val="00171C76"/>
    <w:pPr>
      <w:tabs>
        <w:tab w:val="center" w:pos="4820"/>
      </w:tabs>
      <w:spacing w:line="240" w:lineRule="auto"/>
      <w:jc w:val="center"/>
    </w:pPr>
    <w:rPr>
      <w:rFonts w:ascii="Calibri" w:hAnsi="Calibri"/>
      <w:sz w:val="20"/>
    </w:rPr>
  </w:style>
  <w:style w:type="character" w:styleId="HeaderChar" w:customStyle="1">
    <w:name w:val="Header Char"/>
    <w:basedOn w:val="DefaultParagraphFont"/>
    <w:link w:val="Header"/>
    <w:uiPriority w:val="99"/>
    <w:rsid w:val="00171C76"/>
    <w:rPr>
      <w:rFonts w:ascii="Calibri" w:hAnsi="Calibri"/>
      <w:kern w:val="0"/>
      <w:sz w:val="20"/>
      <w14:ligatures w14:val="none"/>
    </w:rPr>
  </w:style>
  <w:style w:type="paragraph" w:styleId="Footer">
    <w:name w:val="footer"/>
    <w:basedOn w:val="Normal"/>
    <w:link w:val="FooterChar"/>
    <w:uiPriority w:val="99"/>
    <w:rsid w:val="00171C76"/>
    <w:pPr>
      <w:tabs>
        <w:tab w:val="center" w:pos="4536"/>
      </w:tabs>
      <w:spacing w:line="240" w:lineRule="auto"/>
      <w:jc w:val="center"/>
    </w:pPr>
    <w:rPr>
      <w:rFonts w:ascii="Calibri" w:hAnsi="Calibri"/>
      <w:sz w:val="20"/>
    </w:rPr>
  </w:style>
  <w:style w:type="character" w:styleId="FooterChar" w:customStyle="1">
    <w:name w:val="Footer Char"/>
    <w:basedOn w:val="DefaultParagraphFont"/>
    <w:link w:val="Footer"/>
    <w:uiPriority w:val="99"/>
    <w:rsid w:val="00171C76"/>
    <w:rPr>
      <w:rFonts w:ascii="Calibri" w:hAnsi="Calibri"/>
      <w:kern w:val="0"/>
      <w:sz w:val="20"/>
      <w14:ligatures w14:val="none"/>
    </w:rPr>
  </w:style>
  <w:style w:type="character" w:styleId="Hyperlink">
    <w:name w:val="Hyperlink"/>
    <w:basedOn w:val="DefaultParagraphFont"/>
    <w:uiPriority w:val="99"/>
    <w:qFormat/>
    <w:rsid w:val="00171C76"/>
    <w:rPr>
      <w:color w:val="165788"/>
      <w:u w:val="single"/>
    </w:rPr>
  </w:style>
  <w:style w:type="character" w:styleId="Strong">
    <w:name w:val="Strong"/>
    <w:basedOn w:val="DefaultParagraphFont"/>
    <w:uiPriority w:val="22"/>
    <w:qFormat/>
    <w:rsid w:val="00171C76"/>
    <w:rPr>
      <w:b/>
      <w:bCs/>
    </w:rPr>
  </w:style>
  <w:style w:type="paragraph" w:styleId="Normalsmall" w:customStyle="1">
    <w:name w:val="Normal small"/>
    <w:qFormat/>
    <w:rsid w:val="00171C76"/>
    <w:pPr>
      <w:spacing w:after="120" w:line="276" w:lineRule="auto"/>
    </w:pPr>
    <w:rPr>
      <w:kern w:val="0"/>
      <w:sz w:val="18"/>
      <w:szCs w:val="18"/>
      <w14:ligatures w14:val="none"/>
    </w:rPr>
  </w:style>
  <w:style w:type="paragraph" w:styleId="Date">
    <w:name w:val="Date"/>
    <w:aliases w:val="Reference"/>
    <w:basedOn w:val="Normal"/>
    <w:next w:val="Normal"/>
    <w:link w:val="DateChar"/>
    <w:uiPriority w:val="99"/>
    <w:unhideWhenUsed/>
    <w:rsid w:val="00171C76"/>
    <w:pPr>
      <w:spacing w:before="1560" w:after="160" w:line="360" w:lineRule="auto"/>
    </w:pPr>
  </w:style>
  <w:style w:type="character" w:styleId="DateChar" w:customStyle="1">
    <w:name w:val="Date Char"/>
    <w:aliases w:val="Reference Char"/>
    <w:basedOn w:val="DefaultParagraphFont"/>
    <w:link w:val="Date"/>
    <w:uiPriority w:val="99"/>
    <w:rsid w:val="00171C76"/>
    <w:rPr>
      <w:kern w:val="0"/>
      <w14:ligatures w14:val="none"/>
    </w:rPr>
  </w:style>
  <w:style w:type="paragraph" w:styleId="Style2" w:customStyle="1">
    <w:name w:val="Style2"/>
    <w:basedOn w:val="NoSpacing"/>
    <w:link w:val="Style2Char"/>
    <w:qFormat/>
    <w:rsid w:val="00171C76"/>
    <w:rPr>
      <w:rFonts w:ascii="Cambria" w:hAnsi="Cambria" w:eastAsia="Calibri" w:cs="Times New Roman"/>
    </w:rPr>
  </w:style>
  <w:style w:type="character" w:styleId="Style2Char" w:customStyle="1">
    <w:name w:val="Style2 Char"/>
    <w:basedOn w:val="DefaultParagraphFont"/>
    <w:link w:val="Style2"/>
    <w:rsid w:val="00171C76"/>
    <w:rPr>
      <w:rFonts w:ascii="Cambria" w:hAnsi="Cambria" w:eastAsia="Calibri" w:cs="Times New Roman"/>
      <w:kern w:val="0"/>
      <w14:ligatures w14:val="none"/>
    </w:rPr>
  </w:style>
  <w:style w:type="paragraph" w:styleId="NoSpacing">
    <w:name w:val="No Spacing"/>
    <w:uiPriority w:val="1"/>
    <w:qFormat/>
    <w:rsid w:val="00171C76"/>
    <w:pPr>
      <w:spacing w:after="0" w:line="240" w:lineRule="auto"/>
    </w:pPr>
    <w:rPr>
      <w:kern w:val="0"/>
      <w14:ligatures w14:val="none"/>
    </w:rPr>
  </w:style>
  <w:style w:type="character" w:styleId="CommentReference">
    <w:name w:val="annotation reference"/>
    <w:basedOn w:val="DefaultParagraphFont"/>
    <w:uiPriority w:val="99"/>
    <w:semiHidden/>
    <w:unhideWhenUsed/>
    <w:rsid w:val="0040672B"/>
    <w:rPr>
      <w:sz w:val="16"/>
      <w:szCs w:val="16"/>
    </w:rPr>
  </w:style>
  <w:style w:type="paragraph" w:styleId="CommentText">
    <w:name w:val="annotation text"/>
    <w:basedOn w:val="Normal"/>
    <w:link w:val="CommentTextChar"/>
    <w:uiPriority w:val="99"/>
    <w:unhideWhenUsed/>
    <w:rsid w:val="0040672B"/>
    <w:pPr>
      <w:spacing w:line="240" w:lineRule="auto"/>
    </w:pPr>
    <w:rPr>
      <w:sz w:val="20"/>
      <w:szCs w:val="20"/>
    </w:rPr>
  </w:style>
  <w:style w:type="character" w:styleId="CommentTextChar" w:customStyle="1">
    <w:name w:val="Comment Text Char"/>
    <w:basedOn w:val="DefaultParagraphFont"/>
    <w:link w:val="CommentText"/>
    <w:uiPriority w:val="99"/>
    <w:rsid w:val="0040672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672B"/>
    <w:rPr>
      <w:b/>
      <w:bCs/>
    </w:rPr>
  </w:style>
  <w:style w:type="character" w:styleId="CommentSubjectChar" w:customStyle="1">
    <w:name w:val="Comment Subject Char"/>
    <w:basedOn w:val="CommentTextChar"/>
    <w:link w:val="CommentSubject"/>
    <w:uiPriority w:val="99"/>
    <w:semiHidden/>
    <w:rsid w:val="0040672B"/>
    <w:rPr>
      <w:b/>
      <w:bCs/>
      <w:kern w:val="0"/>
      <w:sz w:val="20"/>
      <w:szCs w:val="20"/>
      <w14:ligatures w14:val="none"/>
    </w:rPr>
  </w:style>
  <w:style w:type="character" w:styleId="UnresolvedMention">
    <w:name w:val="Unresolved Mention"/>
    <w:basedOn w:val="DefaultParagraphFont"/>
    <w:uiPriority w:val="99"/>
    <w:semiHidden/>
    <w:unhideWhenUsed/>
    <w:rsid w:val="00CF0302"/>
    <w:rPr>
      <w:color w:val="605E5C"/>
      <w:shd w:val="clear" w:color="auto" w:fill="E1DFDD"/>
    </w:rPr>
  </w:style>
  <w:style w:type="paragraph" w:styleId="Revision">
    <w:name w:val="Revision"/>
    <w:hidden/>
    <w:uiPriority w:val="99"/>
    <w:semiHidden/>
    <w:rsid w:val="00D2717E"/>
    <w:pPr>
      <w:spacing w:after="0" w:line="240" w:lineRule="auto"/>
    </w:pPr>
    <w:rPr>
      <w:kern w:val="0"/>
      <w14:ligatures w14:val="none"/>
    </w:rPr>
  </w:style>
  <w:style w:type="paragraph" w:styleId="EndnoteText">
    <w:name w:val="endnote text"/>
    <w:basedOn w:val="Normal"/>
    <w:link w:val="EndnoteTextChar"/>
    <w:uiPriority w:val="99"/>
    <w:semiHidden/>
    <w:unhideWhenUsed/>
    <w:rsid w:val="00CE5733"/>
    <w:pPr>
      <w:spacing w:after="0" w:line="240" w:lineRule="auto"/>
    </w:pPr>
    <w:rPr>
      <w:sz w:val="20"/>
      <w:szCs w:val="20"/>
    </w:rPr>
  </w:style>
  <w:style w:type="character" w:styleId="EndnoteTextChar" w:customStyle="1">
    <w:name w:val="Endnote Text Char"/>
    <w:basedOn w:val="DefaultParagraphFont"/>
    <w:link w:val="EndnoteText"/>
    <w:uiPriority w:val="99"/>
    <w:semiHidden/>
    <w:rsid w:val="00CE5733"/>
    <w:rPr>
      <w:kern w:val="0"/>
      <w:sz w:val="20"/>
      <w:szCs w:val="20"/>
      <w14:ligatures w14:val="none"/>
    </w:rPr>
  </w:style>
  <w:style w:type="character" w:styleId="EndnoteReference">
    <w:name w:val="endnote reference"/>
    <w:basedOn w:val="DefaultParagraphFont"/>
    <w:uiPriority w:val="99"/>
    <w:semiHidden/>
    <w:unhideWhenUsed/>
    <w:rsid w:val="00CE5733"/>
    <w:rPr>
      <w:vertAlign w:val="superscript"/>
    </w:rPr>
  </w:style>
  <w:style w:type="table" w:styleId="TableGrid">
    <w:name w:val="Table Grid"/>
    <w:basedOn w:val="TableNormal"/>
    <w:uiPriority w:val="39"/>
    <w:rsid w:val="00E36D7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sub" w:customStyle="1">
    <w:name w:val="paragraph(sub)"/>
    <w:aliases w:val="aa"/>
    <w:basedOn w:val="Normal"/>
    <w:rsid w:val="009049FC"/>
    <w:pPr>
      <w:tabs>
        <w:tab w:val="right" w:pos="1985"/>
      </w:tabs>
      <w:spacing w:before="40" w:after="0" w:line="240" w:lineRule="auto"/>
      <w:ind w:left="2098" w:hanging="2098"/>
    </w:pPr>
    <w:rPr>
      <w:rFonts w:ascii="Times New Roman" w:hAnsi="Times New Roman" w:eastAsia="Times New Roman" w:cs="Times New Roman"/>
      <w:szCs w:val="20"/>
      <w:lang w:eastAsia="en-AU"/>
    </w:rPr>
  </w:style>
  <w:style w:type="paragraph" w:styleId="paragraph" w:customStyle="1">
    <w:name w:val="paragraph"/>
    <w:aliases w:val="a"/>
    <w:basedOn w:val="Normal"/>
    <w:rsid w:val="009049FC"/>
    <w:pPr>
      <w:tabs>
        <w:tab w:val="right" w:pos="1531"/>
      </w:tabs>
      <w:spacing w:before="40" w:after="0" w:line="240" w:lineRule="auto"/>
      <w:ind w:left="1644" w:hanging="1644"/>
    </w:pPr>
    <w:rPr>
      <w:rFonts w:ascii="Times New Roman" w:hAnsi="Times New Roman" w:eastAsia="Times New Roman" w:cs="Times New Roman"/>
      <w:szCs w:val="20"/>
      <w:lang w:eastAsia="en-AU"/>
    </w:rPr>
  </w:style>
  <w:style w:type="paragraph" w:styleId="SubsectionHead" w:customStyle="1">
    <w:name w:val="SubsectionHead"/>
    <w:aliases w:val="ssh"/>
    <w:basedOn w:val="Normal"/>
    <w:next w:val="Normal"/>
    <w:rsid w:val="002F6B41"/>
    <w:pPr>
      <w:keepNext/>
      <w:keepLines/>
      <w:spacing w:before="240" w:after="0" w:line="240" w:lineRule="auto"/>
      <w:ind w:left="1134"/>
    </w:pPr>
    <w:rPr>
      <w:rFonts w:ascii="Times New Roman" w:hAnsi="Times New Roman" w:eastAsia="Times New Roman" w:cs="Times New Roman"/>
      <w:i/>
      <w:szCs w:val="20"/>
      <w:lang w:eastAsia="en-AU"/>
    </w:rPr>
  </w:style>
  <w:style w:type="character" w:styleId="ListParagraphChar" w:customStyle="1">
    <w:name w:val="List Paragraph Char"/>
    <w:aliases w:val="Body Bullets 1 Char,Bullet Point Char,Bullet point Char,Bullet points Char,Bulleted Para Char,Content descriptions Char,L Char,List Bullet 1 Char,List Paragraph Number Char,List Paragraph1 Char,List Paragraph11 Char,Number Char"/>
    <w:link w:val="ListParagraph"/>
    <w:uiPriority w:val="34"/>
    <w:qFormat/>
    <w:locked/>
    <w:rsid w:val="00A110D1"/>
    <w:rPr>
      <w:kern w:val="0"/>
      <w14:ligatures w14:val="none"/>
    </w:rPr>
  </w:style>
  <w:style w:type="character" w:styleId="FollowedHyperlink">
    <w:name w:val="FollowedHyperlink"/>
    <w:basedOn w:val="DefaultParagraphFont"/>
    <w:uiPriority w:val="99"/>
    <w:semiHidden/>
    <w:unhideWhenUsed/>
    <w:rsid w:val="00525FC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0950">
      <w:bodyDiv w:val="1"/>
      <w:marLeft w:val="0"/>
      <w:marRight w:val="0"/>
      <w:marTop w:val="0"/>
      <w:marBottom w:val="0"/>
      <w:divBdr>
        <w:top w:val="none" w:sz="0" w:space="0" w:color="auto"/>
        <w:left w:val="none" w:sz="0" w:space="0" w:color="auto"/>
        <w:bottom w:val="none" w:sz="0" w:space="0" w:color="auto"/>
        <w:right w:val="none" w:sz="0" w:space="0" w:color="auto"/>
      </w:divBdr>
    </w:div>
    <w:div w:id="2009822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creativecommons.org/licenses/by/4.0/legalcode"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mailto:biosecuritylegislationfeedback@aff.gov.au"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agriculture.gov.au/biosecurity-trade/policy/legislation"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3.xml" Id="rId24" /><Relationship Type="http://schemas.openxmlformats.org/officeDocument/2006/relationships/numbering" Target="numbering.xml" Id="rId5" /><Relationship Type="http://schemas.openxmlformats.org/officeDocument/2006/relationships/header" Target="header3.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22" /><Relationship Type="http://schemas.openxmlformats.org/officeDocument/2006/relationships/theme" Target="theme/theme1.xml" Id="rId27" /><Relationship Type="http://schemas.openxmlformats.org/officeDocument/2006/relationships/hyperlink" Target="https://www.legislation.gov.au/F2026L01256/asmade/text" TargetMode="External" Id="R6cab16e694974407" /></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CD8B115CB99F4FAA13BD62AB4ADE50" ma:contentTypeVersion="6" ma:contentTypeDescription="Create a new document." ma:contentTypeScope="" ma:versionID="8e40f296094129a6505cfc4ad2d8392d">
  <xsd:schema xmlns:xsd="http://www.w3.org/2001/XMLSchema" xmlns:xs="http://www.w3.org/2001/XMLSchema" xmlns:p="http://schemas.microsoft.com/office/2006/metadata/properties" xmlns:ns2="c0a29180-7390-4334-95d3-18fe807c252c" xmlns:ns3="52f243fe-b243-4329-ac3b-22bea59b7e10" targetNamespace="http://schemas.microsoft.com/office/2006/metadata/properties" ma:root="true" ma:fieldsID="a816171b128e68dcdad45bcd3a8bd7e1" ns2:_="" ns3:_="">
    <xsd:import namespace="c0a29180-7390-4334-95d3-18fe807c252c"/>
    <xsd:import namespace="52f243fe-b243-4329-ac3b-22bea59b7e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29180-7390-4334-95d3-18fe807c2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f243fe-b243-4329-ac3b-22bea59b7e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DB367C5-9CD8-40A8-8A90-DD7212961207}">
  <ds:schemaRefs>
    <ds:schemaRef ds:uri="http://schemas.openxmlformats.org/officeDocument/2006/bibliography"/>
  </ds:schemaRefs>
</ds:datastoreItem>
</file>

<file path=customXml/itemProps2.xml><?xml version="1.0" encoding="utf-8"?>
<ds:datastoreItem xmlns:ds="http://schemas.openxmlformats.org/officeDocument/2006/customXml" ds:itemID="{FED938BB-2F51-4E3C-8610-BB683FB8784B}">
  <ds:schemaRefs>
    <ds:schemaRef ds:uri="http://schemas.microsoft.com/sharepoint/v3/contenttype/forms"/>
  </ds:schemaRefs>
</ds:datastoreItem>
</file>

<file path=customXml/itemProps3.xml><?xml version="1.0" encoding="utf-8"?>
<ds:datastoreItem xmlns:ds="http://schemas.openxmlformats.org/officeDocument/2006/customXml" ds:itemID="{23F984EA-88D8-4B6C-9D58-C99E4358A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29180-7390-4334-95d3-18fe807c252c"/>
    <ds:schemaRef ds:uri="52f243fe-b243-4329-ac3b-22bea59b7e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6B437D0-BFEE-49C7-B537-524F11D008B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Hewett, Sean</dc:creator>
  <keywords/>
  <dc:description/>
  <lastModifiedBy>Taylor, Alice</lastModifiedBy>
  <revision>128</revision>
  <dcterms:created xsi:type="dcterms:W3CDTF">2026-08-25T18:48:00.0000000Z</dcterms:created>
  <dcterms:modified xsi:type="dcterms:W3CDTF">2026-09-24T05:09:52.3706186Z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6838238d,444644a1,45134c93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3e843731,acab730,6f981e3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2025-06-16T00:52:25Z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2d6ceef5-7efd-47b9-933e-3c87b64f538f</vt:lpwstr>
  </property>
  <property fmtid="{D5CDD505-2E9C-101B-9397-08002B2CF9AE}" pid="14" name="MSIP_Label_933d8be6-3c40-4052-87a2-9c2adcba8759_ContentBits">
    <vt:lpwstr>3</vt:lpwstr>
  </property>
  <property fmtid="{D5CDD505-2E9C-101B-9397-08002B2CF9AE}" pid="15" name="MSIP_Label_933d8be6-3c40-4052-87a2-9c2adcba8759_Tag">
    <vt:lpwstr>10, 0, 1, 1</vt:lpwstr>
  </property>
  <property fmtid="{D5CDD505-2E9C-101B-9397-08002B2CF9AE}" pid="16" name="ContentTypeId">
    <vt:lpwstr>0x01010027CD8B115CB99F4FAA13BD62AB4ADE50</vt:lpwstr>
  </property>
</Properties>
</file>