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F0" w:rsidRDefault="00C800F0" w:rsidP="00F81EE5">
      <w:pPr>
        <w:ind w:right="-2"/>
        <w:jc w:val="center"/>
        <w:rPr>
          <w:rFonts w:cs="Arial"/>
          <w:b/>
          <w:sz w:val="20"/>
          <w:szCs w:val="20"/>
        </w:rPr>
      </w:pPr>
      <w:r>
        <w:rPr>
          <w:rFonts w:cs="Arial"/>
          <w:b/>
          <w:sz w:val="20"/>
          <w:szCs w:val="20"/>
        </w:rPr>
        <w:t>DEPARTMENT OF THE ENVIRONMENT</w:t>
      </w:r>
      <w:r w:rsidR="005E5B15">
        <w:rPr>
          <w:rFonts w:cs="Arial"/>
          <w:b/>
          <w:sz w:val="20"/>
          <w:szCs w:val="20"/>
        </w:rPr>
        <w:t xml:space="preserve"> AND ENERGY</w:t>
      </w:r>
    </w:p>
    <w:p w:rsidR="0021680B" w:rsidRPr="005D3D19" w:rsidRDefault="0021680B" w:rsidP="00F81EE5">
      <w:pPr>
        <w:ind w:right="-2"/>
        <w:jc w:val="center"/>
        <w:rPr>
          <w:rFonts w:cs="Arial"/>
          <w:b/>
          <w:sz w:val="20"/>
          <w:szCs w:val="20"/>
        </w:rPr>
      </w:pPr>
      <w:bookmarkStart w:id="0" w:name="OLE_LINK1"/>
      <w:bookmarkStart w:id="1" w:name="OLE_LINK2"/>
      <w:r w:rsidRPr="005D3D19">
        <w:rPr>
          <w:rFonts w:cs="Arial"/>
          <w:b/>
          <w:sz w:val="20"/>
          <w:szCs w:val="20"/>
        </w:rPr>
        <w:t>201</w:t>
      </w:r>
      <w:r w:rsidR="005E5B15">
        <w:rPr>
          <w:rFonts w:cs="Arial"/>
          <w:b/>
          <w:sz w:val="20"/>
          <w:szCs w:val="20"/>
        </w:rPr>
        <w:t>5</w:t>
      </w:r>
      <w:r w:rsidR="00210B77" w:rsidRPr="005D3D19">
        <w:rPr>
          <w:rFonts w:cs="Arial"/>
          <w:b/>
          <w:sz w:val="20"/>
          <w:szCs w:val="20"/>
        </w:rPr>
        <w:t>-1</w:t>
      </w:r>
      <w:r w:rsidR="005E5B15">
        <w:rPr>
          <w:rFonts w:cs="Arial"/>
          <w:b/>
          <w:sz w:val="20"/>
          <w:szCs w:val="20"/>
        </w:rPr>
        <w:t>6</w:t>
      </w:r>
      <w:r w:rsidRPr="005D3D19">
        <w:rPr>
          <w:rFonts w:cs="Arial"/>
          <w:b/>
          <w:sz w:val="20"/>
          <w:szCs w:val="20"/>
        </w:rPr>
        <w:t xml:space="preserve"> ANNUAL REPORT ENVIRONMENTAL INDICATORS</w:t>
      </w:r>
    </w:p>
    <w:bookmarkEnd w:id="0"/>
    <w:bookmarkEnd w:id="1"/>
    <w:p w:rsidR="00C7470F" w:rsidRPr="005D3D19" w:rsidRDefault="005379B0" w:rsidP="001211B6">
      <w:pPr>
        <w:rPr>
          <w:sz w:val="20"/>
          <w:szCs w:val="20"/>
        </w:rPr>
      </w:pPr>
      <w:r w:rsidRPr="005D3D19">
        <w:rPr>
          <w:sz w:val="20"/>
          <w:szCs w:val="20"/>
        </w:rPr>
        <w:t>The following</w:t>
      </w:r>
      <w:r w:rsidR="00C7470F" w:rsidRPr="005D3D19">
        <w:rPr>
          <w:sz w:val="20"/>
          <w:szCs w:val="20"/>
        </w:rPr>
        <w:t xml:space="preserve"> </w:t>
      </w:r>
      <w:r w:rsidRPr="005D3D19">
        <w:rPr>
          <w:sz w:val="20"/>
          <w:szCs w:val="20"/>
        </w:rPr>
        <w:t xml:space="preserve">performance </w:t>
      </w:r>
      <w:r w:rsidR="00C7470F" w:rsidRPr="005D3D19">
        <w:rPr>
          <w:sz w:val="20"/>
          <w:szCs w:val="20"/>
        </w:rPr>
        <w:t>indicator</w:t>
      </w:r>
      <w:r w:rsidRPr="005D3D19">
        <w:rPr>
          <w:sz w:val="20"/>
          <w:szCs w:val="20"/>
        </w:rPr>
        <w:t xml:space="preserve">s </w:t>
      </w:r>
      <w:r w:rsidR="00C7470F" w:rsidRPr="005D3D19">
        <w:rPr>
          <w:sz w:val="20"/>
          <w:szCs w:val="20"/>
        </w:rPr>
        <w:t xml:space="preserve">should </w:t>
      </w:r>
      <w:r w:rsidRPr="005D3D19">
        <w:rPr>
          <w:sz w:val="20"/>
          <w:szCs w:val="20"/>
        </w:rPr>
        <w:t xml:space="preserve">be </w:t>
      </w:r>
      <w:r w:rsidR="00C7470F" w:rsidRPr="005D3D19">
        <w:rPr>
          <w:sz w:val="20"/>
          <w:szCs w:val="20"/>
        </w:rPr>
        <w:t>read in</w:t>
      </w:r>
      <w:r w:rsidR="00F5423D">
        <w:rPr>
          <w:sz w:val="20"/>
          <w:szCs w:val="20"/>
        </w:rPr>
        <w:t xml:space="preserve"> </w:t>
      </w:r>
      <w:r w:rsidR="00C7470F" w:rsidRPr="005D3D19">
        <w:rPr>
          <w:sz w:val="20"/>
          <w:szCs w:val="20"/>
        </w:rPr>
        <w:t>conjunction with the Department’s Annual Report.</w:t>
      </w:r>
    </w:p>
    <w:p w:rsidR="0087573E" w:rsidRPr="005D3D19" w:rsidRDefault="00C56A97" w:rsidP="00F81EE5">
      <w:pPr>
        <w:ind w:right="-2"/>
        <w:rPr>
          <w:rFonts w:cs="Arial"/>
          <w:b/>
          <w:sz w:val="20"/>
          <w:szCs w:val="20"/>
        </w:rPr>
      </w:pPr>
      <w:r w:rsidRPr="005D3D19">
        <w:rPr>
          <w:rFonts w:cs="Arial"/>
          <w:b/>
          <w:sz w:val="20"/>
          <w:szCs w:val="20"/>
        </w:rPr>
        <w:t xml:space="preserve">Canberra </w:t>
      </w:r>
      <w:bookmarkStart w:id="2" w:name="_GoBack"/>
      <w:bookmarkEnd w:id="2"/>
      <w:r w:rsidRPr="005D3D19">
        <w:rPr>
          <w:rFonts w:cs="Arial"/>
          <w:b/>
          <w:sz w:val="20"/>
          <w:szCs w:val="20"/>
        </w:rPr>
        <w:t xml:space="preserve">Offices </w:t>
      </w:r>
    </w:p>
    <w:p w:rsidR="0087573E" w:rsidRPr="005D3D19" w:rsidRDefault="00C56A97" w:rsidP="00F81EE5">
      <w:pPr>
        <w:ind w:right="-2"/>
        <w:rPr>
          <w:rFonts w:cs="Arial"/>
          <w:sz w:val="20"/>
          <w:szCs w:val="20"/>
          <w:u w:val="single"/>
        </w:rPr>
      </w:pPr>
      <w:r w:rsidRPr="005D3D19">
        <w:rPr>
          <w:rFonts w:cs="Arial"/>
          <w:sz w:val="20"/>
          <w:szCs w:val="20"/>
          <w:u w:val="single"/>
        </w:rPr>
        <w:t>Sites and Staffing</w:t>
      </w:r>
    </w:p>
    <w:p w:rsidR="00997F51" w:rsidRPr="005D3D19" w:rsidRDefault="00C56A97" w:rsidP="00F81EE5">
      <w:pPr>
        <w:ind w:right="-2"/>
        <w:rPr>
          <w:rFonts w:cs="Arial"/>
          <w:sz w:val="20"/>
          <w:szCs w:val="20"/>
        </w:rPr>
      </w:pPr>
      <w:r w:rsidRPr="005D3D19">
        <w:rPr>
          <w:rFonts w:cs="Arial"/>
          <w:sz w:val="20"/>
          <w:szCs w:val="20"/>
        </w:rPr>
        <w:t xml:space="preserve">The </w:t>
      </w:r>
      <w:r w:rsidR="00272E22" w:rsidRPr="005D3D19">
        <w:rPr>
          <w:rFonts w:cs="Arial"/>
          <w:sz w:val="20"/>
          <w:szCs w:val="20"/>
        </w:rPr>
        <w:t>D</w:t>
      </w:r>
      <w:r w:rsidRPr="005D3D19">
        <w:rPr>
          <w:rFonts w:cs="Arial"/>
          <w:sz w:val="20"/>
          <w:szCs w:val="20"/>
        </w:rPr>
        <w:t>epartment’s Canber</w:t>
      </w:r>
      <w:r w:rsidR="004155E9" w:rsidRPr="005D3D19">
        <w:rPr>
          <w:rFonts w:cs="Arial"/>
          <w:sz w:val="20"/>
          <w:szCs w:val="20"/>
        </w:rPr>
        <w:t xml:space="preserve">ra operations are housed in </w:t>
      </w:r>
      <w:r w:rsidRPr="005D3D19">
        <w:rPr>
          <w:rFonts w:cs="Arial"/>
          <w:sz w:val="20"/>
          <w:szCs w:val="20"/>
        </w:rPr>
        <w:t>several office tenancies which include</w:t>
      </w:r>
      <w:r w:rsidR="00174C0D" w:rsidRPr="005D3D19">
        <w:rPr>
          <w:rFonts w:cs="Arial"/>
          <w:sz w:val="20"/>
          <w:szCs w:val="20"/>
        </w:rPr>
        <w:t>s</w:t>
      </w:r>
      <w:r w:rsidRPr="005D3D19">
        <w:rPr>
          <w:rFonts w:cs="Arial"/>
          <w:sz w:val="20"/>
          <w:szCs w:val="20"/>
        </w:rPr>
        <w:t xml:space="preserve"> the John Gorton Building in Parkes, 33</w:t>
      </w:r>
      <w:r w:rsidR="00D675F6" w:rsidRPr="005D3D19">
        <w:rPr>
          <w:rFonts w:cs="Arial"/>
          <w:sz w:val="20"/>
          <w:szCs w:val="20"/>
        </w:rPr>
        <w:t xml:space="preserve"> and 51</w:t>
      </w:r>
      <w:r w:rsidRPr="005D3D19">
        <w:rPr>
          <w:rFonts w:cs="Arial"/>
          <w:sz w:val="20"/>
          <w:szCs w:val="20"/>
        </w:rPr>
        <w:t xml:space="preserve"> Allara Street i</w:t>
      </w:r>
      <w:r w:rsidR="004155E9" w:rsidRPr="005D3D19">
        <w:rPr>
          <w:rFonts w:cs="Arial"/>
          <w:sz w:val="20"/>
          <w:szCs w:val="20"/>
        </w:rPr>
        <w:t>n Civic</w:t>
      </w:r>
      <w:r w:rsidR="005E5B15">
        <w:rPr>
          <w:rFonts w:cs="Arial"/>
          <w:sz w:val="20"/>
          <w:szCs w:val="20"/>
        </w:rPr>
        <w:t>.</w:t>
      </w:r>
    </w:p>
    <w:p w:rsidR="00612FC4" w:rsidRPr="005D3D19" w:rsidRDefault="00C56A97" w:rsidP="00F81EE5">
      <w:pPr>
        <w:ind w:right="-2"/>
        <w:rPr>
          <w:rFonts w:cs="Arial"/>
          <w:sz w:val="20"/>
          <w:szCs w:val="20"/>
        </w:rPr>
      </w:pPr>
      <w:r w:rsidRPr="005D3D19">
        <w:rPr>
          <w:rFonts w:cs="Arial"/>
          <w:sz w:val="20"/>
          <w:szCs w:val="20"/>
        </w:rPr>
        <w:t xml:space="preserve">The total number of staff (FTE) located in these offices </w:t>
      </w:r>
      <w:r w:rsidR="001C2FBF" w:rsidRPr="005D3D19">
        <w:rPr>
          <w:rFonts w:cs="Arial"/>
          <w:sz w:val="20"/>
          <w:szCs w:val="20"/>
        </w:rPr>
        <w:t>for the 201</w:t>
      </w:r>
      <w:r w:rsidR="005E5B15">
        <w:rPr>
          <w:rFonts w:cs="Arial"/>
          <w:sz w:val="20"/>
          <w:szCs w:val="20"/>
        </w:rPr>
        <w:t>5</w:t>
      </w:r>
      <w:r w:rsidR="001C2FBF" w:rsidRPr="005D3D19">
        <w:rPr>
          <w:rFonts w:cs="Arial"/>
          <w:sz w:val="20"/>
          <w:szCs w:val="20"/>
        </w:rPr>
        <w:t>-</w:t>
      </w:r>
      <w:r w:rsidR="005E5B15">
        <w:rPr>
          <w:rFonts w:cs="Arial"/>
          <w:sz w:val="20"/>
          <w:szCs w:val="20"/>
        </w:rPr>
        <w:t>16 period is 1,586</w:t>
      </w:r>
      <w:r w:rsidR="00F12830" w:rsidRPr="005D3D19">
        <w:rPr>
          <w:rFonts w:cs="Arial"/>
          <w:sz w:val="20"/>
          <w:szCs w:val="20"/>
        </w:rPr>
        <w:t>.</w:t>
      </w:r>
    </w:p>
    <w:p w:rsidR="00612FC4" w:rsidRPr="005D3D19" w:rsidRDefault="00C56A97" w:rsidP="00F81EE5">
      <w:pPr>
        <w:ind w:right="-2"/>
        <w:rPr>
          <w:rFonts w:cs="Arial"/>
          <w:sz w:val="20"/>
          <w:szCs w:val="20"/>
          <w:u w:val="single"/>
        </w:rPr>
      </w:pPr>
      <w:r w:rsidRPr="005D3D19">
        <w:rPr>
          <w:rFonts w:cs="Arial"/>
          <w:sz w:val="20"/>
          <w:szCs w:val="20"/>
          <w:u w:val="single"/>
        </w:rPr>
        <w:t>Environmental Management Framework</w:t>
      </w:r>
    </w:p>
    <w:p w:rsidR="00612FC4" w:rsidRPr="005D3D19" w:rsidRDefault="00E22EE4" w:rsidP="00F81EE5">
      <w:pPr>
        <w:ind w:right="-2"/>
        <w:rPr>
          <w:rFonts w:cs="Arial"/>
          <w:sz w:val="20"/>
          <w:szCs w:val="20"/>
        </w:rPr>
      </w:pPr>
      <w:r w:rsidRPr="005D3D19">
        <w:rPr>
          <w:rFonts w:cs="Arial"/>
          <w:sz w:val="20"/>
          <w:szCs w:val="20"/>
        </w:rPr>
        <w:t xml:space="preserve">The </w:t>
      </w:r>
      <w:r w:rsidR="00272E22" w:rsidRPr="005D3D19">
        <w:rPr>
          <w:rFonts w:cs="Arial"/>
          <w:sz w:val="20"/>
          <w:szCs w:val="20"/>
        </w:rPr>
        <w:t>D</w:t>
      </w:r>
      <w:r w:rsidRPr="005D3D19">
        <w:rPr>
          <w:rFonts w:cs="Arial"/>
          <w:sz w:val="20"/>
          <w:szCs w:val="20"/>
        </w:rPr>
        <w:t xml:space="preserve">epartment‘s </w:t>
      </w:r>
      <w:r w:rsidR="00053D62" w:rsidRPr="005D3D19">
        <w:rPr>
          <w:rFonts w:cs="Arial"/>
          <w:sz w:val="20"/>
          <w:szCs w:val="20"/>
        </w:rPr>
        <w:t xml:space="preserve">Environmental Management System (EMS) provides the framework and approach for our </w:t>
      </w:r>
      <w:r w:rsidR="00B4664C" w:rsidRPr="005D3D19">
        <w:rPr>
          <w:rFonts w:cs="Arial"/>
          <w:sz w:val="20"/>
          <w:szCs w:val="20"/>
        </w:rPr>
        <w:t xml:space="preserve">Canberra office </w:t>
      </w:r>
      <w:r w:rsidR="00053D62" w:rsidRPr="005D3D19">
        <w:rPr>
          <w:rFonts w:cs="Arial"/>
          <w:sz w:val="20"/>
          <w:szCs w:val="20"/>
        </w:rPr>
        <w:t>locations</w:t>
      </w:r>
      <w:r w:rsidR="004F35A7" w:rsidRPr="005D3D19">
        <w:rPr>
          <w:rFonts w:cs="Arial"/>
          <w:sz w:val="20"/>
          <w:szCs w:val="20"/>
        </w:rPr>
        <w:t>.  The EMS</w:t>
      </w:r>
      <w:r w:rsidR="00053D62" w:rsidRPr="005D3D19">
        <w:rPr>
          <w:rFonts w:cs="Arial"/>
          <w:sz w:val="20"/>
          <w:szCs w:val="20"/>
        </w:rPr>
        <w:t xml:space="preserve"> provides for the </w:t>
      </w:r>
      <w:r w:rsidR="004F35A7" w:rsidRPr="005D3D19">
        <w:rPr>
          <w:rFonts w:cs="Arial"/>
          <w:sz w:val="20"/>
          <w:szCs w:val="20"/>
        </w:rPr>
        <w:t xml:space="preserve">planning, </w:t>
      </w:r>
      <w:r w:rsidR="00053D62" w:rsidRPr="005D3D19">
        <w:rPr>
          <w:rFonts w:cs="Arial"/>
          <w:sz w:val="20"/>
          <w:szCs w:val="20"/>
        </w:rPr>
        <w:t xml:space="preserve">implementation </w:t>
      </w:r>
      <w:r w:rsidR="004F35A7" w:rsidRPr="005D3D19">
        <w:rPr>
          <w:rFonts w:cs="Arial"/>
          <w:sz w:val="20"/>
          <w:szCs w:val="20"/>
        </w:rPr>
        <w:t>and review of strategies to reduce environmental impact</w:t>
      </w:r>
      <w:r w:rsidR="00BB5435" w:rsidRPr="005D3D19">
        <w:rPr>
          <w:rFonts w:cs="Arial"/>
          <w:sz w:val="20"/>
          <w:szCs w:val="20"/>
        </w:rPr>
        <w:t>s</w:t>
      </w:r>
      <w:r w:rsidR="004F35A7" w:rsidRPr="005D3D19">
        <w:rPr>
          <w:rFonts w:cs="Arial"/>
          <w:sz w:val="20"/>
          <w:szCs w:val="20"/>
        </w:rPr>
        <w:t xml:space="preserve">. </w:t>
      </w:r>
    </w:p>
    <w:p w:rsidR="00CE2A75" w:rsidRPr="005D3D19" w:rsidRDefault="00CE2A75" w:rsidP="00F81EE5">
      <w:pPr>
        <w:ind w:right="-2"/>
        <w:rPr>
          <w:rFonts w:cs="Arial"/>
          <w:sz w:val="20"/>
          <w:szCs w:val="20"/>
        </w:rPr>
      </w:pPr>
      <w:r w:rsidRPr="005D3D19">
        <w:rPr>
          <w:rFonts w:cs="Arial"/>
          <w:sz w:val="20"/>
          <w:szCs w:val="20"/>
        </w:rPr>
        <w:t>In 201</w:t>
      </w:r>
      <w:r w:rsidR="005E5B15">
        <w:rPr>
          <w:rFonts w:cs="Arial"/>
          <w:sz w:val="20"/>
          <w:szCs w:val="20"/>
        </w:rPr>
        <w:t>5</w:t>
      </w:r>
      <w:r w:rsidR="00B92285" w:rsidRPr="005D3D19">
        <w:rPr>
          <w:rFonts w:cs="Arial"/>
          <w:sz w:val="20"/>
          <w:szCs w:val="20"/>
        </w:rPr>
        <w:t>-1</w:t>
      </w:r>
      <w:r w:rsidR="005E5B15">
        <w:rPr>
          <w:rFonts w:cs="Arial"/>
          <w:sz w:val="20"/>
          <w:szCs w:val="20"/>
        </w:rPr>
        <w:t>6</w:t>
      </w:r>
      <w:r w:rsidR="00A95610" w:rsidRPr="005D3D19">
        <w:rPr>
          <w:rFonts w:cs="Arial"/>
          <w:sz w:val="20"/>
          <w:szCs w:val="20"/>
        </w:rPr>
        <w:t xml:space="preserve"> </w:t>
      </w:r>
      <w:r w:rsidR="007C4695" w:rsidRPr="005D3D19">
        <w:rPr>
          <w:rFonts w:cs="Arial"/>
          <w:sz w:val="20"/>
          <w:szCs w:val="20"/>
        </w:rPr>
        <w:t>EMS certification to the international standard for Environmental Management Systems (ISO14001:2004)</w:t>
      </w:r>
      <w:r w:rsidR="00A95610" w:rsidRPr="005D3D19">
        <w:rPr>
          <w:rFonts w:cs="Arial"/>
          <w:sz w:val="20"/>
          <w:szCs w:val="20"/>
        </w:rPr>
        <w:t xml:space="preserve"> was maintained in Canberra office locations</w:t>
      </w:r>
      <w:r w:rsidR="007C4695" w:rsidRPr="005D3D19">
        <w:rPr>
          <w:rFonts w:cs="Arial"/>
          <w:sz w:val="20"/>
          <w:szCs w:val="20"/>
        </w:rPr>
        <w:t xml:space="preserve">.  The EMS has been certified </w:t>
      </w:r>
      <w:r w:rsidR="00B0585D" w:rsidRPr="005D3D19">
        <w:rPr>
          <w:rFonts w:cs="Arial"/>
          <w:sz w:val="20"/>
          <w:szCs w:val="20"/>
        </w:rPr>
        <w:t xml:space="preserve">since </w:t>
      </w:r>
      <w:r w:rsidR="007C4695" w:rsidRPr="005D3D19">
        <w:rPr>
          <w:rFonts w:cs="Arial"/>
          <w:sz w:val="20"/>
          <w:szCs w:val="20"/>
        </w:rPr>
        <w:t>1999.</w:t>
      </w:r>
    </w:p>
    <w:p w:rsidR="00612FC4" w:rsidRPr="005D3D19" w:rsidRDefault="0087573E" w:rsidP="00F81EE5">
      <w:pPr>
        <w:ind w:right="-2"/>
        <w:rPr>
          <w:rFonts w:cs="Arial"/>
          <w:sz w:val="20"/>
          <w:szCs w:val="20"/>
          <w:u w:val="single"/>
        </w:rPr>
      </w:pPr>
      <w:r w:rsidRPr="005D3D19">
        <w:rPr>
          <w:rFonts w:cs="Arial"/>
          <w:sz w:val="20"/>
          <w:szCs w:val="20"/>
          <w:u w:val="single"/>
        </w:rPr>
        <w:t>Energy</w:t>
      </w:r>
    </w:p>
    <w:p w:rsidR="00A70BCE" w:rsidRDefault="0087573E" w:rsidP="00F81EE5">
      <w:pPr>
        <w:ind w:right="-2"/>
        <w:rPr>
          <w:rFonts w:cs="Arial"/>
          <w:sz w:val="20"/>
          <w:szCs w:val="20"/>
        </w:rPr>
      </w:pPr>
      <w:r w:rsidRPr="00600CE1">
        <w:rPr>
          <w:rFonts w:cs="Arial"/>
          <w:sz w:val="20"/>
          <w:szCs w:val="20"/>
        </w:rPr>
        <w:t>Office electricity use in 201</w:t>
      </w:r>
      <w:r w:rsidR="005E5B15" w:rsidRPr="00600CE1">
        <w:rPr>
          <w:rFonts w:cs="Arial"/>
          <w:sz w:val="20"/>
          <w:szCs w:val="20"/>
        </w:rPr>
        <w:t>5</w:t>
      </w:r>
      <w:r w:rsidR="00F7308F" w:rsidRPr="00600CE1">
        <w:rPr>
          <w:rFonts w:cs="Arial"/>
          <w:sz w:val="20"/>
          <w:szCs w:val="20"/>
        </w:rPr>
        <w:t>-1</w:t>
      </w:r>
      <w:r w:rsidR="005E5B15" w:rsidRPr="00600CE1">
        <w:rPr>
          <w:rFonts w:cs="Arial"/>
          <w:sz w:val="20"/>
          <w:szCs w:val="20"/>
        </w:rPr>
        <w:t>6</w:t>
      </w:r>
      <w:r w:rsidRPr="00600CE1">
        <w:rPr>
          <w:rFonts w:cs="Arial"/>
          <w:sz w:val="20"/>
          <w:szCs w:val="20"/>
        </w:rPr>
        <w:t xml:space="preserve"> </w:t>
      </w:r>
      <w:r w:rsidR="00D531F9" w:rsidRPr="00600CE1">
        <w:rPr>
          <w:rFonts w:cs="Arial"/>
          <w:sz w:val="20"/>
          <w:szCs w:val="20"/>
        </w:rPr>
        <w:t>de</w:t>
      </w:r>
      <w:r w:rsidR="002D13BA" w:rsidRPr="00600CE1">
        <w:rPr>
          <w:rFonts w:cs="Arial"/>
          <w:sz w:val="20"/>
          <w:szCs w:val="20"/>
        </w:rPr>
        <w:t>creased</w:t>
      </w:r>
      <w:r w:rsidRPr="00600CE1">
        <w:rPr>
          <w:rFonts w:cs="Arial"/>
          <w:sz w:val="20"/>
          <w:szCs w:val="20"/>
        </w:rPr>
        <w:t xml:space="preserve"> by </w:t>
      </w:r>
      <w:r w:rsidR="00D531F9" w:rsidRPr="00600CE1">
        <w:rPr>
          <w:rFonts w:cs="Arial"/>
          <w:sz w:val="20"/>
          <w:szCs w:val="20"/>
        </w:rPr>
        <w:t>5</w:t>
      </w:r>
      <w:r w:rsidR="001C2FBF" w:rsidRPr="00600CE1">
        <w:rPr>
          <w:rFonts w:cs="Arial"/>
          <w:sz w:val="20"/>
          <w:szCs w:val="20"/>
        </w:rPr>
        <w:t xml:space="preserve">% </w:t>
      </w:r>
      <w:r w:rsidRPr="00600CE1">
        <w:rPr>
          <w:rFonts w:cs="Arial"/>
          <w:sz w:val="20"/>
          <w:szCs w:val="20"/>
        </w:rPr>
        <w:t>overall</w:t>
      </w:r>
      <w:r w:rsidR="00D531F9" w:rsidRPr="00600CE1">
        <w:rPr>
          <w:rFonts w:cs="Arial"/>
          <w:sz w:val="20"/>
          <w:szCs w:val="20"/>
        </w:rPr>
        <w:t>.</w:t>
      </w:r>
      <w:r w:rsidRPr="00600CE1">
        <w:rPr>
          <w:rFonts w:cs="Arial"/>
          <w:sz w:val="20"/>
          <w:szCs w:val="20"/>
        </w:rPr>
        <w:t xml:space="preserve"> The tenant light and power energy use was 4</w:t>
      </w:r>
      <w:r w:rsidR="000C5B93" w:rsidRPr="00600CE1">
        <w:rPr>
          <w:rFonts w:cs="Arial"/>
          <w:sz w:val="20"/>
          <w:szCs w:val="20"/>
        </w:rPr>
        <w:t>,</w:t>
      </w:r>
      <w:r w:rsidR="00D531F9" w:rsidRPr="00600CE1">
        <w:rPr>
          <w:rFonts w:cs="Arial"/>
          <w:sz w:val="20"/>
          <w:szCs w:val="20"/>
        </w:rPr>
        <w:t>277</w:t>
      </w:r>
      <w:r w:rsidRPr="00600CE1">
        <w:rPr>
          <w:rFonts w:cs="Arial"/>
          <w:sz w:val="20"/>
          <w:szCs w:val="20"/>
        </w:rPr>
        <w:t xml:space="preserve"> mega joules per person</w:t>
      </w:r>
      <w:r w:rsidR="002D455F" w:rsidRPr="00600CE1">
        <w:rPr>
          <w:rFonts w:cs="Arial"/>
          <w:sz w:val="20"/>
          <w:szCs w:val="20"/>
        </w:rPr>
        <w:t xml:space="preserve">, </w:t>
      </w:r>
      <w:r w:rsidRPr="00600CE1">
        <w:rPr>
          <w:rFonts w:cs="Arial"/>
          <w:sz w:val="20"/>
          <w:szCs w:val="20"/>
        </w:rPr>
        <w:t>well below the government’s target of 7</w:t>
      </w:r>
      <w:r w:rsidR="00A95610" w:rsidRPr="00600CE1">
        <w:rPr>
          <w:rFonts w:cs="Arial"/>
          <w:sz w:val="20"/>
          <w:szCs w:val="20"/>
        </w:rPr>
        <w:t>,</w:t>
      </w:r>
      <w:r w:rsidRPr="00600CE1">
        <w:rPr>
          <w:rFonts w:cs="Arial"/>
          <w:sz w:val="20"/>
          <w:szCs w:val="20"/>
        </w:rPr>
        <w:t xml:space="preserve">500 </w:t>
      </w:r>
      <w:r w:rsidR="00174C0D" w:rsidRPr="00600CE1">
        <w:rPr>
          <w:rFonts w:cs="Arial"/>
          <w:sz w:val="20"/>
          <w:szCs w:val="20"/>
        </w:rPr>
        <w:t xml:space="preserve">mega joules </w:t>
      </w:r>
      <w:r w:rsidR="001A06ED" w:rsidRPr="00600CE1">
        <w:rPr>
          <w:rFonts w:cs="Arial"/>
          <w:sz w:val="20"/>
          <w:szCs w:val="20"/>
        </w:rPr>
        <w:t>per person.</w:t>
      </w:r>
    </w:p>
    <w:p w:rsidR="00612FC4" w:rsidRPr="005D3D19" w:rsidRDefault="0087573E" w:rsidP="00F81EE5">
      <w:pPr>
        <w:ind w:right="-2"/>
        <w:rPr>
          <w:rFonts w:cs="Arial"/>
          <w:sz w:val="20"/>
          <w:szCs w:val="20"/>
        </w:rPr>
      </w:pPr>
      <w:r w:rsidRPr="005D3D19">
        <w:rPr>
          <w:rFonts w:cs="Arial"/>
          <w:sz w:val="20"/>
          <w:szCs w:val="20"/>
        </w:rPr>
        <w:t xml:space="preserve">The </w:t>
      </w:r>
      <w:r w:rsidR="00272E22" w:rsidRPr="005D3D19">
        <w:rPr>
          <w:rFonts w:cs="Arial"/>
          <w:sz w:val="20"/>
          <w:szCs w:val="20"/>
        </w:rPr>
        <w:t>D</w:t>
      </w:r>
      <w:r w:rsidRPr="005D3D19">
        <w:rPr>
          <w:rFonts w:cs="Arial"/>
          <w:sz w:val="20"/>
          <w:szCs w:val="20"/>
        </w:rPr>
        <w:t>epartment continues to purchase 100</w:t>
      </w:r>
      <w:r w:rsidR="001C2FBF" w:rsidRPr="005D3D19">
        <w:rPr>
          <w:rFonts w:cs="Arial"/>
          <w:sz w:val="20"/>
          <w:szCs w:val="20"/>
        </w:rPr>
        <w:t>%</w:t>
      </w:r>
      <w:r w:rsidRPr="005D3D19">
        <w:rPr>
          <w:rFonts w:cs="Arial"/>
          <w:sz w:val="20"/>
          <w:szCs w:val="20"/>
        </w:rPr>
        <w:t xml:space="preserve"> Green Power for its sites in Ca</w:t>
      </w:r>
      <w:r w:rsidR="00C56A97" w:rsidRPr="005D3D19">
        <w:rPr>
          <w:rFonts w:cs="Arial"/>
          <w:sz w:val="20"/>
          <w:szCs w:val="20"/>
        </w:rPr>
        <w:t>nberra</w:t>
      </w:r>
      <w:r w:rsidR="00A70BCE" w:rsidRPr="005D3D19">
        <w:rPr>
          <w:rFonts w:cs="Arial"/>
          <w:sz w:val="20"/>
          <w:szCs w:val="20"/>
        </w:rPr>
        <w:t xml:space="preserve"> and to offset </w:t>
      </w:r>
      <w:r w:rsidR="00C56A97" w:rsidRPr="005D3D19">
        <w:rPr>
          <w:rFonts w:cs="Arial"/>
          <w:sz w:val="20"/>
          <w:szCs w:val="20"/>
        </w:rPr>
        <w:t>greenhouse</w:t>
      </w:r>
      <w:r w:rsidR="00A06EC0" w:rsidRPr="005D3D19">
        <w:rPr>
          <w:rFonts w:cs="Arial"/>
          <w:sz w:val="20"/>
          <w:szCs w:val="20"/>
        </w:rPr>
        <w:t xml:space="preserve"> gas </w:t>
      </w:r>
      <w:r w:rsidR="00C56A97" w:rsidRPr="005D3D19">
        <w:rPr>
          <w:rFonts w:cs="Arial"/>
          <w:sz w:val="20"/>
          <w:szCs w:val="20"/>
        </w:rPr>
        <w:t>em</w:t>
      </w:r>
      <w:r w:rsidR="00A70BCE" w:rsidRPr="005D3D19">
        <w:rPr>
          <w:rFonts w:cs="Arial"/>
          <w:sz w:val="20"/>
          <w:szCs w:val="20"/>
        </w:rPr>
        <w:t>issions</w:t>
      </w:r>
      <w:r w:rsidR="00D531F9">
        <w:rPr>
          <w:rFonts w:cs="Arial"/>
          <w:sz w:val="20"/>
          <w:szCs w:val="20"/>
        </w:rPr>
        <w:t>.</w:t>
      </w:r>
    </w:p>
    <w:p w:rsidR="00612FC4" w:rsidRPr="005D3D19" w:rsidRDefault="00C56A97" w:rsidP="00F81EE5">
      <w:pPr>
        <w:ind w:right="-2"/>
        <w:rPr>
          <w:rFonts w:cs="Arial"/>
          <w:sz w:val="20"/>
          <w:szCs w:val="20"/>
          <w:u w:val="single"/>
        </w:rPr>
      </w:pPr>
      <w:r w:rsidRPr="005D3D19">
        <w:rPr>
          <w:rFonts w:cs="Arial"/>
          <w:sz w:val="20"/>
          <w:szCs w:val="20"/>
          <w:u w:val="single"/>
        </w:rPr>
        <w:t xml:space="preserve">Resource efficiency and waste </w:t>
      </w:r>
    </w:p>
    <w:p w:rsidR="003E6547" w:rsidRDefault="00C56A97" w:rsidP="00F81EE5">
      <w:pPr>
        <w:ind w:right="-2"/>
        <w:rPr>
          <w:rFonts w:cs="Arial"/>
          <w:sz w:val="20"/>
          <w:szCs w:val="20"/>
        </w:rPr>
      </w:pPr>
      <w:r w:rsidRPr="005D3D19">
        <w:rPr>
          <w:rFonts w:cs="Arial"/>
          <w:sz w:val="20"/>
          <w:szCs w:val="20"/>
        </w:rPr>
        <w:t xml:space="preserve">We continue to participate in the ACT Smart Office Recycling Program.  </w:t>
      </w:r>
    </w:p>
    <w:p w:rsidR="0087573E" w:rsidRPr="00DA426A" w:rsidRDefault="001C2FBF" w:rsidP="00810A7D">
      <w:pPr>
        <w:ind w:right="-2"/>
        <w:rPr>
          <w:rFonts w:cs="Arial"/>
          <w:sz w:val="20"/>
          <w:szCs w:val="20"/>
          <w:u w:val="single"/>
        </w:rPr>
      </w:pPr>
      <w:r w:rsidRPr="00DA426A">
        <w:rPr>
          <w:rFonts w:cs="Arial"/>
          <w:sz w:val="20"/>
          <w:szCs w:val="20"/>
          <w:u w:val="single"/>
        </w:rPr>
        <w:t>Table 1</w:t>
      </w:r>
      <w:r w:rsidR="00352F50" w:rsidRPr="00DA426A">
        <w:rPr>
          <w:rFonts w:cs="Arial"/>
          <w:sz w:val="20"/>
          <w:szCs w:val="20"/>
          <w:u w:val="single"/>
        </w:rPr>
        <w:t xml:space="preserve">:  </w:t>
      </w:r>
      <w:r w:rsidR="0087573E" w:rsidRPr="00DA426A">
        <w:rPr>
          <w:rFonts w:cs="Arial"/>
          <w:sz w:val="20"/>
          <w:szCs w:val="20"/>
          <w:u w:val="single"/>
        </w:rPr>
        <w:t>Summary of Environmental Indicators – Canberra Office</w:t>
      </w:r>
      <w:r w:rsidR="00352F50" w:rsidRPr="00DA426A">
        <w:rPr>
          <w:rFonts w:cs="Arial"/>
          <w:sz w:val="20"/>
          <w:szCs w:val="20"/>
          <w:u w:val="single"/>
        </w:rPr>
        <w:t>s</w:t>
      </w:r>
    </w:p>
    <w:tbl>
      <w:tblPr>
        <w:tblStyle w:val="TableGrid"/>
        <w:tblW w:w="9356" w:type="dxa"/>
        <w:tblInd w:w="-5" w:type="dxa"/>
        <w:tblLayout w:type="fixed"/>
        <w:tblLook w:val="04A0" w:firstRow="1" w:lastRow="0" w:firstColumn="1" w:lastColumn="0" w:noHBand="0" w:noVBand="1"/>
      </w:tblPr>
      <w:tblGrid>
        <w:gridCol w:w="2977"/>
        <w:gridCol w:w="1701"/>
        <w:gridCol w:w="1701"/>
        <w:gridCol w:w="1701"/>
        <w:gridCol w:w="1276"/>
      </w:tblGrid>
      <w:tr w:rsidR="00112BFE" w:rsidRPr="005D3D19" w:rsidTr="00112BFE">
        <w:trPr>
          <w:cnfStyle w:val="100000000000" w:firstRow="1" w:lastRow="0" w:firstColumn="0" w:lastColumn="0" w:oddVBand="0" w:evenVBand="0" w:oddHBand="0" w:evenHBand="0" w:firstRowFirstColumn="0" w:firstRowLastColumn="0" w:lastRowFirstColumn="0" w:lastRowLastColumn="0"/>
        </w:trPr>
        <w:tc>
          <w:tcPr>
            <w:tcW w:w="2977" w:type="dxa"/>
          </w:tcPr>
          <w:p w:rsidR="00112BFE" w:rsidRPr="005D3D19" w:rsidRDefault="00112BFE" w:rsidP="00112BFE">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Indicator</w:t>
            </w:r>
          </w:p>
        </w:tc>
        <w:tc>
          <w:tcPr>
            <w:tcW w:w="1701" w:type="dxa"/>
          </w:tcPr>
          <w:p w:rsidR="00112BFE" w:rsidRPr="005D3D19" w:rsidRDefault="00112BFE" w:rsidP="00112BFE">
            <w:pPr>
              <w:spacing w:after="0" w:line="240" w:lineRule="auto"/>
              <w:ind w:right="-2"/>
              <w:rPr>
                <w:rFonts w:eastAsia="Times New Roman" w:cs="Arial"/>
                <w:b/>
                <w:bCs/>
                <w:sz w:val="20"/>
                <w:szCs w:val="20"/>
                <w:lang w:eastAsia="en-AU"/>
              </w:rPr>
            </w:pPr>
            <w:r w:rsidRPr="005D3D19">
              <w:rPr>
                <w:rFonts w:eastAsia="Times New Roman" w:cs="Arial"/>
                <w:b/>
                <w:bCs/>
                <w:sz w:val="20"/>
                <w:szCs w:val="20"/>
                <w:lang w:eastAsia="en-AU"/>
              </w:rPr>
              <w:t>2013-14 Result</w:t>
            </w:r>
          </w:p>
        </w:tc>
        <w:tc>
          <w:tcPr>
            <w:tcW w:w="1701" w:type="dxa"/>
          </w:tcPr>
          <w:p w:rsidR="00112BFE" w:rsidRPr="005D3D19" w:rsidRDefault="00112BFE" w:rsidP="00112BFE">
            <w:pPr>
              <w:spacing w:after="0" w:line="240" w:lineRule="auto"/>
              <w:ind w:right="-2"/>
              <w:rPr>
                <w:rFonts w:eastAsia="Times New Roman" w:cs="Arial"/>
                <w:b/>
                <w:bCs/>
                <w:sz w:val="20"/>
                <w:szCs w:val="20"/>
                <w:lang w:eastAsia="en-AU"/>
              </w:rPr>
            </w:pPr>
            <w:r w:rsidRPr="005D3D19">
              <w:rPr>
                <w:rFonts w:eastAsia="Times New Roman" w:cs="Arial"/>
                <w:b/>
                <w:bCs/>
                <w:sz w:val="20"/>
                <w:szCs w:val="20"/>
                <w:lang w:eastAsia="en-AU"/>
              </w:rPr>
              <w:t>2014-15 Result</w:t>
            </w:r>
          </w:p>
        </w:tc>
        <w:tc>
          <w:tcPr>
            <w:tcW w:w="1701" w:type="dxa"/>
          </w:tcPr>
          <w:p w:rsidR="00112BFE" w:rsidRPr="005D3D19" w:rsidRDefault="00112BFE" w:rsidP="00112BFE">
            <w:pPr>
              <w:spacing w:after="0" w:line="240" w:lineRule="auto"/>
              <w:ind w:right="-2"/>
              <w:rPr>
                <w:rFonts w:eastAsia="Times New Roman" w:cs="Arial"/>
                <w:b/>
                <w:bCs/>
                <w:sz w:val="20"/>
                <w:szCs w:val="20"/>
                <w:lang w:eastAsia="en-AU"/>
              </w:rPr>
            </w:pPr>
            <w:r>
              <w:rPr>
                <w:rFonts w:eastAsia="Times New Roman" w:cs="Arial"/>
                <w:b/>
                <w:bCs/>
                <w:sz w:val="20"/>
                <w:szCs w:val="20"/>
                <w:lang w:eastAsia="en-AU"/>
              </w:rPr>
              <w:t>2015-16 Result</w:t>
            </w:r>
          </w:p>
        </w:tc>
        <w:tc>
          <w:tcPr>
            <w:tcW w:w="1276" w:type="dxa"/>
          </w:tcPr>
          <w:p w:rsidR="00112BFE" w:rsidRPr="005D3D19" w:rsidRDefault="00112BFE" w:rsidP="00112BFE">
            <w:pPr>
              <w:spacing w:after="0" w:line="240" w:lineRule="auto"/>
              <w:ind w:right="-2"/>
              <w:rPr>
                <w:rFonts w:eastAsia="Times New Roman" w:cs="Arial"/>
                <w:b/>
                <w:bCs/>
                <w:color w:val="000000"/>
                <w:sz w:val="20"/>
                <w:szCs w:val="20"/>
                <w:lang w:eastAsia="en-AU"/>
              </w:rPr>
            </w:pPr>
            <w:r w:rsidRPr="005D3D19">
              <w:rPr>
                <w:rFonts w:eastAsia="Times New Roman" w:cs="Arial"/>
                <w:b/>
                <w:bCs/>
                <w:color w:val="000000"/>
                <w:sz w:val="20"/>
                <w:szCs w:val="20"/>
                <w:lang w:eastAsia="en-AU"/>
              </w:rPr>
              <w:t>% Change</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9356" w:type="dxa"/>
            <w:gridSpan w:val="5"/>
          </w:tcPr>
          <w:p w:rsidR="00112BFE" w:rsidRPr="005D3D19" w:rsidRDefault="00112BFE" w:rsidP="00112BFE">
            <w:pPr>
              <w:pStyle w:val="Tabletext"/>
              <w:ind w:right="-2"/>
              <w:rPr>
                <w:rFonts w:cs="Arial"/>
                <w:b/>
                <w:sz w:val="20"/>
                <w:szCs w:val="20"/>
              </w:rPr>
            </w:pPr>
            <w:r w:rsidRPr="005D3D19">
              <w:rPr>
                <w:rFonts w:cs="Arial"/>
                <w:b/>
                <w:sz w:val="20"/>
                <w:szCs w:val="20"/>
              </w:rPr>
              <w:t>Staffing</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Average staffing levels (FTE)</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1,569</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1,566.5</w:t>
            </w:r>
          </w:p>
        </w:tc>
        <w:tc>
          <w:tcPr>
            <w:tcW w:w="1701" w:type="dxa"/>
          </w:tcPr>
          <w:p w:rsidR="00112BFE" w:rsidRPr="005D3D19" w:rsidRDefault="00112BFE" w:rsidP="00112BFE">
            <w:pPr>
              <w:pStyle w:val="Tabletext"/>
              <w:ind w:right="-2"/>
              <w:jc w:val="right"/>
              <w:rPr>
                <w:rFonts w:cs="Arial"/>
                <w:sz w:val="20"/>
                <w:szCs w:val="20"/>
              </w:rPr>
            </w:pPr>
            <w:r>
              <w:rPr>
                <w:rFonts w:cs="Arial"/>
                <w:sz w:val="20"/>
                <w:szCs w:val="20"/>
              </w:rPr>
              <w:t>1,586</w:t>
            </w:r>
          </w:p>
        </w:tc>
        <w:tc>
          <w:tcPr>
            <w:tcW w:w="1276" w:type="dxa"/>
          </w:tcPr>
          <w:p w:rsidR="00112BFE" w:rsidRPr="005D3D19" w:rsidRDefault="00112BFE" w:rsidP="00112BFE">
            <w:pPr>
              <w:pStyle w:val="Tabletext"/>
              <w:ind w:right="-2"/>
              <w:jc w:val="right"/>
              <w:rPr>
                <w:rFonts w:cs="Arial"/>
                <w:sz w:val="20"/>
                <w:szCs w:val="20"/>
              </w:rPr>
            </w:pPr>
            <w:r>
              <w:rPr>
                <w:rFonts w:cs="Arial"/>
                <w:sz w:val="20"/>
                <w:szCs w:val="20"/>
              </w:rPr>
              <w:t>1.2</w:t>
            </w:r>
            <w:r w:rsidRPr="005D3D19">
              <w:rPr>
                <w:rFonts w:cs="Arial"/>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9356" w:type="dxa"/>
            <w:gridSpan w:val="5"/>
          </w:tcPr>
          <w:p w:rsidR="00112BFE" w:rsidRPr="005D3D19" w:rsidRDefault="00112BFE" w:rsidP="00112BFE">
            <w:pPr>
              <w:pStyle w:val="Tabletext"/>
              <w:ind w:right="-2"/>
              <w:rPr>
                <w:rFonts w:cs="Arial"/>
                <w:b/>
                <w:sz w:val="20"/>
                <w:szCs w:val="20"/>
              </w:rPr>
            </w:pPr>
            <w:r w:rsidRPr="005D3D19">
              <w:rPr>
                <w:rFonts w:cs="Arial"/>
                <w:b/>
                <w:sz w:val="20"/>
                <w:szCs w:val="20"/>
              </w:rPr>
              <w:t>Office/building energy use</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Total office tenant light and power</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 xml:space="preserve"> 6,658,050 MJ</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7,144,369 MJ</w:t>
            </w:r>
          </w:p>
        </w:tc>
        <w:tc>
          <w:tcPr>
            <w:tcW w:w="1701" w:type="dxa"/>
          </w:tcPr>
          <w:p w:rsidR="00112BFE" w:rsidRPr="005D3D19" w:rsidRDefault="00112BFE" w:rsidP="00112BFE">
            <w:pPr>
              <w:pStyle w:val="Tabletext"/>
              <w:ind w:right="-2"/>
              <w:jc w:val="right"/>
              <w:rPr>
                <w:rFonts w:cs="Arial"/>
                <w:sz w:val="20"/>
                <w:szCs w:val="20"/>
              </w:rPr>
            </w:pPr>
            <w:r>
              <w:rPr>
                <w:rFonts w:cs="Arial"/>
                <w:sz w:val="20"/>
                <w:szCs w:val="20"/>
              </w:rPr>
              <w:t>6,784,112 MJ</w:t>
            </w:r>
          </w:p>
        </w:tc>
        <w:tc>
          <w:tcPr>
            <w:tcW w:w="1276" w:type="dxa"/>
          </w:tcPr>
          <w:p w:rsidR="00112BFE" w:rsidRPr="005D3D19" w:rsidRDefault="00112BFE" w:rsidP="00112BFE">
            <w:pPr>
              <w:pStyle w:val="Tabletext"/>
              <w:ind w:right="-2"/>
              <w:jc w:val="right"/>
              <w:rPr>
                <w:rFonts w:cs="Arial"/>
                <w:sz w:val="20"/>
                <w:szCs w:val="20"/>
              </w:rPr>
            </w:pPr>
            <w:r>
              <w:rPr>
                <w:rFonts w:cs="Arial"/>
                <w:sz w:val="20"/>
                <w:szCs w:val="20"/>
              </w:rPr>
              <w:t>-5.0</w:t>
            </w:r>
            <w:r w:rsidRPr="005D3D19">
              <w:rPr>
                <w:rFonts w:cs="Arial"/>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Tenant light and power per person</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 xml:space="preserve">   4,243 MJ/FTE</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4,561 MJ/FTE</w:t>
            </w:r>
          </w:p>
        </w:tc>
        <w:tc>
          <w:tcPr>
            <w:tcW w:w="1701" w:type="dxa"/>
          </w:tcPr>
          <w:p w:rsidR="00112BFE" w:rsidRPr="005D3D19" w:rsidRDefault="00112BFE" w:rsidP="00112BFE">
            <w:pPr>
              <w:pStyle w:val="Tabletext"/>
              <w:ind w:right="-2"/>
              <w:jc w:val="right"/>
              <w:rPr>
                <w:rFonts w:cs="Arial"/>
                <w:sz w:val="20"/>
                <w:szCs w:val="20"/>
              </w:rPr>
            </w:pPr>
            <w:r>
              <w:rPr>
                <w:rFonts w:cs="Arial"/>
                <w:sz w:val="20"/>
                <w:szCs w:val="20"/>
              </w:rPr>
              <w:t>4,277 MJ/FTE</w:t>
            </w:r>
          </w:p>
        </w:tc>
        <w:tc>
          <w:tcPr>
            <w:tcW w:w="1276" w:type="dxa"/>
          </w:tcPr>
          <w:p w:rsidR="00112BFE" w:rsidRPr="005D3D19" w:rsidRDefault="00112BFE" w:rsidP="00112BFE">
            <w:pPr>
              <w:pStyle w:val="Tabletext"/>
              <w:ind w:right="-2"/>
              <w:jc w:val="right"/>
              <w:rPr>
                <w:rFonts w:cs="Arial"/>
                <w:sz w:val="20"/>
                <w:szCs w:val="20"/>
                <w:highlight w:val="yellow"/>
              </w:rPr>
            </w:pPr>
            <w:r>
              <w:rPr>
                <w:rFonts w:cs="Arial"/>
                <w:sz w:val="20"/>
                <w:szCs w:val="20"/>
              </w:rPr>
              <w:t>-6.2</w:t>
            </w:r>
            <w:r w:rsidRPr="005D3D19">
              <w:rPr>
                <w:rFonts w:cs="Arial"/>
                <w:sz w:val="20"/>
                <w:szCs w:val="20"/>
              </w:rPr>
              <w:t>%</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Tenant light and power per square metre</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179 MJ/m</w:t>
            </w:r>
            <w:r w:rsidRPr="005D3D19">
              <w:rPr>
                <w:rFonts w:cs="Arial"/>
                <w:sz w:val="20"/>
                <w:szCs w:val="20"/>
                <w:vertAlign w:val="superscript"/>
              </w:rPr>
              <w:t>2</w:t>
            </w:r>
          </w:p>
          <w:p w:rsidR="00112BFE" w:rsidRPr="005D3D19" w:rsidRDefault="00112BFE" w:rsidP="00112BFE">
            <w:pPr>
              <w:pStyle w:val="Tabletext"/>
              <w:ind w:right="-2"/>
              <w:jc w:val="right"/>
              <w:rPr>
                <w:rFonts w:cs="Arial"/>
                <w:sz w:val="20"/>
                <w:szCs w:val="20"/>
              </w:rPr>
            </w:pPr>
            <w:r w:rsidRPr="005D3D19">
              <w:rPr>
                <w:rFonts w:cs="Arial"/>
                <w:sz w:val="20"/>
                <w:szCs w:val="20"/>
              </w:rPr>
              <w:t xml:space="preserve"> </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180 MJ/m</w:t>
            </w:r>
            <w:r w:rsidRPr="005D3D19">
              <w:rPr>
                <w:rFonts w:cs="Arial"/>
                <w:sz w:val="20"/>
                <w:szCs w:val="20"/>
                <w:vertAlign w:val="superscript"/>
              </w:rPr>
              <w:t>2</w:t>
            </w:r>
          </w:p>
          <w:p w:rsidR="00112BFE" w:rsidRPr="005D3D19" w:rsidRDefault="00112BFE" w:rsidP="00112BFE">
            <w:pPr>
              <w:pStyle w:val="Tabletext"/>
              <w:ind w:right="-2"/>
              <w:jc w:val="right"/>
              <w:rPr>
                <w:rFonts w:cs="Arial"/>
                <w:sz w:val="20"/>
                <w:szCs w:val="20"/>
                <w:vertAlign w:val="superscript"/>
              </w:rPr>
            </w:pPr>
          </w:p>
        </w:tc>
        <w:tc>
          <w:tcPr>
            <w:tcW w:w="1701" w:type="dxa"/>
          </w:tcPr>
          <w:p w:rsidR="00112BFE" w:rsidRPr="005D3D19" w:rsidRDefault="00112BFE" w:rsidP="00112BFE">
            <w:pPr>
              <w:pStyle w:val="Tabletext"/>
              <w:ind w:right="-2"/>
              <w:jc w:val="right"/>
              <w:rPr>
                <w:rFonts w:cs="Arial"/>
                <w:sz w:val="20"/>
                <w:szCs w:val="20"/>
                <w:vertAlign w:val="superscript"/>
              </w:rPr>
            </w:pPr>
            <w:r w:rsidRPr="00112BFE">
              <w:rPr>
                <w:rFonts w:cs="Arial"/>
                <w:sz w:val="20"/>
                <w:szCs w:val="20"/>
              </w:rPr>
              <w:t>172 MJ/m</w:t>
            </w:r>
            <w:r>
              <w:rPr>
                <w:rFonts w:cs="Arial"/>
                <w:sz w:val="20"/>
                <w:szCs w:val="20"/>
                <w:vertAlign w:val="superscript"/>
              </w:rPr>
              <w:t>2</w:t>
            </w:r>
          </w:p>
        </w:tc>
        <w:tc>
          <w:tcPr>
            <w:tcW w:w="1276" w:type="dxa"/>
          </w:tcPr>
          <w:p w:rsidR="00112BFE" w:rsidRPr="005D3D19" w:rsidRDefault="00112BFE" w:rsidP="00112BFE">
            <w:pPr>
              <w:pStyle w:val="Tabletext"/>
              <w:ind w:right="-2"/>
              <w:jc w:val="right"/>
              <w:rPr>
                <w:rFonts w:cs="Arial"/>
                <w:sz w:val="20"/>
                <w:szCs w:val="20"/>
              </w:rPr>
            </w:pPr>
            <w:r>
              <w:rPr>
                <w:rFonts w:cs="Arial"/>
                <w:sz w:val="20"/>
                <w:szCs w:val="20"/>
              </w:rPr>
              <w:t>-4.4</w:t>
            </w:r>
            <w:r w:rsidRPr="005D3D19">
              <w:rPr>
                <w:rFonts w:cs="Arial"/>
                <w:sz w:val="20"/>
                <w:szCs w:val="20"/>
              </w:rPr>
              <w:t>%</w:t>
            </w:r>
          </w:p>
          <w:p w:rsidR="00112BFE" w:rsidRPr="005D3D19" w:rsidRDefault="00112BFE" w:rsidP="00112BFE">
            <w:pPr>
              <w:pStyle w:val="Tabletext"/>
              <w:ind w:right="-2"/>
              <w:jc w:val="right"/>
              <w:rPr>
                <w:rFonts w:cs="Arial"/>
                <w:sz w:val="20"/>
                <w:szCs w:val="20"/>
              </w:rPr>
            </w:pP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Total base building energy use</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n/a</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n/a</w:t>
            </w:r>
          </w:p>
        </w:tc>
        <w:tc>
          <w:tcPr>
            <w:tcW w:w="1701" w:type="dxa"/>
          </w:tcPr>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n/a</w:t>
            </w:r>
          </w:p>
        </w:tc>
        <w:tc>
          <w:tcPr>
            <w:tcW w:w="1276" w:type="dxa"/>
          </w:tcPr>
          <w:p w:rsidR="00112BFE" w:rsidRPr="005D3D19" w:rsidRDefault="00F5423D" w:rsidP="00112BFE">
            <w:pPr>
              <w:pStyle w:val="Tabletext"/>
              <w:ind w:right="-2"/>
              <w:jc w:val="right"/>
              <w:rPr>
                <w:rFonts w:cs="Arial"/>
                <w:sz w:val="20"/>
                <w:szCs w:val="20"/>
              </w:rPr>
            </w:pPr>
            <w:r>
              <w:rPr>
                <w:rFonts w:cs="Arial"/>
                <w:sz w:val="20"/>
                <w:szCs w:val="20"/>
              </w:rPr>
              <w:t>n/a</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Base building energy use by area</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n/a</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n/a</w:t>
            </w:r>
          </w:p>
        </w:tc>
        <w:tc>
          <w:tcPr>
            <w:tcW w:w="1701" w:type="dxa"/>
          </w:tcPr>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n/a</w:t>
            </w:r>
          </w:p>
        </w:tc>
        <w:tc>
          <w:tcPr>
            <w:tcW w:w="1276" w:type="dxa"/>
          </w:tcPr>
          <w:p w:rsidR="00112BFE" w:rsidRPr="005D3D19" w:rsidRDefault="00F5423D" w:rsidP="00112BFE">
            <w:pPr>
              <w:pStyle w:val="Tabletext"/>
              <w:ind w:right="-2"/>
              <w:jc w:val="right"/>
              <w:rPr>
                <w:rFonts w:cs="Arial"/>
                <w:sz w:val="20"/>
                <w:szCs w:val="20"/>
              </w:rPr>
            </w:pPr>
            <w:r>
              <w:rPr>
                <w:rFonts w:cs="Arial"/>
                <w:sz w:val="20"/>
                <w:szCs w:val="20"/>
              </w:rPr>
              <w:t>n/a</w:t>
            </w:r>
          </w:p>
        </w:tc>
      </w:tr>
    </w:tbl>
    <w:p w:rsidR="00E26D3F" w:rsidRDefault="00E26D3F">
      <w:r>
        <w:br w:type="page"/>
      </w:r>
    </w:p>
    <w:tbl>
      <w:tblPr>
        <w:tblStyle w:val="TableGrid"/>
        <w:tblW w:w="9356" w:type="dxa"/>
        <w:tblInd w:w="-5" w:type="dxa"/>
        <w:tblLayout w:type="fixed"/>
        <w:tblLook w:val="04A0" w:firstRow="1" w:lastRow="0" w:firstColumn="1" w:lastColumn="0" w:noHBand="0" w:noVBand="1"/>
      </w:tblPr>
      <w:tblGrid>
        <w:gridCol w:w="2977"/>
        <w:gridCol w:w="1701"/>
        <w:gridCol w:w="1701"/>
        <w:gridCol w:w="1701"/>
        <w:gridCol w:w="1276"/>
      </w:tblGrid>
      <w:tr w:rsidR="00112BFE" w:rsidRPr="005D3D19" w:rsidTr="00112BFE">
        <w:trPr>
          <w:cnfStyle w:val="100000000000" w:firstRow="1" w:lastRow="0" w:firstColumn="0" w:lastColumn="0" w:oddVBand="0" w:evenVBand="0" w:oddHBand="0"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lastRenderedPageBreak/>
              <w:t>Building energy use (electricity and gas):</w:t>
            </w:r>
          </w:p>
          <w:p w:rsidR="00112BFE" w:rsidRPr="005D3D19" w:rsidRDefault="00112BFE" w:rsidP="00112BFE">
            <w:pPr>
              <w:pStyle w:val="Tabletext"/>
              <w:numPr>
                <w:ilvl w:val="0"/>
                <w:numId w:val="21"/>
              </w:numPr>
              <w:ind w:left="0" w:right="-2"/>
              <w:rPr>
                <w:rFonts w:cs="Arial"/>
                <w:sz w:val="20"/>
                <w:szCs w:val="20"/>
              </w:rPr>
            </w:pPr>
            <w:r w:rsidRPr="005D3D19">
              <w:rPr>
                <w:rFonts w:cs="Arial"/>
                <w:sz w:val="20"/>
                <w:szCs w:val="20"/>
              </w:rPr>
              <w:t>Laboratories</w:t>
            </w:r>
          </w:p>
          <w:p w:rsidR="00112BFE" w:rsidRPr="005D3D19" w:rsidRDefault="00112BFE" w:rsidP="00112BFE">
            <w:pPr>
              <w:pStyle w:val="Tabletext"/>
              <w:numPr>
                <w:ilvl w:val="0"/>
                <w:numId w:val="21"/>
              </w:numPr>
              <w:ind w:left="0" w:right="-2"/>
              <w:rPr>
                <w:rFonts w:cs="Arial"/>
                <w:sz w:val="20"/>
                <w:szCs w:val="20"/>
              </w:rPr>
            </w:pPr>
            <w:r w:rsidRPr="005D3D19">
              <w:rPr>
                <w:rFonts w:cs="Arial"/>
                <w:sz w:val="20"/>
                <w:szCs w:val="20"/>
              </w:rPr>
              <w:t>Public Buildings</w:t>
            </w:r>
          </w:p>
          <w:p w:rsidR="00112BFE" w:rsidRPr="005D3D19" w:rsidRDefault="00112BFE" w:rsidP="00112BFE">
            <w:pPr>
              <w:pStyle w:val="Tabletext"/>
              <w:numPr>
                <w:ilvl w:val="0"/>
                <w:numId w:val="21"/>
              </w:numPr>
              <w:ind w:left="0" w:right="-2"/>
              <w:rPr>
                <w:rFonts w:cs="Arial"/>
                <w:sz w:val="20"/>
                <w:szCs w:val="20"/>
              </w:rPr>
            </w:pPr>
            <w:r w:rsidRPr="005D3D19">
              <w:rPr>
                <w:rFonts w:cs="Arial"/>
                <w:sz w:val="20"/>
                <w:szCs w:val="20"/>
              </w:rPr>
              <w:t>Accommodation</w:t>
            </w:r>
          </w:p>
          <w:p w:rsidR="00112BFE" w:rsidRPr="005D3D19" w:rsidRDefault="00112BFE" w:rsidP="00112BFE">
            <w:pPr>
              <w:pStyle w:val="Tabletext"/>
              <w:numPr>
                <w:ilvl w:val="0"/>
                <w:numId w:val="21"/>
              </w:numPr>
              <w:ind w:left="0" w:right="-2"/>
              <w:rPr>
                <w:rFonts w:cs="Arial"/>
                <w:sz w:val="20"/>
                <w:szCs w:val="20"/>
              </w:rPr>
            </w:pPr>
            <w:r w:rsidRPr="005D3D19">
              <w:rPr>
                <w:rFonts w:cs="Arial"/>
                <w:sz w:val="20"/>
                <w:szCs w:val="20"/>
              </w:rPr>
              <w:t>Warehouse</w:t>
            </w:r>
          </w:p>
          <w:p w:rsidR="00112BFE" w:rsidRPr="005D3D19" w:rsidRDefault="00112BFE" w:rsidP="00112BFE">
            <w:pPr>
              <w:pStyle w:val="Tabletext"/>
              <w:numPr>
                <w:ilvl w:val="0"/>
                <w:numId w:val="21"/>
              </w:numPr>
              <w:ind w:left="0" w:right="-2"/>
              <w:rPr>
                <w:rFonts w:cs="Arial"/>
                <w:sz w:val="20"/>
                <w:szCs w:val="20"/>
              </w:rPr>
            </w:pPr>
            <w:r w:rsidRPr="005D3D19">
              <w:rPr>
                <w:rFonts w:cs="Arial"/>
                <w:sz w:val="20"/>
                <w:szCs w:val="20"/>
              </w:rPr>
              <w:t>Other</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 xml:space="preserve">                                                    </w:t>
            </w:r>
          </w:p>
          <w:p w:rsidR="00112BFE" w:rsidRPr="005D3D19" w:rsidRDefault="00112BFE" w:rsidP="00112BFE">
            <w:pPr>
              <w:pStyle w:val="Tabletext"/>
              <w:ind w:right="-2"/>
              <w:jc w:val="right"/>
              <w:rPr>
                <w:rFonts w:cs="Arial"/>
                <w:sz w:val="20"/>
                <w:szCs w:val="20"/>
              </w:rPr>
            </w:pPr>
            <w:r w:rsidRPr="005D3D19">
              <w:rPr>
                <w:rFonts w:cs="Arial"/>
                <w:sz w:val="20"/>
                <w:szCs w:val="20"/>
              </w:rPr>
              <w:t xml:space="preserve">                                                                                           n/a</w:t>
            </w:r>
          </w:p>
          <w:p w:rsidR="00112BFE" w:rsidRPr="005D3D19" w:rsidRDefault="00112BFE" w:rsidP="00112BFE">
            <w:pPr>
              <w:pStyle w:val="Tabletext"/>
              <w:ind w:right="-2"/>
              <w:jc w:val="right"/>
              <w:rPr>
                <w:rFonts w:cs="Arial"/>
                <w:sz w:val="20"/>
                <w:szCs w:val="20"/>
              </w:rPr>
            </w:pPr>
            <w:r w:rsidRPr="005D3D19">
              <w:rPr>
                <w:rFonts w:cs="Arial"/>
                <w:sz w:val="20"/>
                <w:szCs w:val="20"/>
              </w:rPr>
              <w:t>n/a</w:t>
            </w:r>
          </w:p>
          <w:p w:rsidR="00112BFE" w:rsidRPr="005D3D19" w:rsidRDefault="00112BFE" w:rsidP="00112BFE">
            <w:pPr>
              <w:pStyle w:val="Tabletext"/>
              <w:ind w:right="-2"/>
              <w:jc w:val="right"/>
              <w:rPr>
                <w:rFonts w:cs="Arial"/>
                <w:sz w:val="20"/>
                <w:szCs w:val="20"/>
              </w:rPr>
            </w:pPr>
            <w:r w:rsidRPr="005D3D19">
              <w:rPr>
                <w:rFonts w:cs="Arial"/>
                <w:sz w:val="20"/>
                <w:szCs w:val="20"/>
              </w:rPr>
              <w:t>n/a</w:t>
            </w:r>
          </w:p>
          <w:p w:rsidR="00112BFE" w:rsidRPr="005D3D19" w:rsidRDefault="00112BFE" w:rsidP="00112BFE">
            <w:pPr>
              <w:pStyle w:val="Tabletext"/>
              <w:ind w:right="-2"/>
              <w:jc w:val="right"/>
              <w:rPr>
                <w:rFonts w:cs="Arial"/>
                <w:sz w:val="20"/>
                <w:szCs w:val="20"/>
              </w:rPr>
            </w:pPr>
            <w:r w:rsidRPr="005D3D19">
              <w:rPr>
                <w:rFonts w:cs="Arial"/>
                <w:sz w:val="20"/>
                <w:szCs w:val="20"/>
              </w:rPr>
              <w:t>87,606 MJ</w:t>
            </w:r>
          </w:p>
          <w:p w:rsidR="00112BFE" w:rsidRPr="005D3D19" w:rsidRDefault="00112BFE" w:rsidP="00112BFE">
            <w:pPr>
              <w:pStyle w:val="Tabletext"/>
              <w:ind w:right="-2"/>
              <w:jc w:val="right"/>
              <w:rPr>
                <w:rFonts w:cs="Arial"/>
                <w:sz w:val="20"/>
                <w:szCs w:val="20"/>
              </w:rPr>
            </w:pPr>
            <w:r w:rsidRPr="005D3D19">
              <w:rPr>
                <w:rFonts w:cs="Arial"/>
                <w:sz w:val="20"/>
                <w:szCs w:val="20"/>
              </w:rPr>
              <w:t>n/a</w:t>
            </w:r>
          </w:p>
        </w:tc>
        <w:tc>
          <w:tcPr>
            <w:tcW w:w="1701" w:type="dxa"/>
          </w:tcPr>
          <w:p w:rsidR="00112BFE" w:rsidRPr="005D3D19"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r w:rsidRPr="005D3D19">
              <w:rPr>
                <w:rFonts w:cs="Arial"/>
                <w:sz w:val="20"/>
                <w:szCs w:val="20"/>
              </w:rPr>
              <w:t>n/a</w:t>
            </w:r>
          </w:p>
          <w:p w:rsidR="00112BFE" w:rsidRPr="005D3D19" w:rsidRDefault="00112BFE" w:rsidP="00112BFE">
            <w:pPr>
              <w:pStyle w:val="Tabletext"/>
              <w:ind w:right="-2"/>
              <w:jc w:val="right"/>
              <w:rPr>
                <w:rFonts w:cs="Arial"/>
                <w:sz w:val="20"/>
                <w:szCs w:val="20"/>
              </w:rPr>
            </w:pPr>
            <w:r w:rsidRPr="005D3D19">
              <w:rPr>
                <w:rFonts w:cs="Arial"/>
                <w:sz w:val="20"/>
                <w:szCs w:val="20"/>
              </w:rPr>
              <w:t>n/a</w:t>
            </w:r>
          </w:p>
          <w:p w:rsidR="00112BFE" w:rsidRPr="005D3D19" w:rsidRDefault="00112BFE" w:rsidP="00112BFE">
            <w:pPr>
              <w:pStyle w:val="Tabletext"/>
              <w:ind w:right="-2"/>
              <w:jc w:val="right"/>
              <w:rPr>
                <w:rFonts w:cs="Arial"/>
                <w:sz w:val="20"/>
                <w:szCs w:val="20"/>
              </w:rPr>
            </w:pPr>
            <w:r w:rsidRPr="005D3D19">
              <w:rPr>
                <w:rFonts w:cs="Arial"/>
                <w:sz w:val="20"/>
                <w:szCs w:val="20"/>
              </w:rPr>
              <w:t>n/a</w:t>
            </w:r>
          </w:p>
          <w:p w:rsidR="00112BFE" w:rsidRPr="005D3D19" w:rsidRDefault="00112BFE" w:rsidP="00112BFE">
            <w:pPr>
              <w:pStyle w:val="Tabletext"/>
              <w:ind w:right="-2"/>
              <w:jc w:val="right"/>
              <w:rPr>
                <w:rFonts w:cs="Arial"/>
                <w:sz w:val="20"/>
                <w:szCs w:val="20"/>
              </w:rPr>
            </w:pPr>
            <w:r w:rsidRPr="005D3D19">
              <w:rPr>
                <w:rFonts w:cs="Arial"/>
                <w:sz w:val="20"/>
                <w:szCs w:val="20"/>
              </w:rPr>
              <w:t>100,069 MJ</w:t>
            </w:r>
          </w:p>
          <w:p w:rsidR="00112BFE" w:rsidRPr="005D3D19" w:rsidRDefault="00112BFE" w:rsidP="00112BFE">
            <w:pPr>
              <w:pStyle w:val="Tabletext"/>
              <w:ind w:right="-2"/>
              <w:jc w:val="right"/>
              <w:rPr>
                <w:rFonts w:cs="Arial"/>
                <w:sz w:val="20"/>
                <w:szCs w:val="20"/>
              </w:rPr>
            </w:pPr>
            <w:r w:rsidRPr="005D3D19">
              <w:rPr>
                <w:rFonts w:cs="Arial"/>
                <w:sz w:val="20"/>
                <w:szCs w:val="20"/>
              </w:rPr>
              <w:t>n/a</w:t>
            </w:r>
          </w:p>
        </w:tc>
        <w:tc>
          <w:tcPr>
            <w:tcW w:w="1701" w:type="dxa"/>
          </w:tcPr>
          <w:p w:rsidR="00112BFE" w:rsidRDefault="00112BFE" w:rsidP="00112BFE">
            <w:pPr>
              <w:pStyle w:val="Tabletext"/>
              <w:ind w:right="-2"/>
              <w:jc w:val="right"/>
              <w:rPr>
                <w:rFonts w:cs="Arial"/>
                <w:sz w:val="20"/>
                <w:szCs w:val="20"/>
              </w:rPr>
            </w:pPr>
          </w:p>
          <w:p w:rsidR="00112BFE" w:rsidRDefault="00112BFE" w:rsidP="00112BFE">
            <w:pPr>
              <w:pStyle w:val="Tabletext"/>
              <w:ind w:right="-2"/>
              <w:jc w:val="right"/>
              <w:rPr>
                <w:rFonts w:cs="Arial"/>
                <w:sz w:val="20"/>
                <w:szCs w:val="20"/>
              </w:rPr>
            </w:pPr>
          </w:p>
          <w:p w:rsidR="00112BFE" w:rsidRDefault="00112BFE" w:rsidP="00112BFE">
            <w:pPr>
              <w:pStyle w:val="Tabletext"/>
              <w:ind w:right="-2"/>
              <w:jc w:val="right"/>
              <w:rPr>
                <w:rFonts w:cs="Arial"/>
                <w:sz w:val="20"/>
                <w:szCs w:val="20"/>
              </w:rPr>
            </w:pPr>
            <w:r>
              <w:rPr>
                <w:rFonts w:cs="Arial"/>
                <w:sz w:val="20"/>
                <w:szCs w:val="20"/>
              </w:rPr>
              <w:t>n/a</w:t>
            </w:r>
          </w:p>
          <w:p w:rsidR="00112BFE" w:rsidRDefault="00112BFE" w:rsidP="00112BFE">
            <w:pPr>
              <w:pStyle w:val="Tabletext"/>
              <w:ind w:right="-2"/>
              <w:jc w:val="right"/>
              <w:rPr>
                <w:rFonts w:cs="Arial"/>
                <w:sz w:val="20"/>
                <w:szCs w:val="20"/>
              </w:rPr>
            </w:pPr>
            <w:r>
              <w:rPr>
                <w:rFonts w:cs="Arial"/>
                <w:sz w:val="20"/>
                <w:szCs w:val="20"/>
              </w:rPr>
              <w:t>n/a</w:t>
            </w:r>
          </w:p>
          <w:p w:rsidR="00112BFE" w:rsidRDefault="00112BFE" w:rsidP="00112BFE">
            <w:pPr>
              <w:pStyle w:val="Tabletext"/>
              <w:ind w:right="-2"/>
              <w:jc w:val="right"/>
              <w:rPr>
                <w:rFonts w:cs="Arial"/>
                <w:sz w:val="20"/>
                <w:szCs w:val="20"/>
              </w:rPr>
            </w:pPr>
            <w:r>
              <w:rPr>
                <w:rFonts w:cs="Arial"/>
                <w:sz w:val="20"/>
                <w:szCs w:val="20"/>
              </w:rPr>
              <w:t>n/a</w:t>
            </w:r>
          </w:p>
          <w:p w:rsidR="00112BFE" w:rsidRDefault="00112BFE" w:rsidP="00112BFE">
            <w:pPr>
              <w:pStyle w:val="Tabletext"/>
              <w:ind w:right="-2"/>
              <w:jc w:val="right"/>
              <w:rPr>
                <w:rFonts w:cs="Arial"/>
                <w:sz w:val="20"/>
                <w:szCs w:val="20"/>
              </w:rPr>
            </w:pPr>
            <w:r>
              <w:rPr>
                <w:rFonts w:cs="Arial"/>
                <w:sz w:val="20"/>
                <w:szCs w:val="20"/>
              </w:rPr>
              <w:t>108,925 MJ</w:t>
            </w:r>
          </w:p>
          <w:p w:rsidR="00112BFE" w:rsidRPr="005D3D19" w:rsidRDefault="00112BFE" w:rsidP="00112BFE">
            <w:pPr>
              <w:pStyle w:val="Tabletext"/>
              <w:ind w:right="-2"/>
              <w:jc w:val="right"/>
              <w:rPr>
                <w:rFonts w:cs="Arial"/>
                <w:sz w:val="20"/>
                <w:szCs w:val="20"/>
              </w:rPr>
            </w:pPr>
            <w:r>
              <w:rPr>
                <w:rFonts w:cs="Arial"/>
                <w:sz w:val="20"/>
                <w:szCs w:val="20"/>
              </w:rPr>
              <w:t>n/a</w:t>
            </w:r>
          </w:p>
        </w:tc>
        <w:tc>
          <w:tcPr>
            <w:tcW w:w="1276" w:type="dxa"/>
          </w:tcPr>
          <w:p w:rsidR="00112BFE" w:rsidRPr="005D3D19"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p>
          <w:p w:rsidR="00112BFE" w:rsidRPr="005D3D19" w:rsidRDefault="00F5423D" w:rsidP="00112BFE">
            <w:pPr>
              <w:pStyle w:val="Tabletext"/>
              <w:ind w:right="-2"/>
              <w:jc w:val="right"/>
              <w:rPr>
                <w:rFonts w:cs="Arial"/>
                <w:sz w:val="20"/>
                <w:szCs w:val="20"/>
              </w:rPr>
            </w:pPr>
            <w:r>
              <w:rPr>
                <w:rFonts w:cs="Arial"/>
                <w:sz w:val="20"/>
                <w:szCs w:val="20"/>
              </w:rPr>
              <w:t>n/a</w:t>
            </w:r>
          </w:p>
          <w:p w:rsidR="00112BFE" w:rsidRPr="005D3D19" w:rsidRDefault="00F5423D" w:rsidP="00112BFE">
            <w:pPr>
              <w:pStyle w:val="Tabletext"/>
              <w:ind w:right="-2"/>
              <w:jc w:val="right"/>
              <w:rPr>
                <w:rFonts w:cs="Arial"/>
                <w:sz w:val="20"/>
                <w:szCs w:val="20"/>
              </w:rPr>
            </w:pPr>
            <w:r>
              <w:rPr>
                <w:rFonts w:cs="Arial"/>
                <w:sz w:val="20"/>
                <w:szCs w:val="20"/>
              </w:rPr>
              <w:t>n/a</w:t>
            </w:r>
          </w:p>
          <w:p w:rsidR="00112BFE" w:rsidRPr="005D3D19" w:rsidRDefault="00F5423D" w:rsidP="00112BFE">
            <w:pPr>
              <w:pStyle w:val="Tabletext"/>
              <w:ind w:right="-2"/>
              <w:jc w:val="right"/>
              <w:rPr>
                <w:rFonts w:cs="Arial"/>
                <w:sz w:val="20"/>
                <w:szCs w:val="20"/>
              </w:rPr>
            </w:pPr>
            <w:r>
              <w:rPr>
                <w:rFonts w:cs="Arial"/>
                <w:sz w:val="20"/>
                <w:szCs w:val="20"/>
              </w:rPr>
              <w:t>n/a</w:t>
            </w:r>
          </w:p>
          <w:p w:rsidR="00112BFE" w:rsidRDefault="00112BFE" w:rsidP="00112BFE">
            <w:pPr>
              <w:pStyle w:val="Tabletext"/>
              <w:ind w:right="-2"/>
              <w:jc w:val="right"/>
              <w:rPr>
                <w:rFonts w:cs="Arial"/>
                <w:sz w:val="20"/>
                <w:szCs w:val="20"/>
              </w:rPr>
            </w:pPr>
            <w:r>
              <w:rPr>
                <w:rFonts w:cs="Arial"/>
                <w:sz w:val="20"/>
                <w:szCs w:val="20"/>
              </w:rPr>
              <w:t>8.8</w:t>
            </w:r>
            <w:r w:rsidRPr="005D3D19">
              <w:rPr>
                <w:rFonts w:cs="Arial"/>
                <w:sz w:val="20"/>
                <w:szCs w:val="20"/>
              </w:rPr>
              <w:t>%</w:t>
            </w:r>
          </w:p>
          <w:p w:rsidR="00F5423D" w:rsidRPr="005D3D19" w:rsidRDefault="00F5423D" w:rsidP="00112BFE">
            <w:pPr>
              <w:pStyle w:val="Tabletext"/>
              <w:ind w:right="-2"/>
              <w:jc w:val="right"/>
              <w:rPr>
                <w:rFonts w:cs="Arial"/>
                <w:sz w:val="20"/>
                <w:szCs w:val="20"/>
              </w:rPr>
            </w:pPr>
            <w:r>
              <w:rPr>
                <w:rFonts w:cs="Arial"/>
                <w:sz w:val="20"/>
                <w:szCs w:val="20"/>
              </w:rPr>
              <w:t>n/a</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GreenPower purchased as a proportion of total electricity purchased</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100%</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100%</w:t>
            </w:r>
          </w:p>
        </w:tc>
        <w:tc>
          <w:tcPr>
            <w:tcW w:w="1701" w:type="dxa"/>
          </w:tcPr>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100%</w:t>
            </w:r>
          </w:p>
        </w:tc>
        <w:tc>
          <w:tcPr>
            <w:tcW w:w="1276" w:type="dxa"/>
          </w:tcPr>
          <w:p w:rsidR="00112BFE" w:rsidRPr="005D3D19" w:rsidRDefault="00112BFE" w:rsidP="00112BFE">
            <w:pPr>
              <w:pStyle w:val="Tabletext"/>
              <w:ind w:right="-2"/>
              <w:jc w:val="right"/>
              <w:rPr>
                <w:rFonts w:cs="Arial"/>
                <w:sz w:val="20"/>
                <w:szCs w:val="20"/>
              </w:rPr>
            </w:pPr>
            <w:r w:rsidRPr="005D3D19">
              <w:rPr>
                <w:rFonts w:cs="Arial"/>
                <w:sz w:val="20"/>
                <w:szCs w:val="20"/>
              </w:rPr>
              <w:t>0%</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9356" w:type="dxa"/>
            <w:gridSpan w:val="5"/>
          </w:tcPr>
          <w:p w:rsidR="00112BFE" w:rsidRPr="005D3D19" w:rsidRDefault="00112BFE" w:rsidP="00112BFE">
            <w:pPr>
              <w:pStyle w:val="Tabletext"/>
              <w:ind w:right="-2"/>
              <w:rPr>
                <w:rFonts w:cs="Arial"/>
                <w:b/>
                <w:sz w:val="20"/>
                <w:szCs w:val="20"/>
              </w:rPr>
            </w:pPr>
            <w:r w:rsidRPr="005D3D19">
              <w:rPr>
                <w:rFonts w:cs="Arial"/>
                <w:b/>
                <w:sz w:val="20"/>
                <w:szCs w:val="20"/>
              </w:rPr>
              <w:t>Transport</w:t>
            </w:r>
            <w:r w:rsidR="00FA6DF8">
              <w:rPr>
                <w:rFonts w:cs="Arial"/>
                <w:b/>
                <w:sz w:val="20"/>
                <w:szCs w:val="20"/>
              </w:rPr>
              <w:t>*</w:t>
            </w:r>
          </w:p>
        </w:tc>
      </w:tr>
      <w:tr w:rsidR="00BE10B4"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Total number of fleet vehicles by location:</w:t>
            </w:r>
          </w:p>
          <w:p w:rsidR="00BE10B4" w:rsidRPr="005D3D19" w:rsidRDefault="00BE10B4" w:rsidP="00BE10B4">
            <w:pPr>
              <w:pStyle w:val="Tabletext"/>
              <w:numPr>
                <w:ilvl w:val="0"/>
                <w:numId w:val="22"/>
              </w:numPr>
              <w:ind w:left="0" w:right="-2"/>
              <w:rPr>
                <w:rFonts w:cs="Arial"/>
                <w:sz w:val="20"/>
                <w:szCs w:val="20"/>
              </w:rPr>
            </w:pPr>
            <w:r w:rsidRPr="005D3D19">
              <w:rPr>
                <w:rFonts w:cs="Arial"/>
                <w:sz w:val="20"/>
                <w:szCs w:val="20"/>
              </w:rPr>
              <w:t>Canberra fleet cars</w:t>
            </w:r>
          </w:p>
          <w:p w:rsidR="00BE10B4" w:rsidRPr="005D3D19" w:rsidRDefault="00BE10B4" w:rsidP="00BE10B4">
            <w:pPr>
              <w:pStyle w:val="Tabletext"/>
              <w:numPr>
                <w:ilvl w:val="0"/>
                <w:numId w:val="22"/>
              </w:numPr>
              <w:ind w:left="0" w:right="-2"/>
              <w:rPr>
                <w:rFonts w:cs="Arial"/>
                <w:sz w:val="20"/>
                <w:szCs w:val="20"/>
              </w:rPr>
            </w:pPr>
            <w:r w:rsidRPr="005D3D19">
              <w:rPr>
                <w:rFonts w:cs="Arial"/>
                <w:sz w:val="20"/>
                <w:szCs w:val="20"/>
              </w:rPr>
              <w:t>Other fleet cars</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9</w:t>
            </w:r>
          </w:p>
          <w:p w:rsidR="00BE10B4" w:rsidRPr="005D3D19" w:rsidRDefault="00BE10B4" w:rsidP="00BE10B4">
            <w:pPr>
              <w:pStyle w:val="Tabletext"/>
              <w:ind w:right="-2"/>
              <w:jc w:val="right"/>
              <w:rPr>
                <w:rFonts w:cs="Arial"/>
                <w:sz w:val="20"/>
                <w:szCs w:val="20"/>
              </w:rPr>
            </w:pPr>
            <w:r w:rsidRPr="005D3D19">
              <w:rPr>
                <w:rFonts w:cs="Arial"/>
                <w:sz w:val="20"/>
                <w:szCs w:val="20"/>
              </w:rPr>
              <w:t>5</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7</w:t>
            </w:r>
          </w:p>
          <w:p w:rsidR="00BE10B4" w:rsidRPr="005D3D19" w:rsidRDefault="00BE10B4" w:rsidP="00BE10B4">
            <w:pPr>
              <w:pStyle w:val="Tabletext"/>
              <w:ind w:right="-2"/>
              <w:jc w:val="right"/>
              <w:rPr>
                <w:rFonts w:cs="Arial"/>
                <w:sz w:val="20"/>
                <w:szCs w:val="20"/>
              </w:rPr>
            </w:pPr>
            <w:r w:rsidRPr="005D3D19">
              <w:rPr>
                <w:rFonts w:cs="Arial"/>
                <w:sz w:val="20"/>
                <w:szCs w:val="20"/>
              </w:rPr>
              <w:t>6</w:t>
            </w:r>
          </w:p>
        </w:tc>
        <w:tc>
          <w:tcPr>
            <w:tcW w:w="1701"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FA6DF8" w:rsidRPr="00FA6DF8" w:rsidRDefault="00FA6DF8" w:rsidP="00BE10B4">
            <w:pPr>
              <w:pStyle w:val="Tabletext"/>
              <w:ind w:right="-2"/>
              <w:jc w:val="right"/>
              <w:rPr>
                <w:rFonts w:cs="Arial"/>
                <w:sz w:val="20"/>
                <w:szCs w:val="20"/>
              </w:rPr>
            </w:pPr>
            <w:r w:rsidRPr="00FA6DF8">
              <w:rPr>
                <w:rFonts w:cs="Arial"/>
                <w:sz w:val="20"/>
                <w:szCs w:val="20"/>
              </w:rPr>
              <w:t>20</w:t>
            </w:r>
          </w:p>
        </w:tc>
        <w:tc>
          <w:tcPr>
            <w:tcW w:w="1276"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Default="00BE10B4" w:rsidP="00BE10B4">
            <w:pPr>
              <w:pStyle w:val="Tabletext"/>
              <w:ind w:right="-2"/>
              <w:jc w:val="right"/>
              <w:rPr>
                <w:rFonts w:cs="Arial"/>
                <w:sz w:val="20"/>
                <w:szCs w:val="20"/>
              </w:rPr>
            </w:pPr>
          </w:p>
          <w:p w:rsidR="00FA6DF8" w:rsidRPr="00FA6DF8" w:rsidRDefault="00FA6DF8" w:rsidP="00BE10B4">
            <w:pPr>
              <w:pStyle w:val="Tabletext"/>
              <w:ind w:right="-2"/>
              <w:jc w:val="right"/>
              <w:rPr>
                <w:rFonts w:cs="Arial"/>
                <w:sz w:val="20"/>
                <w:szCs w:val="20"/>
              </w:rPr>
            </w:pPr>
            <w:r>
              <w:rPr>
                <w:rFonts w:cs="Arial"/>
                <w:sz w:val="20"/>
                <w:szCs w:val="20"/>
              </w:rPr>
              <w:t>n/a</w:t>
            </w:r>
          </w:p>
        </w:tc>
      </w:tr>
      <w:tr w:rsidR="00BE10B4"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Total number of operational vehicles</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14</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13</w:t>
            </w:r>
          </w:p>
        </w:tc>
        <w:tc>
          <w:tcPr>
            <w:tcW w:w="1701" w:type="dxa"/>
          </w:tcPr>
          <w:p w:rsidR="00BE10B4" w:rsidRPr="00FA6DF8" w:rsidRDefault="00FA6DF8" w:rsidP="00BE10B4">
            <w:pPr>
              <w:pStyle w:val="Tabletext"/>
              <w:ind w:right="-2"/>
              <w:jc w:val="right"/>
              <w:rPr>
                <w:rFonts w:cs="Arial"/>
                <w:sz w:val="20"/>
                <w:szCs w:val="20"/>
              </w:rPr>
            </w:pPr>
            <w:r w:rsidRPr="00FA6DF8">
              <w:rPr>
                <w:rFonts w:cs="Arial"/>
                <w:sz w:val="20"/>
                <w:szCs w:val="20"/>
              </w:rPr>
              <w:t>20</w:t>
            </w:r>
          </w:p>
        </w:tc>
        <w:tc>
          <w:tcPr>
            <w:tcW w:w="1276" w:type="dxa"/>
          </w:tcPr>
          <w:p w:rsidR="00BE10B4" w:rsidRPr="00FA6DF8" w:rsidRDefault="00FA6DF8" w:rsidP="00BE10B4">
            <w:pPr>
              <w:pStyle w:val="Tabletext"/>
              <w:ind w:right="-2"/>
              <w:jc w:val="right"/>
              <w:rPr>
                <w:rFonts w:cs="Arial"/>
                <w:sz w:val="20"/>
                <w:szCs w:val="20"/>
              </w:rPr>
            </w:pPr>
            <w:r>
              <w:rPr>
                <w:rFonts w:cs="Arial"/>
                <w:sz w:val="20"/>
                <w:szCs w:val="20"/>
              </w:rPr>
              <w:t>n/a</w:t>
            </w:r>
          </w:p>
        </w:tc>
      </w:tr>
      <w:tr w:rsidR="00BE10B4"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Average Green Vehicle Guide (GVG) rating of fleet vehicles by location (score out of 20):</w:t>
            </w:r>
          </w:p>
          <w:p w:rsidR="00BE10B4" w:rsidRPr="005D3D19" w:rsidRDefault="00BE10B4" w:rsidP="00BE10B4">
            <w:pPr>
              <w:pStyle w:val="Tabletext"/>
              <w:numPr>
                <w:ilvl w:val="0"/>
                <w:numId w:val="23"/>
              </w:numPr>
              <w:ind w:left="0" w:right="-2"/>
              <w:rPr>
                <w:rFonts w:cs="Arial"/>
                <w:sz w:val="20"/>
                <w:szCs w:val="20"/>
              </w:rPr>
            </w:pPr>
            <w:r w:rsidRPr="005D3D19">
              <w:rPr>
                <w:rFonts w:cs="Arial"/>
                <w:sz w:val="20"/>
                <w:szCs w:val="20"/>
              </w:rPr>
              <w:t>Canberra pool cars</w:t>
            </w:r>
          </w:p>
          <w:p w:rsidR="00BE10B4" w:rsidRPr="005D3D19" w:rsidRDefault="00BE10B4" w:rsidP="00BE10B4">
            <w:pPr>
              <w:pStyle w:val="Tabletext"/>
              <w:numPr>
                <w:ilvl w:val="0"/>
                <w:numId w:val="23"/>
              </w:numPr>
              <w:ind w:left="0" w:right="-2"/>
              <w:rPr>
                <w:rFonts w:cs="Arial"/>
                <w:sz w:val="20"/>
                <w:szCs w:val="20"/>
              </w:rPr>
            </w:pPr>
            <w:r w:rsidRPr="005D3D19">
              <w:rPr>
                <w:rFonts w:cs="Arial"/>
                <w:sz w:val="20"/>
                <w:szCs w:val="20"/>
              </w:rPr>
              <w:t>Other fleet cars</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15.2</w:t>
            </w:r>
          </w:p>
          <w:p w:rsidR="00BE10B4" w:rsidRPr="005D3D19" w:rsidRDefault="00BE10B4" w:rsidP="00BE10B4">
            <w:pPr>
              <w:pStyle w:val="Tabletext"/>
              <w:ind w:right="-2"/>
              <w:jc w:val="right"/>
              <w:rPr>
                <w:rFonts w:cs="Arial"/>
                <w:sz w:val="20"/>
                <w:szCs w:val="20"/>
              </w:rPr>
            </w:pPr>
            <w:r w:rsidRPr="005D3D19">
              <w:rPr>
                <w:rFonts w:cs="Arial"/>
                <w:sz w:val="20"/>
                <w:szCs w:val="20"/>
              </w:rPr>
              <w:t>11.5</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13.6</w:t>
            </w:r>
          </w:p>
          <w:p w:rsidR="00BE10B4" w:rsidRPr="005D3D19" w:rsidRDefault="00BE10B4" w:rsidP="00BE10B4">
            <w:pPr>
              <w:pStyle w:val="Tabletext"/>
              <w:ind w:right="-2"/>
              <w:jc w:val="right"/>
              <w:rPr>
                <w:rFonts w:cs="Arial"/>
                <w:sz w:val="20"/>
                <w:szCs w:val="20"/>
              </w:rPr>
            </w:pPr>
            <w:r w:rsidRPr="005D3D19">
              <w:rPr>
                <w:rFonts w:cs="Arial"/>
                <w:sz w:val="20"/>
                <w:szCs w:val="20"/>
              </w:rPr>
              <w:t>12</w:t>
            </w:r>
          </w:p>
        </w:tc>
        <w:tc>
          <w:tcPr>
            <w:tcW w:w="1701"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FA6DF8" w:rsidRPr="00FA6DF8" w:rsidRDefault="00FA6DF8" w:rsidP="00BE10B4">
            <w:pPr>
              <w:pStyle w:val="Tabletext"/>
              <w:ind w:right="-2"/>
              <w:jc w:val="right"/>
              <w:rPr>
                <w:rFonts w:cs="Arial"/>
                <w:sz w:val="20"/>
                <w:szCs w:val="20"/>
              </w:rPr>
            </w:pPr>
          </w:p>
          <w:p w:rsidR="00BE10B4" w:rsidRPr="00FA6DF8" w:rsidRDefault="00FA6DF8" w:rsidP="00BE10B4">
            <w:pPr>
              <w:pStyle w:val="Tabletext"/>
              <w:ind w:right="-2"/>
              <w:jc w:val="right"/>
              <w:rPr>
                <w:rFonts w:cs="Arial"/>
                <w:sz w:val="20"/>
                <w:szCs w:val="20"/>
              </w:rPr>
            </w:pPr>
            <w:r w:rsidRPr="00FA6DF8">
              <w:rPr>
                <w:rFonts w:cs="Arial"/>
                <w:sz w:val="20"/>
                <w:szCs w:val="20"/>
              </w:rPr>
              <w:t>12.1</w:t>
            </w:r>
          </w:p>
        </w:tc>
        <w:tc>
          <w:tcPr>
            <w:tcW w:w="1276"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FA6DF8" w:rsidP="00BE10B4">
            <w:pPr>
              <w:pStyle w:val="Tabletext"/>
              <w:ind w:right="-2"/>
              <w:jc w:val="right"/>
              <w:rPr>
                <w:rFonts w:cs="Arial"/>
                <w:sz w:val="20"/>
                <w:szCs w:val="20"/>
              </w:rPr>
            </w:pPr>
            <w:r>
              <w:rPr>
                <w:rFonts w:cs="Arial"/>
                <w:sz w:val="20"/>
                <w:szCs w:val="20"/>
              </w:rPr>
              <w:t>n/a</w:t>
            </w:r>
          </w:p>
        </w:tc>
      </w:tr>
      <w:tr w:rsidR="00BE10B4"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Average fuel consumption of fleet vehicles by location:</w:t>
            </w:r>
          </w:p>
          <w:p w:rsidR="00BE10B4" w:rsidRPr="005D3D19" w:rsidRDefault="00BE10B4" w:rsidP="00BE10B4">
            <w:pPr>
              <w:pStyle w:val="Tabletext"/>
              <w:numPr>
                <w:ilvl w:val="0"/>
                <w:numId w:val="24"/>
              </w:numPr>
              <w:ind w:left="0" w:right="-2"/>
              <w:rPr>
                <w:rFonts w:cs="Arial"/>
                <w:sz w:val="20"/>
                <w:szCs w:val="20"/>
              </w:rPr>
            </w:pPr>
            <w:r w:rsidRPr="005D3D19">
              <w:rPr>
                <w:rFonts w:cs="Arial"/>
                <w:sz w:val="20"/>
                <w:szCs w:val="20"/>
              </w:rPr>
              <w:t>Canberra pool cars</w:t>
            </w:r>
          </w:p>
          <w:p w:rsidR="00BE10B4" w:rsidRPr="005D3D19" w:rsidRDefault="00BE10B4" w:rsidP="00BE10B4">
            <w:pPr>
              <w:pStyle w:val="Tabletext"/>
              <w:numPr>
                <w:ilvl w:val="0"/>
                <w:numId w:val="24"/>
              </w:numPr>
              <w:ind w:left="0" w:right="-2"/>
              <w:rPr>
                <w:rFonts w:cs="Arial"/>
                <w:sz w:val="20"/>
                <w:szCs w:val="20"/>
              </w:rPr>
            </w:pPr>
            <w:r w:rsidRPr="005D3D19">
              <w:rPr>
                <w:rFonts w:cs="Arial"/>
                <w:sz w:val="20"/>
                <w:szCs w:val="20"/>
              </w:rPr>
              <w:t>Other fleet cars</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 xml:space="preserve">7.54 L/100 km </w:t>
            </w:r>
          </w:p>
          <w:p w:rsidR="00BE10B4" w:rsidRPr="005D3D19" w:rsidRDefault="00BE10B4" w:rsidP="00BE10B4">
            <w:pPr>
              <w:pStyle w:val="Tabletext"/>
              <w:ind w:right="-2"/>
              <w:jc w:val="right"/>
              <w:rPr>
                <w:rFonts w:cs="Arial"/>
                <w:sz w:val="20"/>
                <w:szCs w:val="20"/>
              </w:rPr>
            </w:pPr>
            <w:r w:rsidRPr="005D3D19">
              <w:rPr>
                <w:rFonts w:cs="Arial"/>
                <w:sz w:val="20"/>
                <w:szCs w:val="20"/>
              </w:rPr>
              <w:t>8.86 L/100 km</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 xml:space="preserve">6.08 L/100 km </w:t>
            </w:r>
          </w:p>
          <w:p w:rsidR="00BE10B4" w:rsidRPr="005D3D19" w:rsidRDefault="00BE10B4" w:rsidP="00BE10B4">
            <w:pPr>
              <w:pStyle w:val="Tabletext"/>
              <w:ind w:right="-2"/>
              <w:jc w:val="right"/>
              <w:rPr>
                <w:rFonts w:cs="Arial"/>
                <w:sz w:val="20"/>
                <w:szCs w:val="20"/>
              </w:rPr>
            </w:pPr>
            <w:r w:rsidRPr="005D3D19">
              <w:rPr>
                <w:rFonts w:cs="Arial"/>
                <w:sz w:val="20"/>
                <w:szCs w:val="20"/>
              </w:rPr>
              <w:t xml:space="preserve">9.43 L/100 km </w:t>
            </w:r>
          </w:p>
        </w:tc>
        <w:tc>
          <w:tcPr>
            <w:tcW w:w="1701"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FA6DF8" w:rsidRPr="00FA6DF8" w:rsidRDefault="00FA6DF8" w:rsidP="00BE10B4">
            <w:pPr>
              <w:pStyle w:val="Tabletext"/>
              <w:ind w:right="-2"/>
              <w:jc w:val="right"/>
              <w:rPr>
                <w:rFonts w:cs="Arial"/>
                <w:sz w:val="20"/>
                <w:szCs w:val="20"/>
              </w:rPr>
            </w:pPr>
            <w:r w:rsidRPr="00FA6DF8">
              <w:rPr>
                <w:rFonts w:cs="Arial"/>
                <w:sz w:val="20"/>
                <w:szCs w:val="20"/>
              </w:rPr>
              <w:t>11.84 L/100 km</w:t>
            </w:r>
          </w:p>
        </w:tc>
        <w:tc>
          <w:tcPr>
            <w:tcW w:w="1276"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Default="00BE10B4" w:rsidP="00BE10B4">
            <w:pPr>
              <w:pStyle w:val="Tabletext"/>
              <w:ind w:right="-2"/>
              <w:jc w:val="right"/>
              <w:rPr>
                <w:rFonts w:cs="Arial"/>
                <w:sz w:val="20"/>
                <w:szCs w:val="20"/>
              </w:rPr>
            </w:pPr>
          </w:p>
          <w:p w:rsidR="00FA6DF8" w:rsidRPr="00FA6DF8" w:rsidRDefault="00FA6DF8" w:rsidP="00BE10B4">
            <w:pPr>
              <w:pStyle w:val="Tabletext"/>
              <w:ind w:right="-2"/>
              <w:jc w:val="right"/>
              <w:rPr>
                <w:rFonts w:cs="Arial"/>
                <w:sz w:val="20"/>
                <w:szCs w:val="20"/>
              </w:rPr>
            </w:pPr>
            <w:r>
              <w:rPr>
                <w:rFonts w:cs="Arial"/>
                <w:sz w:val="20"/>
                <w:szCs w:val="20"/>
              </w:rPr>
              <w:t>n/a</w:t>
            </w:r>
          </w:p>
        </w:tc>
      </w:tr>
      <w:tr w:rsidR="00BE10B4"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Fleet vehicle fuel consumption by type:</w:t>
            </w:r>
          </w:p>
          <w:p w:rsidR="00BE10B4" w:rsidRPr="005D3D19" w:rsidRDefault="00BE10B4" w:rsidP="00BE10B4">
            <w:pPr>
              <w:pStyle w:val="Tabletext"/>
              <w:numPr>
                <w:ilvl w:val="0"/>
                <w:numId w:val="25"/>
              </w:numPr>
              <w:ind w:left="0" w:right="-2"/>
              <w:rPr>
                <w:rFonts w:cs="Arial"/>
                <w:sz w:val="20"/>
                <w:szCs w:val="20"/>
              </w:rPr>
            </w:pPr>
            <w:r w:rsidRPr="005D3D19">
              <w:rPr>
                <w:rFonts w:cs="Arial"/>
                <w:sz w:val="20"/>
                <w:szCs w:val="20"/>
              </w:rPr>
              <w:t>Unleaded petrol</w:t>
            </w:r>
          </w:p>
          <w:p w:rsidR="00BE10B4" w:rsidRPr="005D3D19" w:rsidRDefault="00BE10B4" w:rsidP="00BE10B4">
            <w:pPr>
              <w:pStyle w:val="Tabletext"/>
              <w:numPr>
                <w:ilvl w:val="0"/>
                <w:numId w:val="25"/>
              </w:numPr>
              <w:ind w:left="0" w:right="-2"/>
              <w:rPr>
                <w:rFonts w:cs="Arial"/>
                <w:sz w:val="20"/>
                <w:szCs w:val="20"/>
              </w:rPr>
            </w:pPr>
            <w:r w:rsidRPr="005D3D19">
              <w:rPr>
                <w:rFonts w:cs="Arial"/>
                <w:sz w:val="20"/>
                <w:szCs w:val="20"/>
              </w:rPr>
              <w:t>E10 petrol</w:t>
            </w:r>
          </w:p>
          <w:p w:rsidR="00BE10B4" w:rsidRPr="005D3D19" w:rsidRDefault="00BE10B4" w:rsidP="00BE10B4">
            <w:pPr>
              <w:pStyle w:val="Tabletext"/>
              <w:numPr>
                <w:ilvl w:val="0"/>
                <w:numId w:val="25"/>
              </w:numPr>
              <w:ind w:left="0" w:right="-2"/>
              <w:rPr>
                <w:rFonts w:cs="Arial"/>
                <w:sz w:val="20"/>
                <w:szCs w:val="20"/>
              </w:rPr>
            </w:pPr>
            <w:r w:rsidRPr="005D3D19">
              <w:rPr>
                <w:rFonts w:cs="Arial"/>
                <w:sz w:val="20"/>
                <w:szCs w:val="20"/>
              </w:rPr>
              <w:t>Diesel</w:t>
            </w:r>
          </w:p>
          <w:p w:rsidR="00BE10B4" w:rsidRPr="005D3D19" w:rsidRDefault="00BE10B4" w:rsidP="00BE10B4">
            <w:pPr>
              <w:pStyle w:val="Tabletext"/>
              <w:numPr>
                <w:ilvl w:val="0"/>
                <w:numId w:val="25"/>
              </w:numPr>
              <w:ind w:left="0" w:right="-2"/>
              <w:rPr>
                <w:rFonts w:cs="Arial"/>
                <w:sz w:val="20"/>
                <w:szCs w:val="20"/>
              </w:rPr>
            </w:pPr>
            <w:r w:rsidRPr="005D3D19">
              <w:rPr>
                <w:rFonts w:cs="Arial"/>
                <w:sz w:val="20"/>
                <w:szCs w:val="20"/>
              </w:rPr>
              <w:t>LPG</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2,706 L</w:t>
            </w:r>
          </w:p>
          <w:p w:rsidR="00BE10B4" w:rsidRPr="005D3D19" w:rsidRDefault="00BE10B4" w:rsidP="00BE10B4">
            <w:pPr>
              <w:pStyle w:val="Tabletext"/>
              <w:ind w:right="-2"/>
              <w:jc w:val="right"/>
              <w:rPr>
                <w:rFonts w:cs="Arial"/>
                <w:sz w:val="20"/>
                <w:szCs w:val="20"/>
              </w:rPr>
            </w:pPr>
            <w:r w:rsidRPr="005D3D19">
              <w:rPr>
                <w:rFonts w:cs="Arial"/>
                <w:sz w:val="20"/>
                <w:szCs w:val="20"/>
              </w:rPr>
              <w:t>3,101 L</w:t>
            </w:r>
          </w:p>
          <w:p w:rsidR="00BE10B4" w:rsidRPr="005D3D19" w:rsidRDefault="00BE10B4" w:rsidP="00BE10B4">
            <w:pPr>
              <w:pStyle w:val="Tabletext"/>
              <w:ind w:right="-2"/>
              <w:jc w:val="right"/>
              <w:rPr>
                <w:rFonts w:cs="Arial"/>
                <w:sz w:val="20"/>
                <w:szCs w:val="20"/>
              </w:rPr>
            </w:pPr>
            <w:r w:rsidRPr="005D3D19">
              <w:rPr>
                <w:rFonts w:cs="Arial"/>
                <w:sz w:val="20"/>
                <w:szCs w:val="20"/>
              </w:rPr>
              <w:t>4,607 L</w:t>
            </w:r>
          </w:p>
          <w:p w:rsidR="00BE10B4" w:rsidRPr="005D3D19" w:rsidRDefault="00BE10B4" w:rsidP="00BE10B4">
            <w:pPr>
              <w:pStyle w:val="Tabletext"/>
              <w:ind w:right="-2"/>
              <w:jc w:val="right"/>
              <w:rPr>
                <w:rFonts w:cs="Arial"/>
                <w:sz w:val="20"/>
                <w:szCs w:val="20"/>
              </w:rPr>
            </w:pPr>
            <w:r w:rsidRPr="005D3D19">
              <w:rPr>
                <w:rFonts w:cs="Arial"/>
                <w:sz w:val="20"/>
                <w:szCs w:val="20"/>
              </w:rPr>
              <w:t>0 L</w:t>
            </w:r>
          </w:p>
        </w:tc>
        <w:tc>
          <w:tcPr>
            <w:tcW w:w="1701" w:type="dxa"/>
          </w:tcPr>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p>
          <w:p w:rsidR="00BE10B4" w:rsidRPr="005D3D19" w:rsidRDefault="00BE10B4" w:rsidP="00BE10B4">
            <w:pPr>
              <w:pStyle w:val="Tabletext"/>
              <w:ind w:right="-2"/>
              <w:jc w:val="right"/>
              <w:rPr>
                <w:rFonts w:cs="Arial"/>
                <w:sz w:val="20"/>
                <w:szCs w:val="20"/>
              </w:rPr>
            </w:pPr>
            <w:r w:rsidRPr="005D3D19">
              <w:rPr>
                <w:rFonts w:cs="Arial"/>
                <w:sz w:val="20"/>
                <w:szCs w:val="20"/>
              </w:rPr>
              <w:t>3,124 L</w:t>
            </w:r>
          </w:p>
          <w:p w:rsidR="00BE10B4" w:rsidRPr="005D3D19" w:rsidRDefault="00BE10B4" w:rsidP="00BE10B4">
            <w:pPr>
              <w:pStyle w:val="Tabletext"/>
              <w:ind w:right="-2"/>
              <w:jc w:val="right"/>
              <w:rPr>
                <w:rFonts w:cs="Arial"/>
                <w:sz w:val="20"/>
                <w:szCs w:val="20"/>
              </w:rPr>
            </w:pPr>
            <w:r w:rsidRPr="005D3D19">
              <w:rPr>
                <w:rFonts w:cs="Arial"/>
                <w:sz w:val="20"/>
                <w:szCs w:val="20"/>
              </w:rPr>
              <w:t>0</w:t>
            </w:r>
          </w:p>
          <w:p w:rsidR="00BE10B4" w:rsidRPr="005D3D19" w:rsidRDefault="00BE10B4" w:rsidP="00BE10B4">
            <w:pPr>
              <w:pStyle w:val="Tabletext"/>
              <w:ind w:right="-2"/>
              <w:jc w:val="right"/>
              <w:rPr>
                <w:rFonts w:cs="Arial"/>
                <w:sz w:val="20"/>
                <w:szCs w:val="20"/>
              </w:rPr>
            </w:pPr>
            <w:r w:rsidRPr="005D3D19">
              <w:rPr>
                <w:rFonts w:cs="Arial"/>
                <w:sz w:val="20"/>
                <w:szCs w:val="20"/>
              </w:rPr>
              <w:t>4,546 L</w:t>
            </w:r>
          </w:p>
          <w:p w:rsidR="00BE10B4" w:rsidRPr="005D3D19" w:rsidRDefault="00BE10B4" w:rsidP="00BE10B4">
            <w:pPr>
              <w:pStyle w:val="Tabletext"/>
              <w:ind w:right="-2"/>
              <w:jc w:val="right"/>
              <w:rPr>
                <w:rFonts w:cs="Arial"/>
                <w:sz w:val="20"/>
                <w:szCs w:val="20"/>
              </w:rPr>
            </w:pPr>
            <w:r w:rsidRPr="005D3D19">
              <w:rPr>
                <w:rFonts w:cs="Arial"/>
                <w:sz w:val="20"/>
                <w:szCs w:val="20"/>
              </w:rPr>
              <w:t>0</w:t>
            </w:r>
          </w:p>
        </w:tc>
        <w:tc>
          <w:tcPr>
            <w:tcW w:w="1701"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Pr="00FA6DF8" w:rsidRDefault="00FA6DF8" w:rsidP="00BE10B4">
            <w:pPr>
              <w:pStyle w:val="Tabletext"/>
              <w:ind w:right="-2"/>
              <w:jc w:val="right"/>
              <w:rPr>
                <w:rFonts w:cs="Arial"/>
                <w:sz w:val="20"/>
                <w:szCs w:val="20"/>
              </w:rPr>
            </w:pPr>
            <w:r w:rsidRPr="00FA6DF8">
              <w:rPr>
                <w:rFonts w:cs="Arial"/>
                <w:sz w:val="20"/>
                <w:szCs w:val="20"/>
              </w:rPr>
              <w:t>1062.46 L</w:t>
            </w:r>
          </w:p>
          <w:p w:rsidR="00BE10B4" w:rsidRPr="00FA6DF8" w:rsidRDefault="00FA6DF8" w:rsidP="00BE10B4">
            <w:pPr>
              <w:pStyle w:val="Tabletext"/>
              <w:ind w:right="-2"/>
              <w:jc w:val="right"/>
              <w:rPr>
                <w:rFonts w:cs="Arial"/>
                <w:sz w:val="20"/>
                <w:szCs w:val="20"/>
              </w:rPr>
            </w:pPr>
            <w:r w:rsidRPr="00FA6DF8">
              <w:rPr>
                <w:rFonts w:cs="Arial"/>
                <w:sz w:val="20"/>
                <w:szCs w:val="20"/>
              </w:rPr>
              <w:t>2336.62 L</w:t>
            </w:r>
          </w:p>
          <w:p w:rsidR="00BE10B4" w:rsidRPr="00FA6DF8" w:rsidRDefault="00FA6DF8" w:rsidP="00BE10B4">
            <w:pPr>
              <w:pStyle w:val="Tabletext"/>
              <w:ind w:right="-2"/>
              <w:jc w:val="right"/>
              <w:rPr>
                <w:rFonts w:cs="Arial"/>
                <w:sz w:val="20"/>
                <w:szCs w:val="20"/>
              </w:rPr>
            </w:pPr>
            <w:r w:rsidRPr="00FA6DF8">
              <w:rPr>
                <w:rFonts w:cs="Arial"/>
                <w:sz w:val="20"/>
                <w:szCs w:val="20"/>
              </w:rPr>
              <w:t>13617.01 L</w:t>
            </w:r>
          </w:p>
          <w:p w:rsidR="00BE10B4" w:rsidRPr="00FA6DF8" w:rsidRDefault="00FA6DF8" w:rsidP="00BE10B4">
            <w:pPr>
              <w:pStyle w:val="Tabletext"/>
              <w:ind w:right="-2"/>
              <w:jc w:val="right"/>
              <w:rPr>
                <w:rFonts w:cs="Arial"/>
                <w:sz w:val="20"/>
                <w:szCs w:val="20"/>
              </w:rPr>
            </w:pPr>
            <w:r w:rsidRPr="00FA6DF8">
              <w:rPr>
                <w:rFonts w:cs="Arial"/>
                <w:sz w:val="20"/>
                <w:szCs w:val="20"/>
              </w:rPr>
              <w:t>0 L</w:t>
            </w:r>
          </w:p>
        </w:tc>
        <w:tc>
          <w:tcPr>
            <w:tcW w:w="1276" w:type="dxa"/>
          </w:tcPr>
          <w:p w:rsidR="00BE10B4" w:rsidRPr="00FA6DF8" w:rsidRDefault="00BE10B4" w:rsidP="00BE10B4">
            <w:pPr>
              <w:pStyle w:val="Tabletext"/>
              <w:ind w:right="-2"/>
              <w:jc w:val="right"/>
              <w:rPr>
                <w:rFonts w:cs="Arial"/>
                <w:sz w:val="20"/>
                <w:szCs w:val="20"/>
              </w:rPr>
            </w:pPr>
          </w:p>
          <w:p w:rsidR="00BE10B4" w:rsidRPr="00FA6DF8" w:rsidRDefault="00BE10B4" w:rsidP="00BE10B4">
            <w:pPr>
              <w:pStyle w:val="Tabletext"/>
              <w:ind w:right="-2"/>
              <w:jc w:val="right"/>
              <w:rPr>
                <w:rFonts w:cs="Arial"/>
                <w:sz w:val="20"/>
                <w:szCs w:val="20"/>
              </w:rPr>
            </w:pPr>
          </w:p>
          <w:p w:rsidR="00BE10B4" w:rsidRDefault="00FA6DF8" w:rsidP="00FA6DF8">
            <w:pPr>
              <w:pStyle w:val="Tabletext"/>
              <w:ind w:right="-2"/>
              <w:jc w:val="right"/>
              <w:rPr>
                <w:rFonts w:cs="Arial"/>
                <w:sz w:val="20"/>
                <w:szCs w:val="20"/>
              </w:rPr>
            </w:pPr>
            <w:r>
              <w:rPr>
                <w:rFonts w:cs="Arial"/>
                <w:sz w:val="20"/>
                <w:szCs w:val="20"/>
              </w:rPr>
              <w:t>n/a</w:t>
            </w:r>
          </w:p>
          <w:p w:rsidR="00FA6DF8" w:rsidRDefault="00FA6DF8" w:rsidP="00FA6DF8">
            <w:pPr>
              <w:pStyle w:val="Tabletext"/>
              <w:ind w:right="-2"/>
              <w:jc w:val="right"/>
              <w:rPr>
                <w:rFonts w:cs="Arial"/>
                <w:sz w:val="20"/>
                <w:szCs w:val="20"/>
              </w:rPr>
            </w:pPr>
            <w:r>
              <w:rPr>
                <w:rFonts w:cs="Arial"/>
                <w:sz w:val="20"/>
                <w:szCs w:val="20"/>
              </w:rPr>
              <w:t>n/a</w:t>
            </w:r>
          </w:p>
          <w:p w:rsidR="00FA6DF8" w:rsidRDefault="00FA6DF8" w:rsidP="00FA6DF8">
            <w:pPr>
              <w:pStyle w:val="Tabletext"/>
              <w:ind w:right="-2"/>
              <w:jc w:val="right"/>
              <w:rPr>
                <w:rFonts w:cs="Arial"/>
                <w:sz w:val="20"/>
                <w:szCs w:val="20"/>
              </w:rPr>
            </w:pPr>
            <w:r>
              <w:rPr>
                <w:rFonts w:cs="Arial"/>
                <w:sz w:val="20"/>
                <w:szCs w:val="20"/>
              </w:rPr>
              <w:t>n/a</w:t>
            </w:r>
          </w:p>
          <w:p w:rsidR="00BE10B4" w:rsidRPr="00FA6DF8" w:rsidRDefault="00FA6DF8" w:rsidP="00FA6DF8">
            <w:pPr>
              <w:pStyle w:val="Tabletext"/>
              <w:ind w:right="-2"/>
              <w:jc w:val="right"/>
              <w:rPr>
                <w:rFonts w:cs="Arial"/>
                <w:sz w:val="20"/>
                <w:szCs w:val="20"/>
              </w:rPr>
            </w:pPr>
            <w:r>
              <w:rPr>
                <w:rFonts w:cs="Arial"/>
                <w:sz w:val="20"/>
                <w:szCs w:val="20"/>
              </w:rPr>
              <w:t>n/a</w:t>
            </w:r>
          </w:p>
        </w:tc>
      </w:tr>
      <w:tr w:rsidR="00BE10B4"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Total distance travelled by vehicle fleet</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120,314 km</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90,429 km</w:t>
            </w:r>
          </w:p>
        </w:tc>
        <w:tc>
          <w:tcPr>
            <w:tcW w:w="1701" w:type="dxa"/>
          </w:tcPr>
          <w:p w:rsidR="00BE10B4" w:rsidRPr="00FA6DF8" w:rsidRDefault="00FA6DF8" w:rsidP="00BE10B4">
            <w:pPr>
              <w:pStyle w:val="Tabletext"/>
              <w:ind w:right="-2"/>
              <w:jc w:val="right"/>
              <w:rPr>
                <w:rFonts w:cs="Arial"/>
                <w:sz w:val="20"/>
                <w:szCs w:val="20"/>
              </w:rPr>
            </w:pPr>
            <w:r w:rsidRPr="00FA6DF8">
              <w:rPr>
                <w:rFonts w:cs="Arial"/>
                <w:sz w:val="20"/>
                <w:szCs w:val="20"/>
              </w:rPr>
              <w:t>143,704 km</w:t>
            </w:r>
          </w:p>
        </w:tc>
        <w:tc>
          <w:tcPr>
            <w:tcW w:w="1276" w:type="dxa"/>
          </w:tcPr>
          <w:p w:rsidR="00BE10B4" w:rsidRPr="00FA6DF8" w:rsidRDefault="00FA6DF8" w:rsidP="00BE10B4">
            <w:pPr>
              <w:pStyle w:val="Tabletext"/>
              <w:ind w:right="-2"/>
              <w:jc w:val="right"/>
              <w:rPr>
                <w:rFonts w:cs="Arial"/>
                <w:sz w:val="20"/>
                <w:szCs w:val="20"/>
              </w:rPr>
            </w:pPr>
            <w:r>
              <w:rPr>
                <w:rFonts w:cs="Arial"/>
                <w:sz w:val="20"/>
                <w:szCs w:val="20"/>
              </w:rPr>
              <w:t>n/a</w:t>
            </w:r>
          </w:p>
        </w:tc>
      </w:tr>
      <w:tr w:rsidR="00FA6DF8" w:rsidRPr="00FA6DF8" w:rsidTr="00112BFE">
        <w:trPr>
          <w:cnfStyle w:val="000000100000" w:firstRow="0" w:lastRow="0" w:firstColumn="0" w:lastColumn="0" w:oddVBand="0" w:evenVBand="0" w:oddHBand="1" w:evenHBand="0" w:firstRowFirstColumn="0" w:firstRowLastColumn="0" w:lastRowFirstColumn="0" w:lastRowLastColumn="0"/>
        </w:trPr>
        <w:tc>
          <w:tcPr>
            <w:tcW w:w="9356" w:type="dxa"/>
            <w:gridSpan w:val="5"/>
          </w:tcPr>
          <w:p w:rsidR="00FA6DF8" w:rsidRPr="00FA6DF8" w:rsidRDefault="00FA6DF8" w:rsidP="00B80AEB">
            <w:pPr>
              <w:pStyle w:val="Tabletext"/>
              <w:ind w:right="-2"/>
              <w:rPr>
                <w:rFonts w:cs="Arial"/>
                <w:sz w:val="20"/>
                <w:szCs w:val="20"/>
              </w:rPr>
            </w:pPr>
            <w:r>
              <w:rPr>
                <w:rFonts w:cs="Arial"/>
                <w:sz w:val="20"/>
                <w:szCs w:val="20"/>
              </w:rPr>
              <w:t xml:space="preserve">* For 2015-16, information for fleet cars has been </w:t>
            </w:r>
            <w:r w:rsidR="00B80AEB">
              <w:rPr>
                <w:rFonts w:cs="Arial"/>
                <w:sz w:val="20"/>
                <w:szCs w:val="20"/>
              </w:rPr>
              <w:t>combined</w:t>
            </w:r>
            <w:r>
              <w:rPr>
                <w:rFonts w:cs="Arial"/>
                <w:sz w:val="20"/>
                <w:szCs w:val="20"/>
              </w:rPr>
              <w:t xml:space="preserve"> to include fleet vehicles located in Darwin for the Supervising Scientist. It is therefore not possible to provide a meaningful comparison between the 2014-15 and 2015-16 years.</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9356" w:type="dxa"/>
            <w:gridSpan w:val="5"/>
          </w:tcPr>
          <w:p w:rsidR="00112BFE" w:rsidRPr="005D3D19" w:rsidRDefault="00112BFE" w:rsidP="00112BFE">
            <w:pPr>
              <w:pStyle w:val="Tabletext"/>
              <w:ind w:right="-2"/>
              <w:rPr>
                <w:rFonts w:cs="Arial"/>
                <w:b/>
                <w:sz w:val="20"/>
                <w:szCs w:val="20"/>
              </w:rPr>
            </w:pPr>
            <w:r w:rsidRPr="005D3D19">
              <w:rPr>
                <w:rFonts w:cs="Arial"/>
                <w:b/>
                <w:sz w:val="20"/>
                <w:szCs w:val="20"/>
              </w:rPr>
              <w:t>Water Consumption</w:t>
            </w:r>
          </w:p>
        </w:tc>
      </w:tr>
      <w:tr w:rsidR="00BE10B4"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Total metered potable office water use</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21,324 kL</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27,889.79 kL</w:t>
            </w:r>
          </w:p>
        </w:tc>
        <w:tc>
          <w:tcPr>
            <w:tcW w:w="1701" w:type="dxa"/>
          </w:tcPr>
          <w:p w:rsidR="00BE10B4" w:rsidRPr="004360DD" w:rsidRDefault="004360DD" w:rsidP="00BE10B4">
            <w:pPr>
              <w:pStyle w:val="Tabletext"/>
              <w:ind w:right="-2"/>
              <w:jc w:val="right"/>
              <w:rPr>
                <w:rFonts w:cs="Arial"/>
                <w:sz w:val="20"/>
                <w:szCs w:val="20"/>
              </w:rPr>
            </w:pPr>
            <w:r>
              <w:rPr>
                <w:rFonts w:cs="Arial"/>
                <w:sz w:val="20"/>
                <w:szCs w:val="20"/>
              </w:rPr>
              <w:t>29,495 KL</w:t>
            </w:r>
          </w:p>
        </w:tc>
        <w:tc>
          <w:tcPr>
            <w:tcW w:w="1276" w:type="dxa"/>
          </w:tcPr>
          <w:p w:rsidR="00BE10B4" w:rsidRPr="004360DD" w:rsidRDefault="004360DD" w:rsidP="00BE10B4">
            <w:pPr>
              <w:jc w:val="right"/>
              <w:rPr>
                <w:sz w:val="20"/>
                <w:szCs w:val="20"/>
              </w:rPr>
            </w:pPr>
            <w:r w:rsidRPr="004360DD">
              <w:rPr>
                <w:sz w:val="20"/>
                <w:szCs w:val="20"/>
              </w:rPr>
              <w:t>5.6%</w:t>
            </w:r>
          </w:p>
        </w:tc>
      </w:tr>
      <w:tr w:rsidR="00BE10B4"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Total metered potable office water use per person</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14 kL/FTE</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18 kL/FTE</w:t>
            </w:r>
          </w:p>
        </w:tc>
        <w:tc>
          <w:tcPr>
            <w:tcW w:w="1701" w:type="dxa"/>
          </w:tcPr>
          <w:p w:rsidR="00BE10B4" w:rsidRPr="004360DD" w:rsidRDefault="004360DD" w:rsidP="00BE10B4">
            <w:pPr>
              <w:pStyle w:val="Tabletext"/>
              <w:ind w:right="-2"/>
              <w:jc w:val="right"/>
              <w:rPr>
                <w:rFonts w:cs="Arial"/>
                <w:sz w:val="20"/>
                <w:szCs w:val="20"/>
              </w:rPr>
            </w:pPr>
            <w:r>
              <w:rPr>
                <w:rFonts w:cs="Arial"/>
                <w:sz w:val="20"/>
                <w:szCs w:val="20"/>
              </w:rPr>
              <w:t>18.6 kL/FTE</w:t>
            </w:r>
          </w:p>
        </w:tc>
        <w:tc>
          <w:tcPr>
            <w:tcW w:w="1276" w:type="dxa"/>
          </w:tcPr>
          <w:p w:rsidR="00BE10B4" w:rsidRPr="004360DD" w:rsidRDefault="004360DD" w:rsidP="00BE10B4">
            <w:pPr>
              <w:jc w:val="right"/>
              <w:rPr>
                <w:sz w:val="20"/>
                <w:szCs w:val="20"/>
              </w:rPr>
            </w:pPr>
            <w:r w:rsidRPr="004360DD">
              <w:rPr>
                <w:sz w:val="20"/>
                <w:szCs w:val="20"/>
              </w:rPr>
              <w:t>3.3%</w:t>
            </w:r>
          </w:p>
        </w:tc>
      </w:tr>
      <w:tr w:rsidR="00BE10B4"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BE10B4" w:rsidRPr="005D3D19" w:rsidRDefault="00BE10B4" w:rsidP="00BE10B4">
            <w:pPr>
              <w:pStyle w:val="Tabletext"/>
              <w:ind w:right="-2"/>
              <w:rPr>
                <w:rFonts w:cs="Arial"/>
                <w:sz w:val="20"/>
                <w:szCs w:val="20"/>
              </w:rPr>
            </w:pPr>
            <w:r w:rsidRPr="005D3D19">
              <w:rPr>
                <w:rFonts w:cs="Arial"/>
                <w:sz w:val="20"/>
                <w:szCs w:val="20"/>
              </w:rPr>
              <w:t>Total metered potable office water use by area</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0.57 kL/m</w:t>
            </w:r>
            <w:r w:rsidRPr="005D3D19">
              <w:rPr>
                <w:rFonts w:cs="Arial"/>
                <w:sz w:val="20"/>
                <w:szCs w:val="20"/>
                <w:vertAlign w:val="superscript"/>
              </w:rPr>
              <w:t>2</w:t>
            </w:r>
          </w:p>
        </w:tc>
        <w:tc>
          <w:tcPr>
            <w:tcW w:w="1701" w:type="dxa"/>
          </w:tcPr>
          <w:p w:rsidR="00BE10B4" w:rsidRPr="005D3D19" w:rsidRDefault="00BE10B4" w:rsidP="00BE10B4">
            <w:pPr>
              <w:pStyle w:val="Tabletext"/>
              <w:ind w:right="-2"/>
              <w:jc w:val="right"/>
              <w:rPr>
                <w:rFonts w:cs="Arial"/>
                <w:sz w:val="20"/>
                <w:szCs w:val="20"/>
              </w:rPr>
            </w:pPr>
            <w:r w:rsidRPr="005D3D19">
              <w:rPr>
                <w:rFonts w:cs="Arial"/>
                <w:sz w:val="20"/>
                <w:szCs w:val="20"/>
              </w:rPr>
              <w:t>0.70 kL/m</w:t>
            </w:r>
            <w:r w:rsidRPr="005D3D19">
              <w:rPr>
                <w:rFonts w:cs="Arial"/>
                <w:sz w:val="20"/>
                <w:szCs w:val="20"/>
                <w:vertAlign w:val="superscript"/>
              </w:rPr>
              <w:t>2</w:t>
            </w:r>
          </w:p>
        </w:tc>
        <w:tc>
          <w:tcPr>
            <w:tcW w:w="1701" w:type="dxa"/>
          </w:tcPr>
          <w:p w:rsidR="00BE10B4" w:rsidRPr="004360DD" w:rsidRDefault="004360DD" w:rsidP="00BE10B4">
            <w:pPr>
              <w:pStyle w:val="Tabletext"/>
              <w:ind w:right="-2"/>
              <w:jc w:val="right"/>
              <w:rPr>
                <w:rFonts w:cs="Arial"/>
                <w:sz w:val="20"/>
                <w:szCs w:val="20"/>
              </w:rPr>
            </w:pPr>
            <w:r>
              <w:rPr>
                <w:rFonts w:cs="Arial"/>
                <w:sz w:val="20"/>
                <w:szCs w:val="20"/>
              </w:rPr>
              <w:t>0.75 kL/m</w:t>
            </w:r>
            <w:r w:rsidRPr="004360DD">
              <w:rPr>
                <w:rFonts w:cs="Arial"/>
                <w:sz w:val="20"/>
                <w:szCs w:val="20"/>
                <w:vertAlign w:val="superscript"/>
              </w:rPr>
              <w:t>2</w:t>
            </w:r>
          </w:p>
        </w:tc>
        <w:tc>
          <w:tcPr>
            <w:tcW w:w="1276" w:type="dxa"/>
          </w:tcPr>
          <w:p w:rsidR="00BE10B4" w:rsidRPr="004360DD" w:rsidRDefault="004360DD" w:rsidP="00BE10B4">
            <w:pPr>
              <w:jc w:val="right"/>
              <w:rPr>
                <w:sz w:val="20"/>
                <w:szCs w:val="20"/>
              </w:rPr>
            </w:pPr>
            <w:r>
              <w:rPr>
                <w:sz w:val="20"/>
                <w:szCs w:val="20"/>
              </w:rPr>
              <w:t>7.1%</w:t>
            </w:r>
          </w:p>
        </w:tc>
      </w:tr>
    </w:tbl>
    <w:p w:rsidR="00E26D3F" w:rsidRDefault="00E26D3F">
      <w:r>
        <w:br w:type="page"/>
      </w:r>
    </w:p>
    <w:tbl>
      <w:tblPr>
        <w:tblStyle w:val="TableGrid"/>
        <w:tblW w:w="9356" w:type="dxa"/>
        <w:tblInd w:w="-5" w:type="dxa"/>
        <w:tblLayout w:type="fixed"/>
        <w:tblLook w:val="04A0" w:firstRow="1" w:lastRow="0" w:firstColumn="1" w:lastColumn="0" w:noHBand="0" w:noVBand="1"/>
      </w:tblPr>
      <w:tblGrid>
        <w:gridCol w:w="2977"/>
        <w:gridCol w:w="1701"/>
        <w:gridCol w:w="1701"/>
        <w:gridCol w:w="1701"/>
        <w:gridCol w:w="1276"/>
      </w:tblGrid>
      <w:tr w:rsidR="00112BFE" w:rsidRPr="005D3D19" w:rsidTr="00112BFE">
        <w:trPr>
          <w:cnfStyle w:val="100000000000" w:firstRow="1" w:lastRow="0" w:firstColumn="0" w:lastColumn="0" w:oddVBand="0" w:evenVBand="0" w:oddHBand="0" w:evenHBand="0" w:firstRowFirstColumn="0" w:firstRowLastColumn="0" w:lastRowFirstColumn="0" w:lastRowLastColumn="0"/>
        </w:trPr>
        <w:tc>
          <w:tcPr>
            <w:tcW w:w="9356" w:type="dxa"/>
            <w:gridSpan w:val="5"/>
          </w:tcPr>
          <w:p w:rsidR="00112BFE" w:rsidRPr="005D3D19" w:rsidRDefault="00112BFE" w:rsidP="00112BFE">
            <w:pPr>
              <w:pStyle w:val="Tabletext"/>
              <w:ind w:right="-2"/>
              <w:rPr>
                <w:rFonts w:cs="Arial"/>
                <w:sz w:val="20"/>
                <w:szCs w:val="20"/>
              </w:rPr>
            </w:pPr>
            <w:r w:rsidRPr="005D3D19">
              <w:rPr>
                <w:rFonts w:cs="Arial"/>
                <w:b/>
                <w:sz w:val="20"/>
                <w:szCs w:val="20"/>
              </w:rPr>
              <w:lastRenderedPageBreak/>
              <w:t>Resource efficiency and waste</w:t>
            </w:r>
            <w:r w:rsidR="009608BF">
              <w:rPr>
                <w:rFonts w:cs="Arial"/>
                <w:b/>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Internal copy paper per person</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 xml:space="preserve"> 9.0 reams/FTE</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8.37 reams/FTE</w:t>
            </w:r>
          </w:p>
        </w:tc>
        <w:tc>
          <w:tcPr>
            <w:tcW w:w="1701" w:type="dxa"/>
          </w:tcPr>
          <w:p w:rsidR="00112BFE" w:rsidRPr="005D3D19" w:rsidRDefault="00F5423D" w:rsidP="00112BFE">
            <w:pPr>
              <w:pStyle w:val="Tabletext"/>
              <w:ind w:right="-2"/>
              <w:jc w:val="right"/>
              <w:rPr>
                <w:rFonts w:cs="Arial"/>
                <w:sz w:val="20"/>
                <w:szCs w:val="20"/>
              </w:rPr>
            </w:pPr>
            <w:r>
              <w:rPr>
                <w:rFonts w:cs="Arial"/>
                <w:sz w:val="20"/>
                <w:szCs w:val="20"/>
              </w:rPr>
              <w:t>7.71 reams/FTE</w:t>
            </w:r>
          </w:p>
        </w:tc>
        <w:tc>
          <w:tcPr>
            <w:tcW w:w="1276" w:type="dxa"/>
          </w:tcPr>
          <w:p w:rsidR="00112BFE" w:rsidRPr="005D3D19" w:rsidRDefault="00F5423D" w:rsidP="00112BFE">
            <w:pPr>
              <w:pStyle w:val="Tabletext"/>
              <w:ind w:right="-2"/>
              <w:jc w:val="right"/>
              <w:rPr>
                <w:rFonts w:cs="Arial"/>
                <w:sz w:val="20"/>
                <w:szCs w:val="20"/>
                <w:highlight w:val="yellow"/>
              </w:rPr>
            </w:pPr>
            <w:r>
              <w:rPr>
                <w:rFonts w:cs="Arial"/>
                <w:sz w:val="20"/>
                <w:szCs w:val="20"/>
              </w:rPr>
              <w:t>-7.9</w:t>
            </w:r>
            <w:r w:rsidR="00112BFE" w:rsidRPr="005D3D19">
              <w:rPr>
                <w:rFonts w:cs="Arial"/>
                <w:sz w:val="20"/>
                <w:szCs w:val="20"/>
              </w:rPr>
              <w:t xml:space="preserve"> %</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Percentage of paper purchased with post consumer recycled content</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100%</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100%</w:t>
            </w:r>
          </w:p>
        </w:tc>
        <w:tc>
          <w:tcPr>
            <w:tcW w:w="1701" w:type="dxa"/>
          </w:tcPr>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100%</w:t>
            </w:r>
          </w:p>
        </w:tc>
        <w:tc>
          <w:tcPr>
            <w:tcW w:w="1276" w:type="dxa"/>
          </w:tcPr>
          <w:p w:rsidR="00112BFE" w:rsidRPr="00082D82" w:rsidRDefault="00112BFE" w:rsidP="00112BFE">
            <w:pPr>
              <w:pStyle w:val="Tabletext"/>
              <w:ind w:right="-2"/>
              <w:jc w:val="right"/>
              <w:rPr>
                <w:rFonts w:cs="Arial"/>
                <w:sz w:val="20"/>
                <w:szCs w:val="20"/>
              </w:rPr>
            </w:pPr>
            <w:r>
              <w:rPr>
                <w:rFonts w:cs="Arial"/>
                <w:sz w:val="20"/>
                <w:szCs w:val="20"/>
              </w:rPr>
              <w:t>0</w:t>
            </w:r>
            <w:r w:rsidRPr="00082D82">
              <w:rPr>
                <w:rFonts w:cs="Arial"/>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Office paper recycled</w:t>
            </w:r>
          </w:p>
        </w:tc>
        <w:tc>
          <w:tcPr>
            <w:tcW w:w="1701" w:type="dxa"/>
          </w:tcPr>
          <w:p w:rsidR="00112BFE" w:rsidRPr="005D3D19" w:rsidRDefault="009608BF" w:rsidP="00112BFE">
            <w:pPr>
              <w:pStyle w:val="Tabletext"/>
              <w:ind w:right="-2"/>
              <w:rPr>
                <w:rFonts w:cs="Arial"/>
                <w:sz w:val="20"/>
                <w:szCs w:val="20"/>
              </w:rPr>
            </w:pPr>
            <w:r>
              <w:rPr>
                <w:rFonts w:cs="Arial"/>
                <w:sz w:val="20"/>
                <w:szCs w:val="20"/>
              </w:rPr>
              <w:t xml:space="preserve">     </w:t>
            </w:r>
            <w:r w:rsidR="00112BFE" w:rsidRPr="005D3D19">
              <w:rPr>
                <w:rFonts w:cs="Arial"/>
                <w:sz w:val="20"/>
                <w:szCs w:val="20"/>
              </w:rPr>
              <w:t xml:space="preserve">             133 t</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236.5 t</w:t>
            </w:r>
          </w:p>
        </w:tc>
        <w:tc>
          <w:tcPr>
            <w:tcW w:w="1701" w:type="dxa"/>
          </w:tcPr>
          <w:p w:rsidR="00112BFE" w:rsidRPr="005D3D19" w:rsidRDefault="008C3D1B" w:rsidP="00112BFE">
            <w:pPr>
              <w:pStyle w:val="Tabletext"/>
              <w:ind w:right="-2"/>
              <w:jc w:val="right"/>
              <w:rPr>
                <w:rFonts w:cs="Arial"/>
                <w:color w:val="000000" w:themeColor="text1"/>
                <w:sz w:val="20"/>
                <w:szCs w:val="20"/>
              </w:rPr>
            </w:pPr>
            <w:r>
              <w:rPr>
                <w:rFonts w:cs="Arial"/>
                <w:color w:val="000000" w:themeColor="text1"/>
                <w:sz w:val="20"/>
                <w:szCs w:val="20"/>
              </w:rPr>
              <w:t>15</w:t>
            </w:r>
            <w:r w:rsidR="00B80AEB">
              <w:rPr>
                <w:rFonts w:cs="Arial"/>
                <w:color w:val="000000" w:themeColor="text1"/>
                <w:sz w:val="20"/>
                <w:szCs w:val="20"/>
              </w:rPr>
              <w:t>0</w:t>
            </w:r>
            <w:r>
              <w:rPr>
                <w:rFonts w:cs="Arial"/>
                <w:color w:val="000000" w:themeColor="text1"/>
                <w:sz w:val="20"/>
                <w:szCs w:val="20"/>
              </w:rPr>
              <w:t>.0</w:t>
            </w:r>
            <w:r w:rsidR="00112BFE">
              <w:rPr>
                <w:rFonts w:cs="Arial"/>
                <w:color w:val="000000" w:themeColor="text1"/>
                <w:sz w:val="20"/>
                <w:szCs w:val="20"/>
              </w:rPr>
              <w:t xml:space="preserve"> t</w:t>
            </w:r>
          </w:p>
        </w:tc>
        <w:tc>
          <w:tcPr>
            <w:tcW w:w="1276" w:type="dxa"/>
          </w:tcPr>
          <w:p w:rsidR="00112BFE" w:rsidRPr="005D3D19" w:rsidRDefault="00112BFE" w:rsidP="00B80AEB">
            <w:pPr>
              <w:pStyle w:val="Tabletext"/>
              <w:ind w:right="-2"/>
              <w:jc w:val="right"/>
              <w:rPr>
                <w:rFonts w:cs="Arial"/>
                <w:sz w:val="20"/>
                <w:szCs w:val="20"/>
              </w:rPr>
            </w:pPr>
            <w:r>
              <w:rPr>
                <w:rFonts w:cs="Arial"/>
                <w:sz w:val="20"/>
                <w:szCs w:val="20"/>
              </w:rPr>
              <w:t>-</w:t>
            </w:r>
            <w:r w:rsidR="00B80AEB">
              <w:rPr>
                <w:rFonts w:cs="Arial"/>
                <w:sz w:val="20"/>
                <w:szCs w:val="20"/>
              </w:rPr>
              <w:t>36.58</w:t>
            </w:r>
            <w:r w:rsidRPr="005D3D19">
              <w:rPr>
                <w:rFonts w:cs="Arial"/>
                <w:sz w:val="20"/>
                <w:szCs w:val="20"/>
              </w:rPr>
              <w:t>%</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Other waste sent to recycling facilities (excluding office paper):</w:t>
            </w:r>
          </w:p>
          <w:p w:rsidR="00112BFE" w:rsidRPr="005D3D19" w:rsidRDefault="00112BFE" w:rsidP="00112BFE">
            <w:pPr>
              <w:pStyle w:val="Tabletext"/>
              <w:numPr>
                <w:ilvl w:val="0"/>
                <w:numId w:val="27"/>
              </w:numPr>
              <w:ind w:left="0" w:right="-2"/>
              <w:rPr>
                <w:rFonts w:cs="Arial"/>
                <w:sz w:val="20"/>
                <w:szCs w:val="20"/>
              </w:rPr>
            </w:pPr>
            <w:r w:rsidRPr="005D3D19">
              <w:rPr>
                <w:rFonts w:cs="Arial"/>
                <w:sz w:val="20"/>
                <w:szCs w:val="20"/>
              </w:rPr>
              <w:t>Cardboard</w:t>
            </w:r>
          </w:p>
          <w:p w:rsidR="00112BFE" w:rsidRPr="005D3D19" w:rsidRDefault="00112BFE" w:rsidP="00112BFE">
            <w:pPr>
              <w:pStyle w:val="Tabletext"/>
              <w:ind w:right="-2"/>
              <w:rPr>
                <w:rFonts w:cs="Arial"/>
                <w:sz w:val="20"/>
                <w:szCs w:val="20"/>
              </w:rPr>
            </w:pPr>
            <w:r w:rsidRPr="005D3D19">
              <w:rPr>
                <w:rFonts w:cs="Arial"/>
                <w:sz w:val="20"/>
                <w:szCs w:val="20"/>
              </w:rPr>
              <w:t>Co-mingled office waste</w:t>
            </w:r>
          </w:p>
          <w:p w:rsidR="00112BFE" w:rsidRPr="005D3D19" w:rsidRDefault="00112BFE" w:rsidP="00112BFE">
            <w:pPr>
              <w:pStyle w:val="Tabletext"/>
              <w:numPr>
                <w:ilvl w:val="0"/>
                <w:numId w:val="27"/>
              </w:numPr>
              <w:ind w:left="0" w:right="-2"/>
              <w:rPr>
                <w:rFonts w:cs="Arial"/>
                <w:sz w:val="20"/>
                <w:szCs w:val="20"/>
              </w:rPr>
            </w:pPr>
            <w:r w:rsidRPr="005D3D19">
              <w:rPr>
                <w:rFonts w:cs="Arial"/>
                <w:sz w:val="20"/>
                <w:szCs w:val="20"/>
              </w:rPr>
              <w:t>Organic waste</w:t>
            </w:r>
          </w:p>
        </w:tc>
        <w:tc>
          <w:tcPr>
            <w:tcW w:w="1701" w:type="dxa"/>
          </w:tcPr>
          <w:p w:rsidR="00112BFE" w:rsidRPr="005D3D19"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p>
          <w:p w:rsidR="00112BFE"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r w:rsidRPr="005D3D19">
              <w:rPr>
                <w:rFonts w:cs="Arial"/>
                <w:sz w:val="20"/>
                <w:szCs w:val="20"/>
              </w:rPr>
              <w:t>28.4 t</w:t>
            </w:r>
          </w:p>
          <w:p w:rsidR="00112BFE" w:rsidRPr="005D3D19" w:rsidRDefault="00112BFE" w:rsidP="00112BFE">
            <w:pPr>
              <w:pStyle w:val="Tabletext"/>
              <w:ind w:right="-2"/>
              <w:jc w:val="right"/>
              <w:rPr>
                <w:rFonts w:cs="Arial"/>
                <w:sz w:val="20"/>
                <w:szCs w:val="20"/>
              </w:rPr>
            </w:pPr>
            <w:r w:rsidRPr="005D3D19">
              <w:rPr>
                <w:rFonts w:cs="Arial"/>
                <w:sz w:val="20"/>
                <w:szCs w:val="20"/>
              </w:rPr>
              <w:t>50.9 t</w:t>
            </w:r>
          </w:p>
          <w:p w:rsidR="00112BFE" w:rsidRPr="005D3D19" w:rsidRDefault="00112BFE" w:rsidP="00112BFE">
            <w:pPr>
              <w:pStyle w:val="Tabletext"/>
              <w:ind w:right="-2"/>
              <w:jc w:val="right"/>
              <w:rPr>
                <w:rFonts w:cs="Arial"/>
                <w:sz w:val="20"/>
                <w:szCs w:val="20"/>
              </w:rPr>
            </w:pPr>
            <w:r w:rsidRPr="005D3D19">
              <w:rPr>
                <w:rFonts w:cs="Arial"/>
                <w:sz w:val="20"/>
                <w:szCs w:val="20"/>
              </w:rPr>
              <w:t>21.5 t</w:t>
            </w:r>
          </w:p>
        </w:tc>
        <w:tc>
          <w:tcPr>
            <w:tcW w:w="1701" w:type="dxa"/>
          </w:tcPr>
          <w:p w:rsidR="00112BFE" w:rsidRPr="005D3D19" w:rsidRDefault="00112BFE" w:rsidP="00112BFE">
            <w:pPr>
              <w:pStyle w:val="Tabletext"/>
              <w:ind w:right="-2"/>
              <w:jc w:val="right"/>
              <w:rPr>
                <w:rFonts w:cs="Arial"/>
                <w:color w:val="000000" w:themeColor="text1"/>
                <w:sz w:val="20"/>
                <w:szCs w:val="20"/>
              </w:rPr>
            </w:pPr>
          </w:p>
          <w:p w:rsidR="00112BFE" w:rsidRPr="005D3D19" w:rsidRDefault="00112BFE" w:rsidP="00112BFE">
            <w:pPr>
              <w:pStyle w:val="Tabletext"/>
              <w:ind w:right="-2"/>
              <w:jc w:val="right"/>
              <w:rPr>
                <w:rFonts w:cs="Arial"/>
                <w:color w:val="000000" w:themeColor="text1"/>
                <w:sz w:val="20"/>
                <w:szCs w:val="20"/>
              </w:rPr>
            </w:pPr>
          </w:p>
          <w:p w:rsidR="00112BFE" w:rsidRDefault="00112BFE" w:rsidP="00112BFE">
            <w:pPr>
              <w:pStyle w:val="Tabletext"/>
              <w:ind w:right="-2"/>
              <w:jc w:val="right"/>
              <w:rPr>
                <w:rFonts w:cs="Arial"/>
                <w:color w:val="000000" w:themeColor="text1"/>
                <w:sz w:val="20"/>
                <w:szCs w:val="20"/>
              </w:rPr>
            </w:pPr>
          </w:p>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26.9 t</w:t>
            </w:r>
          </w:p>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58.9 t</w:t>
            </w:r>
          </w:p>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22.9 t</w:t>
            </w:r>
          </w:p>
        </w:tc>
        <w:tc>
          <w:tcPr>
            <w:tcW w:w="1701" w:type="dxa"/>
          </w:tcPr>
          <w:p w:rsidR="00112BFE" w:rsidRDefault="00112BFE" w:rsidP="00112BFE">
            <w:pPr>
              <w:pStyle w:val="Tabletext"/>
              <w:ind w:right="-2"/>
              <w:jc w:val="right"/>
              <w:rPr>
                <w:rFonts w:cs="Arial"/>
                <w:color w:val="000000" w:themeColor="text1"/>
                <w:sz w:val="20"/>
                <w:szCs w:val="20"/>
              </w:rPr>
            </w:pPr>
          </w:p>
          <w:p w:rsidR="00112BFE" w:rsidRDefault="00112BFE" w:rsidP="00112BFE">
            <w:pPr>
              <w:pStyle w:val="Tabletext"/>
              <w:ind w:right="-2"/>
              <w:jc w:val="right"/>
              <w:rPr>
                <w:rFonts w:cs="Arial"/>
                <w:color w:val="000000" w:themeColor="text1"/>
                <w:sz w:val="20"/>
                <w:szCs w:val="20"/>
              </w:rPr>
            </w:pPr>
          </w:p>
          <w:p w:rsidR="00112BFE" w:rsidRDefault="00112BFE" w:rsidP="00112BFE">
            <w:pPr>
              <w:pStyle w:val="Tabletext"/>
              <w:ind w:right="-2"/>
              <w:jc w:val="right"/>
              <w:rPr>
                <w:rFonts w:cs="Arial"/>
                <w:color w:val="000000" w:themeColor="text1"/>
                <w:sz w:val="20"/>
                <w:szCs w:val="20"/>
              </w:rPr>
            </w:pPr>
          </w:p>
          <w:p w:rsidR="00112BFE" w:rsidRDefault="00112BFE" w:rsidP="00112BFE">
            <w:pPr>
              <w:pStyle w:val="Tabletext"/>
              <w:ind w:right="-2"/>
              <w:jc w:val="right"/>
              <w:rPr>
                <w:rFonts w:cs="Arial"/>
                <w:color w:val="000000" w:themeColor="text1"/>
                <w:sz w:val="20"/>
                <w:szCs w:val="20"/>
              </w:rPr>
            </w:pPr>
            <w:r>
              <w:rPr>
                <w:rFonts w:cs="Arial"/>
                <w:color w:val="000000" w:themeColor="text1"/>
                <w:sz w:val="20"/>
                <w:szCs w:val="20"/>
              </w:rPr>
              <w:t>16.78 t</w:t>
            </w:r>
          </w:p>
          <w:p w:rsidR="00112BFE" w:rsidRDefault="00112BFE" w:rsidP="00112BFE">
            <w:pPr>
              <w:pStyle w:val="Tabletext"/>
              <w:ind w:right="-2"/>
              <w:jc w:val="right"/>
              <w:rPr>
                <w:rFonts w:cs="Arial"/>
                <w:color w:val="000000" w:themeColor="text1"/>
                <w:sz w:val="20"/>
                <w:szCs w:val="20"/>
              </w:rPr>
            </w:pPr>
            <w:r>
              <w:rPr>
                <w:rFonts w:cs="Arial"/>
                <w:color w:val="000000" w:themeColor="text1"/>
                <w:sz w:val="20"/>
                <w:szCs w:val="20"/>
              </w:rPr>
              <w:t>32.41 t</w:t>
            </w:r>
          </w:p>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18.82 t</w:t>
            </w:r>
          </w:p>
        </w:tc>
        <w:tc>
          <w:tcPr>
            <w:tcW w:w="1276" w:type="dxa"/>
          </w:tcPr>
          <w:p w:rsidR="00112BFE" w:rsidRPr="005D3D19"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p>
          <w:p w:rsidR="00112BFE" w:rsidRDefault="00112BFE" w:rsidP="00112BFE">
            <w:pPr>
              <w:pStyle w:val="Tabletext"/>
              <w:ind w:right="-2"/>
              <w:jc w:val="right"/>
              <w:rPr>
                <w:rFonts w:cs="Arial"/>
                <w:sz w:val="20"/>
                <w:szCs w:val="20"/>
              </w:rPr>
            </w:pPr>
          </w:p>
          <w:p w:rsidR="00112BFE" w:rsidRPr="005D3D19" w:rsidRDefault="00112BFE" w:rsidP="00112BFE">
            <w:pPr>
              <w:pStyle w:val="Tabletext"/>
              <w:ind w:right="-2"/>
              <w:jc w:val="right"/>
              <w:rPr>
                <w:rFonts w:cs="Arial"/>
                <w:sz w:val="20"/>
                <w:szCs w:val="20"/>
              </w:rPr>
            </w:pPr>
            <w:r>
              <w:rPr>
                <w:rFonts w:cs="Arial"/>
                <w:sz w:val="20"/>
                <w:szCs w:val="20"/>
              </w:rPr>
              <w:t>-37.6</w:t>
            </w:r>
            <w:r w:rsidRPr="005D3D19">
              <w:rPr>
                <w:rFonts w:cs="Arial"/>
                <w:sz w:val="20"/>
                <w:szCs w:val="20"/>
              </w:rPr>
              <w:t>%</w:t>
            </w:r>
          </w:p>
          <w:p w:rsidR="00112BFE" w:rsidRPr="005D3D19" w:rsidRDefault="00112BFE" w:rsidP="00112BFE">
            <w:pPr>
              <w:pStyle w:val="Tabletext"/>
              <w:ind w:right="-2"/>
              <w:jc w:val="right"/>
              <w:rPr>
                <w:rFonts w:cs="Arial"/>
                <w:sz w:val="20"/>
                <w:szCs w:val="20"/>
              </w:rPr>
            </w:pPr>
            <w:r w:rsidRPr="005D3D19">
              <w:rPr>
                <w:rFonts w:cs="Arial"/>
                <w:sz w:val="20"/>
                <w:szCs w:val="20"/>
              </w:rPr>
              <w:t xml:space="preserve"> </w:t>
            </w:r>
            <w:r>
              <w:rPr>
                <w:rFonts w:cs="Arial"/>
                <w:sz w:val="20"/>
                <w:szCs w:val="20"/>
              </w:rPr>
              <w:t>-45.0</w:t>
            </w:r>
            <w:r w:rsidRPr="005D3D19">
              <w:rPr>
                <w:rFonts w:cs="Arial"/>
                <w:sz w:val="20"/>
                <w:szCs w:val="20"/>
              </w:rPr>
              <w:t>%</w:t>
            </w:r>
          </w:p>
          <w:p w:rsidR="00112BFE" w:rsidRPr="005D3D19" w:rsidRDefault="00112BFE" w:rsidP="00112BFE">
            <w:pPr>
              <w:pStyle w:val="Tabletext"/>
              <w:ind w:right="-2"/>
              <w:jc w:val="right"/>
              <w:rPr>
                <w:rFonts w:cs="Arial"/>
                <w:sz w:val="20"/>
                <w:szCs w:val="20"/>
              </w:rPr>
            </w:pPr>
            <w:r w:rsidRPr="005D3D19">
              <w:rPr>
                <w:rFonts w:cs="Arial"/>
                <w:sz w:val="20"/>
                <w:szCs w:val="20"/>
              </w:rPr>
              <w:t xml:space="preserve"> </w:t>
            </w:r>
            <w:r>
              <w:rPr>
                <w:rFonts w:cs="Arial"/>
                <w:sz w:val="20"/>
                <w:szCs w:val="20"/>
              </w:rPr>
              <w:t>-17.8</w:t>
            </w:r>
            <w:r w:rsidRPr="005D3D19">
              <w:rPr>
                <w:rFonts w:cs="Arial"/>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Waste sent to landfill</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32.2 t</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39.2 t</w:t>
            </w:r>
          </w:p>
        </w:tc>
        <w:tc>
          <w:tcPr>
            <w:tcW w:w="1701" w:type="dxa"/>
          </w:tcPr>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42.17 t</w:t>
            </w:r>
          </w:p>
        </w:tc>
        <w:tc>
          <w:tcPr>
            <w:tcW w:w="1276" w:type="dxa"/>
          </w:tcPr>
          <w:p w:rsidR="00112BFE" w:rsidRPr="005D3D19" w:rsidRDefault="00112BFE" w:rsidP="00112BFE">
            <w:pPr>
              <w:pStyle w:val="Tabletext"/>
              <w:ind w:right="-2"/>
              <w:jc w:val="right"/>
              <w:rPr>
                <w:rFonts w:cs="Arial"/>
                <w:sz w:val="20"/>
                <w:szCs w:val="20"/>
              </w:rPr>
            </w:pPr>
            <w:r w:rsidRPr="005D3D19">
              <w:rPr>
                <w:rFonts w:cs="Arial"/>
                <w:sz w:val="20"/>
                <w:szCs w:val="20"/>
              </w:rPr>
              <w:t xml:space="preserve"> </w:t>
            </w:r>
            <w:r>
              <w:rPr>
                <w:rFonts w:cs="Arial"/>
                <w:sz w:val="20"/>
                <w:szCs w:val="20"/>
              </w:rPr>
              <w:t>7.6</w:t>
            </w:r>
            <w:r w:rsidRPr="005D3D19">
              <w:rPr>
                <w:rFonts w:cs="Arial"/>
                <w:sz w:val="20"/>
                <w:szCs w:val="20"/>
              </w:rPr>
              <w:t>%</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Total waste production</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266.1 t</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384.4 t</w:t>
            </w:r>
          </w:p>
        </w:tc>
        <w:tc>
          <w:tcPr>
            <w:tcW w:w="1701" w:type="dxa"/>
          </w:tcPr>
          <w:p w:rsidR="00112BFE" w:rsidRPr="005D3D19" w:rsidRDefault="00B80AEB" w:rsidP="00112BFE">
            <w:pPr>
              <w:pStyle w:val="Tabletext"/>
              <w:ind w:right="-2"/>
              <w:jc w:val="right"/>
              <w:rPr>
                <w:rFonts w:cs="Arial"/>
                <w:color w:val="000000" w:themeColor="text1"/>
                <w:sz w:val="20"/>
                <w:szCs w:val="20"/>
              </w:rPr>
            </w:pPr>
            <w:r>
              <w:rPr>
                <w:rFonts w:cs="Arial"/>
                <w:color w:val="000000" w:themeColor="text1"/>
                <w:sz w:val="20"/>
                <w:szCs w:val="20"/>
              </w:rPr>
              <w:t>260.18</w:t>
            </w:r>
            <w:r w:rsidR="00112BFE">
              <w:rPr>
                <w:rFonts w:cs="Arial"/>
                <w:color w:val="000000" w:themeColor="text1"/>
                <w:sz w:val="20"/>
                <w:szCs w:val="20"/>
              </w:rPr>
              <w:t xml:space="preserve"> t</w:t>
            </w:r>
          </w:p>
        </w:tc>
        <w:tc>
          <w:tcPr>
            <w:tcW w:w="1276" w:type="dxa"/>
          </w:tcPr>
          <w:p w:rsidR="00112BFE" w:rsidRPr="005D3D19" w:rsidRDefault="00112BFE" w:rsidP="00B80AEB">
            <w:pPr>
              <w:pStyle w:val="Tabletext"/>
              <w:ind w:right="-2"/>
              <w:jc w:val="right"/>
              <w:rPr>
                <w:rFonts w:cs="Arial"/>
                <w:sz w:val="20"/>
                <w:szCs w:val="20"/>
              </w:rPr>
            </w:pPr>
            <w:r w:rsidRPr="005D3D19">
              <w:rPr>
                <w:rFonts w:cs="Arial"/>
                <w:sz w:val="20"/>
                <w:szCs w:val="20"/>
              </w:rPr>
              <w:t xml:space="preserve"> </w:t>
            </w:r>
            <w:r>
              <w:rPr>
                <w:rFonts w:cs="Arial"/>
                <w:sz w:val="20"/>
                <w:szCs w:val="20"/>
              </w:rPr>
              <w:t>-</w:t>
            </w:r>
            <w:r w:rsidR="00B80AEB">
              <w:rPr>
                <w:rFonts w:cs="Arial"/>
                <w:sz w:val="20"/>
                <w:szCs w:val="20"/>
              </w:rPr>
              <w:t>32.32</w:t>
            </w:r>
            <w:r w:rsidRPr="005D3D19">
              <w:rPr>
                <w:rFonts w:cs="Arial"/>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Total waste produced per person</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20 kg/FTE</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25 kg/FTE</w:t>
            </w:r>
          </w:p>
        </w:tc>
        <w:tc>
          <w:tcPr>
            <w:tcW w:w="1701" w:type="dxa"/>
          </w:tcPr>
          <w:p w:rsidR="00112BFE" w:rsidRPr="005D3D19" w:rsidRDefault="00112BFE" w:rsidP="00112BFE">
            <w:pPr>
              <w:pStyle w:val="Tabletext"/>
              <w:ind w:right="-2"/>
              <w:jc w:val="right"/>
              <w:rPr>
                <w:rFonts w:cs="Arial"/>
                <w:color w:val="000000" w:themeColor="text1"/>
                <w:sz w:val="20"/>
                <w:szCs w:val="20"/>
              </w:rPr>
            </w:pPr>
            <w:r>
              <w:rPr>
                <w:rFonts w:cs="Arial"/>
                <w:color w:val="000000" w:themeColor="text1"/>
                <w:sz w:val="20"/>
                <w:szCs w:val="20"/>
              </w:rPr>
              <w:t>26.59 kg/FTE</w:t>
            </w:r>
          </w:p>
        </w:tc>
        <w:tc>
          <w:tcPr>
            <w:tcW w:w="1276" w:type="dxa"/>
          </w:tcPr>
          <w:p w:rsidR="00112BFE" w:rsidRPr="005D3D19" w:rsidRDefault="00112BFE" w:rsidP="00112BFE">
            <w:pPr>
              <w:pStyle w:val="Tabletext"/>
              <w:ind w:right="-2"/>
              <w:jc w:val="right"/>
              <w:rPr>
                <w:rFonts w:cs="Arial"/>
                <w:sz w:val="20"/>
                <w:szCs w:val="20"/>
              </w:rPr>
            </w:pPr>
            <w:r>
              <w:rPr>
                <w:rFonts w:cs="Arial"/>
                <w:sz w:val="20"/>
                <w:szCs w:val="20"/>
              </w:rPr>
              <w:t>6.4</w:t>
            </w:r>
            <w:r w:rsidRPr="005D3D19">
              <w:rPr>
                <w:rFonts w:cs="Arial"/>
                <w:sz w:val="20"/>
                <w:szCs w:val="20"/>
              </w:rPr>
              <w:t>%</w:t>
            </w:r>
          </w:p>
        </w:tc>
      </w:tr>
      <w:tr w:rsidR="00112BFE" w:rsidRPr="005D3D19" w:rsidTr="00112BFE">
        <w:trPr>
          <w:cnfStyle w:val="000000010000" w:firstRow="0" w:lastRow="0" w:firstColumn="0" w:lastColumn="0" w:oddVBand="0" w:evenVBand="0" w:oddHBand="0" w:evenHBand="1"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Total waste recycled per person</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149.06 kg /FTE</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216.25 kg/FTE</w:t>
            </w:r>
          </w:p>
        </w:tc>
        <w:tc>
          <w:tcPr>
            <w:tcW w:w="1701" w:type="dxa"/>
          </w:tcPr>
          <w:p w:rsidR="00112BFE" w:rsidRPr="005D3D19" w:rsidRDefault="00226E57" w:rsidP="00112BFE">
            <w:pPr>
              <w:pStyle w:val="Tabletext"/>
              <w:ind w:right="-2"/>
              <w:jc w:val="right"/>
              <w:rPr>
                <w:rFonts w:cs="Arial"/>
                <w:color w:val="000000" w:themeColor="text1"/>
                <w:sz w:val="20"/>
                <w:szCs w:val="20"/>
              </w:rPr>
            </w:pPr>
            <w:r>
              <w:rPr>
                <w:rFonts w:cs="Arial"/>
                <w:color w:val="000000" w:themeColor="text1"/>
                <w:sz w:val="20"/>
                <w:szCs w:val="20"/>
              </w:rPr>
              <w:t>137.46</w:t>
            </w:r>
            <w:r w:rsidR="00112BFE">
              <w:rPr>
                <w:rFonts w:cs="Arial"/>
                <w:color w:val="000000" w:themeColor="text1"/>
                <w:sz w:val="20"/>
                <w:szCs w:val="20"/>
              </w:rPr>
              <w:t xml:space="preserve"> kg/FTE</w:t>
            </w:r>
          </w:p>
        </w:tc>
        <w:tc>
          <w:tcPr>
            <w:tcW w:w="1276" w:type="dxa"/>
          </w:tcPr>
          <w:p w:rsidR="00112BFE" w:rsidRPr="005D3D19" w:rsidRDefault="00112BFE" w:rsidP="00226E57">
            <w:pPr>
              <w:pStyle w:val="Tabletext"/>
              <w:ind w:right="-2"/>
              <w:jc w:val="right"/>
              <w:rPr>
                <w:rFonts w:cs="Arial"/>
                <w:sz w:val="20"/>
                <w:szCs w:val="20"/>
              </w:rPr>
            </w:pPr>
            <w:r w:rsidRPr="005D3D19">
              <w:rPr>
                <w:rFonts w:cs="Arial"/>
                <w:sz w:val="20"/>
                <w:szCs w:val="20"/>
              </w:rPr>
              <w:t xml:space="preserve"> </w:t>
            </w:r>
            <w:r w:rsidR="008C3D1B">
              <w:rPr>
                <w:rFonts w:cs="Arial"/>
                <w:sz w:val="20"/>
                <w:szCs w:val="20"/>
              </w:rPr>
              <w:t>-</w:t>
            </w:r>
            <w:r w:rsidR="00226E57">
              <w:rPr>
                <w:rFonts w:cs="Arial"/>
                <w:sz w:val="20"/>
                <w:szCs w:val="20"/>
              </w:rPr>
              <w:t>36.43</w:t>
            </w:r>
            <w:r w:rsidRPr="005D3D19">
              <w:rPr>
                <w:rFonts w:cs="Arial"/>
                <w:sz w:val="20"/>
                <w:szCs w:val="20"/>
              </w:rPr>
              <w:t>%</w:t>
            </w:r>
          </w:p>
        </w:tc>
      </w:tr>
      <w:tr w:rsidR="00112BFE" w:rsidRPr="005D3D19" w:rsidTr="00112BFE">
        <w:trPr>
          <w:cnfStyle w:val="000000100000" w:firstRow="0" w:lastRow="0" w:firstColumn="0" w:lastColumn="0" w:oddVBand="0" w:evenVBand="0" w:oddHBand="1" w:evenHBand="0" w:firstRowFirstColumn="0" w:firstRowLastColumn="0" w:lastRowFirstColumn="0" w:lastRowLastColumn="0"/>
        </w:trPr>
        <w:tc>
          <w:tcPr>
            <w:tcW w:w="2977" w:type="dxa"/>
          </w:tcPr>
          <w:p w:rsidR="00112BFE" w:rsidRPr="005D3D19" w:rsidRDefault="00112BFE" w:rsidP="00112BFE">
            <w:pPr>
              <w:pStyle w:val="Tabletext"/>
              <w:ind w:right="-2"/>
              <w:rPr>
                <w:rFonts w:cs="Arial"/>
                <w:sz w:val="20"/>
                <w:szCs w:val="20"/>
              </w:rPr>
            </w:pPr>
            <w:r w:rsidRPr="005D3D19">
              <w:rPr>
                <w:rFonts w:cs="Arial"/>
                <w:sz w:val="20"/>
                <w:szCs w:val="20"/>
              </w:rPr>
              <w:t>Proportion of waste diverted from landfill</w:t>
            </w:r>
          </w:p>
        </w:tc>
        <w:tc>
          <w:tcPr>
            <w:tcW w:w="1701" w:type="dxa"/>
          </w:tcPr>
          <w:p w:rsidR="00112BFE" w:rsidRPr="005D3D19" w:rsidRDefault="00112BFE" w:rsidP="00112BFE">
            <w:pPr>
              <w:pStyle w:val="Tabletext"/>
              <w:ind w:right="-2"/>
              <w:jc w:val="right"/>
              <w:rPr>
                <w:rFonts w:cs="Arial"/>
                <w:sz w:val="20"/>
                <w:szCs w:val="20"/>
              </w:rPr>
            </w:pPr>
            <w:r w:rsidRPr="005D3D19">
              <w:rPr>
                <w:rFonts w:cs="Arial"/>
                <w:sz w:val="20"/>
                <w:szCs w:val="20"/>
              </w:rPr>
              <w:t>88%</w:t>
            </w:r>
          </w:p>
        </w:tc>
        <w:tc>
          <w:tcPr>
            <w:tcW w:w="1701" w:type="dxa"/>
          </w:tcPr>
          <w:p w:rsidR="00112BFE" w:rsidRPr="005D3D19" w:rsidRDefault="00112BFE" w:rsidP="00112BFE">
            <w:pPr>
              <w:pStyle w:val="Tabletext"/>
              <w:ind w:right="-2"/>
              <w:jc w:val="right"/>
              <w:rPr>
                <w:rFonts w:cs="Arial"/>
                <w:color w:val="000000" w:themeColor="text1"/>
                <w:sz w:val="20"/>
                <w:szCs w:val="20"/>
              </w:rPr>
            </w:pPr>
            <w:r w:rsidRPr="005D3D19">
              <w:rPr>
                <w:rFonts w:cs="Arial"/>
                <w:color w:val="000000" w:themeColor="text1"/>
                <w:sz w:val="20"/>
                <w:szCs w:val="20"/>
              </w:rPr>
              <w:t xml:space="preserve">90% </w:t>
            </w:r>
          </w:p>
        </w:tc>
        <w:tc>
          <w:tcPr>
            <w:tcW w:w="1701" w:type="dxa"/>
          </w:tcPr>
          <w:p w:rsidR="00112BFE" w:rsidRPr="005D3D19" w:rsidRDefault="00226E57" w:rsidP="00112BFE">
            <w:pPr>
              <w:pStyle w:val="Tabletext"/>
              <w:ind w:right="-2"/>
              <w:jc w:val="right"/>
              <w:rPr>
                <w:rFonts w:cs="Arial"/>
                <w:color w:val="000000" w:themeColor="text1"/>
                <w:sz w:val="20"/>
                <w:szCs w:val="20"/>
              </w:rPr>
            </w:pPr>
            <w:r>
              <w:rPr>
                <w:rFonts w:cs="Arial"/>
                <w:color w:val="000000" w:themeColor="text1"/>
                <w:sz w:val="20"/>
                <w:szCs w:val="20"/>
              </w:rPr>
              <w:t>83.8</w:t>
            </w:r>
            <w:r w:rsidR="00112BFE">
              <w:rPr>
                <w:rFonts w:cs="Arial"/>
                <w:color w:val="000000" w:themeColor="text1"/>
                <w:sz w:val="20"/>
                <w:szCs w:val="20"/>
              </w:rPr>
              <w:t>%</w:t>
            </w:r>
          </w:p>
        </w:tc>
        <w:tc>
          <w:tcPr>
            <w:tcW w:w="1276" w:type="dxa"/>
          </w:tcPr>
          <w:p w:rsidR="00112BFE" w:rsidRPr="005D3D19" w:rsidRDefault="00F5423D" w:rsidP="00226E57">
            <w:pPr>
              <w:pStyle w:val="Tabletext"/>
              <w:ind w:right="-2"/>
              <w:jc w:val="right"/>
              <w:rPr>
                <w:rFonts w:cs="Arial"/>
                <w:sz w:val="20"/>
                <w:szCs w:val="20"/>
              </w:rPr>
            </w:pPr>
            <w:r>
              <w:rPr>
                <w:rFonts w:cs="Arial"/>
                <w:sz w:val="20"/>
                <w:szCs w:val="20"/>
              </w:rPr>
              <w:t>-</w:t>
            </w:r>
            <w:r w:rsidR="00226E57">
              <w:rPr>
                <w:rFonts w:cs="Arial"/>
                <w:sz w:val="20"/>
                <w:szCs w:val="20"/>
              </w:rPr>
              <w:t>6.89</w:t>
            </w:r>
            <w:r w:rsidR="00112BFE" w:rsidRPr="005D3D19">
              <w:rPr>
                <w:rFonts w:cs="Arial"/>
                <w:sz w:val="20"/>
                <w:szCs w:val="20"/>
              </w:rPr>
              <w:t>%</w:t>
            </w:r>
          </w:p>
        </w:tc>
      </w:tr>
    </w:tbl>
    <w:p w:rsidR="00547283" w:rsidRPr="005D3D19" w:rsidRDefault="004360DD" w:rsidP="00547283">
      <w:pPr>
        <w:pStyle w:val="Heading3"/>
        <w:ind w:right="-2"/>
        <w:rPr>
          <w:b w:val="0"/>
          <w:sz w:val="20"/>
          <w:szCs w:val="20"/>
        </w:rPr>
      </w:pPr>
      <w:r>
        <w:rPr>
          <w:b w:val="0"/>
          <w:sz w:val="20"/>
          <w:szCs w:val="20"/>
        </w:rPr>
        <w:t>**</w:t>
      </w:r>
      <w:r w:rsidR="00EF424C" w:rsidRPr="005D3D19">
        <w:rPr>
          <w:b w:val="0"/>
          <w:sz w:val="20"/>
          <w:szCs w:val="20"/>
        </w:rPr>
        <w:t xml:space="preserve"> Paper recycle data – identified error in the data from previous years.</w:t>
      </w:r>
    </w:p>
    <w:p w:rsidR="001F54FE" w:rsidRPr="005D3D19" w:rsidRDefault="00547283" w:rsidP="00547283">
      <w:pPr>
        <w:ind w:right="-2"/>
        <w:rPr>
          <w:rFonts w:cs="Arial"/>
          <w:b/>
          <w:sz w:val="20"/>
          <w:szCs w:val="20"/>
        </w:rPr>
      </w:pPr>
      <w:r w:rsidRPr="005D3D19">
        <w:rPr>
          <w:rFonts w:cs="Arial"/>
          <w:b/>
          <w:sz w:val="20"/>
          <w:szCs w:val="20"/>
        </w:rPr>
        <w:t xml:space="preserve">Interstate Offices </w:t>
      </w:r>
    </w:p>
    <w:p w:rsidR="005E5B15" w:rsidRPr="004155E9" w:rsidRDefault="005E5B15" w:rsidP="005E5B15">
      <w:pPr>
        <w:pStyle w:val="Heading3"/>
        <w:ind w:right="-2"/>
        <w:rPr>
          <w:i w:val="0"/>
          <w:sz w:val="20"/>
          <w:szCs w:val="20"/>
        </w:rPr>
      </w:pPr>
      <w:r w:rsidRPr="004155E9">
        <w:rPr>
          <w:i w:val="0"/>
          <w:sz w:val="20"/>
          <w:szCs w:val="20"/>
        </w:rPr>
        <w:t xml:space="preserve">Australian Antarctic Division </w:t>
      </w:r>
    </w:p>
    <w:p w:rsidR="005E5B15" w:rsidRPr="004155E9" w:rsidRDefault="005E5B15" w:rsidP="005E5B15">
      <w:pPr>
        <w:pStyle w:val="Heading4"/>
        <w:spacing w:after="0" w:line="240" w:lineRule="auto"/>
        <w:ind w:right="-2"/>
        <w:rPr>
          <w:i w:val="0"/>
          <w:sz w:val="20"/>
          <w:szCs w:val="20"/>
          <w:u w:val="single"/>
        </w:rPr>
      </w:pPr>
      <w:r w:rsidRPr="004155E9">
        <w:rPr>
          <w:i w:val="0"/>
          <w:sz w:val="20"/>
          <w:szCs w:val="20"/>
          <w:u w:val="single"/>
        </w:rPr>
        <w:t>Sites and staffing</w:t>
      </w:r>
      <w:r w:rsidRPr="004155E9">
        <w:rPr>
          <w:i w:val="0"/>
          <w:sz w:val="20"/>
          <w:szCs w:val="20"/>
          <w:u w:val="single"/>
        </w:rPr>
        <w:br/>
      </w:r>
    </w:p>
    <w:p w:rsidR="005E5B15" w:rsidRPr="004155E9" w:rsidRDefault="005E5B15" w:rsidP="005E5B15">
      <w:pPr>
        <w:ind w:right="-2"/>
        <w:rPr>
          <w:rFonts w:cs="Arial"/>
          <w:sz w:val="20"/>
          <w:szCs w:val="20"/>
        </w:rPr>
      </w:pPr>
      <w:r w:rsidRPr="004155E9">
        <w:rPr>
          <w:rFonts w:cs="Arial"/>
          <w:sz w:val="20"/>
          <w:szCs w:val="20"/>
        </w:rPr>
        <w:t>The Australian Antarctic Division (AAD)</w:t>
      </w:r>
      <w:r>
        <w:rPr>
          <w:rFonts w:cs="Arial"/>
          <w:sz w:val="20"/>
          <w:szCs w:val="20"/>
        </w:rPr>
        <w:t xml:space="preserve"> </w:t>
      </w:r>
      <w:r w:rsidRPr="004155E9">
        <w:rPr>
          <w:rFonts w:cs="Arial"/>
          <w:sz w:val="20"/>
          <w:szCs w:val="20"/>
        </w:rPr>
        <w:t>environmental performance</w:t>
      </w:r>
      <w:r>
        <w:rPr>
          <w:rFonts w:cs="Arial"/>
          <w:sz w:val="20"/>
          <w:szCs w:val="20"/>
        </w:rPr>
        <w:t xml:space="preserve"> report covers facilities and operations in Tasmania, Macquarie Island and Antarctica. Facilities include </w:t>
      </w:r>
      <w:r w:rsidRPr="004155E9">
        <w:rPr>
          <w:rFonts w:cs="Arial"/>
          <w:sz w:val="20"/>
          <w:szCs w:val="20"/>
        </w:rPr>
        <w:t xml:space="preserve">offices, laboratories and workshops at Kingston and </w:t>
      </w:r>
      <w:r>
        <w:rPr>
          <w:rFonts w:cs="Arial"/>
          <w:sz w:val="20"/>
          <w:szCs w:val="20"/>
        </w:rPr>
        <w:t xml:space="preserve">at the </w:t>
      </w:r>
      <w:r w:rsidRPr="004155E9">
        <w:rPr>
          <w:rFonts w:cs="Arial"/>
          <w:sz w:val="20"/>
          <w:szCs w:val="20"/>
        </w:rPr>
        <w:t xml:space="preserve">Hobart port, as well Macquarie Island </w:t>
      </w:r>
      <w:r>
        <w:rPr>
          <w:rFonts w:cs="Arial"/>
          <w:sz w:val="20"/>
          <w:szCs w:val="20"/>
        </w:rPr>
        <w:t>Research S</w:t>
      </w:r>
      <w:r w:rsidRPr="004155E9">
        <w:rPr>
          <w:rFonts w:cs="Arial"/>
          <w:sz w:val="20"/>
          <w:szCs w:val="20"/>
        </w:rPr>
        <w:t xml:space="preserve">tation and three Antarctic </w:t>
      </w:r>
      <w:r>
        <w:rPr>
          <w:rFonts w:cs="Arial"/>
          <w:sz w:val="20"/>
          <w:szCs w:val="20"/>
        </w:rPr>
        <w:t xml:space="preserve">research </w:t>
      </w:r>
      <w:r w:rsidRPr="004155E9">
        <w:rPr>
          <w:rFonts w:cs="Arial"/>
          <w:sz w:val="20"/>
          <w:szCs w:val="20"/>
        </w:rPr>
        <w:t>stations: Davis, Mawson and Casey.</w:t>
      </w:r>
      <w:r>
        <w:rPr>
          <w:rFonts w:cs="Arial"/>
          <w:sz w:val="20"/>
          <w:szCs w:val="20"/>
        </w:rPr>
        <w:t xml:space="preserve"> This report also includes resource use and emissions associated with the operation of the Antarctic vessel </w:t>
      </w:r>
      <w:r w:rsidRPr="00F22614">
        <w:rPr>
          <w:rFonts w:cs="Arial"/>
          <w:i/>
          <w:sz w:val="20"/>
          <w:szCs w:val="20"/>
        </w:rPr>
        <w:t>Aurora Australis</w:t>
      </w:r>
      <w:r>
        <w:rPr>
          <w:rFonts w:cs="Arial"/>
          <w:sz w:val="20"/>
          <w:szCs w:val="20"/>
        </w:rPr>
        <w:t xml:space="preserve">; intercontinental and intracontinental aviation operations as well as vehicle use in Australia, Antarctic stations and in the field.  </w:t>
      </w:r>
      <w:r w:rsidRPr="004155E9">
        <w:rPr>
          <w:rFonts w:cs="Arial"/>
          <w:sz w:val="20"/>
          <w:szCs w:val="20"/>
        </w:rPr>
        <w:t xml:space="preserve"> </w:t>
      </w:r>
    </w:p>
    <w:p w:rsidR="005E5B15" w:rsidRPr="004155E9" w:rsidRDefault="005E5B15" w:rsidP="005E5B15">
      <w:pPr>
        <w:ind w:right="-2"/>
        <w:rPr>
          <w:rFonts w:cs="Arial"/>
          <w:sz w:val="20"/>
          <w:szCs w:val="20"/>
        </w:rPr>
      </w:pPr>
      <w:r w:rsidRPr="004155E9">
        <w:rPr>
          <w:rFonts w:cs="Arial"/>
          <w:sz w:val="20"/>
          <w:szCs w:val="20"/>
        </w:rPr>
        <w:t>In 20</w:t>
      </w:r>
      <w:r>
        <w:rPr>
          <w:rFonts w:cs="Arial"/>
          <w:sz w:val="20"/>
          <w:szCs w:val="20"/>
        </w:rPr>
        <w:t>15-16</w:t>
      </w:r>
      <w:r w:rsidRPr="004155E9">
        <w:rPr>
          <w:rFonts w:cs="Arial"/>
          <w:sz w:val="20"/>
          <w:szCs w:val="20"/>
        </w:rPr>
        <w:t xml:space="preserve">, the AAD had </w:t>
      </w:r>
      <w:r>
        <w:rPr>
          <w:rFonts w:cs="Arial"/>
          <w:sz w:val="20"/>
          <w:szCs w:val="20"/>
        </w:rPr>
        <w:t>265</w:t>
      </w:r>
      <w:r w:rsidRPr="004155E9">
        <w:rPr>
          <w:rFonts w:cs="Arial"/>
          <w:sz w:val="20"/>
          <w:szCs w:val="20"/>
        </w:rPr>
        <w:t xml:space="preserve"> FTE employees at Kingston and Hobart port as well as </w:t>
      </w:r>
      <w:r>
        <w:rPr>
          <w:rFonts w:cs="Arial"/>
          <w:sz w:val="20"/>
          <w:szCs w:val="20"/>
        </w:rPr>
        <w:t>33</w:t>
      </w:r>
      <w:r w:rsidRPr="004155E9">
        <w:rPr>
          <w:rFonts w:cs="Arial"/>
          <w:sz w:val="20"/>
          <w:szCs w:val="20"/>
        </w:rPr>
        <w:t xml:space="preserve"> FTE employees of the Marine Reserves Branch of Parks Australia at the Kingston site.</w:t>
      </w:r>
      <w:r>
        <w:rPr>
          <w:rFonts w:cs="Arial"/>
          <w:sz w:val="20"/>
          <w:szCs w:val="20"/>
        </w:rPr>
        <w:t xml:space="preserve"> In 2015-16</w:t>
      </w:r>
      <w:r w:rsidRPr="004155E9">
        <w:rPr>
          <w:rFonts w:cs="Arial"/>
          <w:sz w:val="20"/>
          <w:szCs w:val="20"/>
        </w:rPr>
        <w:t xml:space="preserve"> approximately 1</w:t>
      </w:r>
      <w:r>
        <w:rPr>
          <w:rFonts w:cs="Arial"/>
          <w:sz w:val="20"/>
          <w:szCs w:val="20"/>
        </w:rPr>
        <w:t>09</w:t>
      </w:r>
      <w:r w:rsidRPr="004155E9">
        <w:rPr>
          <w:rFonts w:cs="Arial"/>
          <w:sz w:val="20"/>
          <w:szCs w:val="20"/>
        </w:rPr>
        <w:t xml:space="preserve"> FTE expeditioners </w:t>
      </w:r>
      <w:r>
        <w:rPr>
          <w:rFonts w:cs="Arial"/>
          <w:sz w:val="20"/>
          <w:szCs w:val="20"/>
        </w:rPr>
        <w:t xml:space="preserve">were </w:t>
      </w:r>
      <w:r w:rsidRPr="004155E9">
        <w:rPr>
          <w:rFonts w:cs="Arial"/>
          <w:sz w:val="20"/>
          <w:szCs w:val="20"/>
        </w:rPr>
        <w:t xml:space="preserve">employed </w:t>
      </w:r>
      <w:r>
        <w:rPr>
          <w:rFonts w:cs="Arial"/>
          <w:sz w:val="20"/>
          <w:szCs w:val="20"/>
        </w:rPr>
        <w:t xml:space="preserve">across </w:t>
      </w:r>
      <w:r w:rsidRPr="004155E9">
        <w:rPr>
          <w:rFonts w:cs="Arial"/>
          <w:sz w:val="20"/>
          <w:szCs w:val="20"/>
        </w:rPr>
        <w:t>three stations in Antarctica and a station on Macquarie Island to manage and support scientific research and operational programs</w:t>
      </w:r>
      <w:r>
        <w:rPr>
          <w:rFonts w:cs="Arial"/>
          <w:sz w:val="20"/>
          <w:szCs w:val="20"/>
        </w:rPr>
        <w:t>. A</w:t>
      </w:r>
      <w:r w:rsidRPr="004155E9">
        <w:rPr>
          <w:rFonts w:cs="Arial"/>
          <w:sz w:val="20"/>
          <w:szCs w:val="20"/>
        </w:rPr>
        <w:t xml:space="preserve"> total of 4</w:t>
      </w:r>
      <w:r>
        <w:rPr>
          <w:rFonts w:cs="Arial"/>
          <w:sz w:val="20"/>
          <w:szCs w:val="20"/>
        </w:rPr>
        <w:t>96</w:t>
      </w:r>
      <w:r w:rsidRPr="004155E9">
        <w:rPr>
          <w:rFonts w:cs="Arial"/>
          <w:sz w:val="20"/>
          <w:szCs w:val="20"/>
        </w:rPr>
        <w:t xml:space="preserve"> expeditioners went south</w:t>
      </w:r>
      <w:r>
        <w:rPr>
          <w:rFonts w:cs="Arial"/>
          <w:sz w:val="20"/>
          <w:szCs w:val="20"/>
        </w:rPr>
        <w:t xml:space="preserve"> during the 2015-2016 summer</w:t>
      </w:r>
      <w:r w:rsidRPr="004155E9">
        <w:rPr>
          <w:rFonts w:cs="Arial"/>
          <w:sz w:val="20"/>
          <w:szCs w:val="20"/>
        </w:rPr>
        <w:t>; these included scientists, field workers</w:t>
      </w:r>
      <w:r>
        <w:rPr>
          <w:rFonts w:cs="Arial"/>
          <w:sz w:val="20"/>
          <w:szCs w:val="20"/>
        </w:rPr>
        <w:t>,</w:t>
      </w:r>
      <w:r w:rsidRPr="004155E9">
        <w:rPr>
          <w:rFonts w:cs="Arial"/>
          <w:sz w:val="20"/>
          <w:szCs w:val="20"/>
        </w:rPr>
        <w:t xml:space="preserve"> summer personnel, </w:t>
      </w:r>
      <w:r>
        <w:rPr>
          <w:rFonts w:cs="Arial"/>
          <w:sz w:val="20"/>
          <w:szCs w:val="20"/>
        </w:rPr>
        <w:t xml:space="preserve">and others who may visit stations for </w:t>
      </w:r>
      <w:r w:rsidRPr="004155E9">
        <w:rPr>
          <w:rFonts w:cs="Arial"/>
          <w:sz w:val="20"/>
          <w:szCs w:val="20"/>
        </w:rPr>
        <w:t xml:space="preserve">periods ranging from hours to months. </w:t>
      </w:r>
      <w:r>
        <w:rPr>
          <w:rFonts w:cs="Arial"/>
          <w:sz w:val="20"/>
          <w:szCs w:val="20"/>
        </w:rPr>
        <w:t xml:space="preserve">For the purpose of estimating </w:t>
      </w:r>
      <w:r w:rsidRPr="004155E9">
        <w:rPr>
          <w:rFonts w:cs="Arial"/>
          <w:sz w:val="20"/>
          <w:szCs w:val="20"/>
        </w:rPr>
        <w:t>per capita values for energy</w:t>
      </w:r>
      <w:r>
        <w:rPr>
          <w:rFonts w:cs="Arial"/>
          <w:sz w:val="20"/>
          <w:szCs w:val="20"/>
        </w:rPr>
        <w:t>,</w:t>
      </w:r>
      <w:r w:rsidRPr="004155E9">
        <w:rPr>
          <w:rFonts w:cs="Arial"/>
          <w:sz w:val="20"/>
          <w:szCs w:val="20"/>
        </w:rPr>
        <w:t xml:space="preserve"> water</w:t>
      </w:r>
      <w:r>
        <w:rPr>
          <w:rFonts w:cs="Arial"/>
          <w:sz w:val="20"/>
          <w:szCs w:val="20"/>
        </w:rPr>
        <w:t xml:space="preserve">, resource </w:t>
      </w:r>
      <w:r w:rsidRPr="004155E9">
        <w:rPr>
          <w:rFonts w:cs="Arial"/>
          <w:sz w:val="20"/>
          <w:szCs w:val="20"/>
        </w:rPr>
        <w:t>use</w:t>
      </w:r>
      <w:r>
        <w:rPr>
          <w:rFonts w:cs="Arial"/>
          <w:sz w:val="20"/>
          <w:szCs w:val="20"/>
        </w:rPr>
        <w:t xml:space="preserve"> and</w:t>
      </w:r>
      <w:r w:rsidRPr="004155E9">
        <w:rPr>
          <w:rFonts w:cs="Arial"/>
          <w:sz w:val="20"/>
          <w:szCs w:val="20"/>
        </w:rPr>
        <w:t xml:space="preserve"> waste generation </w:t>
      </w:r>
      <w:r>
        <w:rPr>
          <w:rFonts w:cs="Arial"/>
          <w:sz w:val="20"/>
          <w:szCs w:val="20"/>
        </w:rPr>
        <w:t xml:space="preserve">a value of 144 </w:t>
      </w:r>
      <w:r w:rsidRPr="004155E9">
        <w:rPr>
          <w:rFonts w:cs="Arial"/>
          <w:sz w:val="20"/>
          <w:szCs w:val="20"/>
        </w:rPr>
        <w:t xml:space="preserve">equivalent full time </w:t>
      </w:r>
      <w:r>
        <w:rPr>
          <w:rFonts w:cs="Arial"/>
          <w:sz w:val="20"/>
          <w:szCs w:val="20"/>
        </w:rPr>
        <w:t xml:space="preserve">(EFT) </w:t>
      </w:r>
      <w:r w:rsidRPr="004155E9">
        <w:rPr>
          <w:rFonts w:cs="Arial"/>
          <w:sz w:val="20"/>
          <w:szCs w:val="20"/>
        </w:rPr>
        <w:t>expeditioner</w:t>
      </w:r>
      <w:r>
        <w:rPr>
          <w:rFonts w:cs="Arial"/>
          <w:sz w:val="20"/>
          <w:szCs w:val="20"/>
        </w:rPr>
        <w:t xml:space="preserve">s is </w:t>
      </w:r>
      <w:r w:rsidRPr="004155E9">
        <w:rPr>
          <w:rFonts w:cs="Arial"/>
          <w:sz w:val="20"/>
          <w:szCs w:val="20"/>
        </w:rPr>
        <w:t>used</w:t>
      </w:r>
      <w:r>
        <w:rPr>
          <w:rFonts w:cs="Arial"/>
          <w:sz w:val="20"/>
          <w:szCs w:val="20"/>
        </w:rPr>
        <w:t>. This value,</w:t>
      </w:r>
      <w:r w:rsidRPr="004155E9">
        <w:rPr>
          <w:rFonts w:cs="Arial"/>
          <w:sz w:val="20"/>
          <w:szCs w:val="20"/>
        </w:rPr>
        <w:t xml:space="preserve"> </w:t>
      </w:r>
      <w:r>
        <w:rPr>
          <w:rFonts w:cs="Arial"/>
          <w:sz w:val="20"/>
          <w:szCs w:val="20"/>
        </w:rPr>
        <w:t xml:space="preserve">while imprecise, is considered more indicative the highly </w:t>
      </w:r>
      <w:r w:rsidR="00F5423D">
        <w:rPr>
          <w:rFonts w:cs="Arial"/>
          <w:sz w:val="20"/>
          <w:szCs w:val="20"/>
        </w:rPr>
        <w:t>variable</w:t>
      </w:r>
      <w:r>
        <w:rPr>
          <w:rFonts w:cs="Arial"/>
          <w:sz w:val="20"/>
          <w:szCs w:val="20"/>
        </w:rPr>
        <w:t xml:space="preserve"> station population and resource use across the summer and winter seasons.</w:t>
      </w:r>
    </w:p>
    <w:p w:rsidR="005E5B15" w:rsidRPr="004155E9" w:rsidRDefault="005E5B15" w:rsidP="005E5B15">
      <w:pPr>
        <w:pStyle w:val="Heading4"/>
        <w:spacing w:after="0" w:line="240" w:lineRule="auto"/>
        <w:ind w:right="-2"/>
        <w:rPr>
          <w:i w:val="0"/>
          <w:sz w:val="20"/>
          <w:szCs w:val="20"/>
          <w:u w:val="single"/>
        </w:rPr>
      </w:pPr>
      <w:r w:rsidRPr="004155E9">
        <w:rPr>
          <w:i w:val="0"/>
          <w:sz w:val="20"/>
          <w:szCs w:val="20"/>
          <w:u w:val="single"/>
        </w:rPr>
        <w:t>Environmental management framework</w:t>
      </w:r>
      <w:r w:rsidRPr="004155E9">
        <w:rPr>
          <w:i w:val="0"/>
          <w:sz w:val="20"/>
          <w:szCs w:val="20"/>
          <w:u w:val="single"/>
        </w:rPr>
        <w:br/>
      </w:r>
    </w:p>
    <w:p w:rsidR="005E5B15" w:rsidRPr="004155E9" w:rsidRDefault="005E5B15" w:rsidP="005E5B15">
      <w:pPr>
        <w:ind w:right="-2"/>
        <w:rPr>
          <w:rFonts w:cs="Arial"/>
          <w:sz w:val="20"/>
          <w:szCs w:val="20"/>
        </w:rPr>
      </w:pPr>
      <w:r w:rsidRPr="003E2CB0">
        <w:rPr>
          <w:rFonts w:cs="Arial"/>
          <w:sz w:val="20"/>
          <w:szCs w:val="20"/>
        </w:rPr>
        <w:t xml:space="preserve">Australia remains the only Antarctic Treaty party to hold external certification of its Environmental Management System to the international standard for Environmental Management Systems (ISO </w:t>
      </w:r>
      <w:r w:rsidRPr="006E6B18">
        <w:rPr>
          <w:rFonts w:cs="Arial"/>
          <w:sz w:val="20"/>
          <w:szCs w:val="20"/>
        </w:rPr>
        <w:t>14001:2004</w:t>
      </w:r>
      <w:r w:rsidRPr="003E2CB0">
        <w:rPr>
          <w:rFonts w:cs="Arial"/>
          <w:sz w:val="20"/>
          <w:szCs w:val="20"/>
        </w:rPr>
        <w:t>)</w:t>
      </w:r>
      <w:r>
        <w:rPr>
          <w:rFonts w:cs="Arial"/>
          <w:sz w:val="20"/>
          <w:szCs w:val="20"/>
        </w:rPr>
        <w:t>,</w:t>
      </w:r>
      <w:r w:rsidRPr="003E2CB0">
        <w:rPr>
          <w:rFonts w:cs="Arial"/>
          <w:sz w:val="20"/>
          <w:szCs w:val="20"/>
        </w:rPr>
        <w:t xml:space="preserve"> </w:t>
      </w:r>
      <w:r>
        <w:rPr>
          <w:rFonts w:cs="Arial"/>
          <w:sz w:val="20"/>
          <w:szCs w:val="20"/>
        </w:rPr>
        <w:t>t</w:t>
      </w:r>
      <w:r w:rsidRPr="003E2CB0">
        <w:rPr>
          <w:rFonts w:cs="Arial"/>
          <w:sz w:val="20"/>
          <w:szCs w:val="20"/>
        </w:rPr>
        <w:t>he AAD has maintained this accreditation since 2002</w:t>
      </w:r>
      <w:r>
        <w:rPr>
          <w:rFonts w:cs="Arial"/>
          <w:sz w:val="20"/>
          <w:szCs w:val="20"/>
        </w:rPr>
        <w:t>. A</w:t>
      </w:r>
      <w:r w:rsidRPr="003E2CB0">
        <w:rPr>
          <w:rFonts w:cs="Arial"/>
          <w:sz w:val="20"/>
          <w:szCs w:val="20"/>
        </w:rPr>
        <w:t>nnual surveillance audits conducted at Australian-based operations, along with triennial audits of Antarctic/sub-Antarctic stations</w:t>
      </w:r>
      <w:r>
        <w:rPr>
          <w:rFonts w:cs="Arial"/>
          <w:sz w:val="20"/>
          <w:szCs w:val="20"/>
        </w:rPr>
        <w:t xml:space="preserve">. A recertification </w:t>
      </w:r>
      <w:r w:rsidRPr="003E2CB0">
        <w:rPr>
          <w:rFonts w:cs="Arial"/>
          <w:sz w:val="20"/>
          <w:szCs w:val="20"/>
        </w:rPr>
        <w:t>audi</w:t>
      </w:r>
      <w:r>
        <w:rPr>
          <w:rFonts w:cs="Arial"/>
          <w:sz w:val="20"/>
          <w:szCs w:val="20"/>
        </w:rPr>
        <w:t>t</w:t>
      </w:r>
      <w:r w:rsidRPr="003E2CB0">
        <w:rPr>
          <w:rFonts w:cs="Arial"/>
          <w:sz w:val="20"/>
          <w:szCs w:val="20"/>
        </w:rPr>
        <w:t xml:space="preserve"> </w:t>
      </w:r>
      <w:r>
        <w:rPr>
          <w:rFonts w:cs="Arial"/>
          <w:sz w:val="20"/>
          <w:szCs w:val="20"/>
        </w:rPr>
        <w:t>to the revised standard (ISO 14001:2015) will</w:t>
      </w:r>
      <w:r w:rsidRPr="003E2CB0">
        <w:rPr>
          <w:rFonts w:cs="Arial"/>
          <w:sz w:val="20"/>
          <w:szCs w:val="20"/>
        </w:rPr>
        <w:t xml:space="preserve"> be conducted </w:t>
      </w:r>
      <w:r>
        <w:rPr>
          <w:rFonts w:cs="Arial"/>
          <w:sz w:val="20"/>
          <w:szCs w:val="20"/>
        </w:rPr>
        <w:t xml:space="preserve">in </w:t>
      </w:r>
      <w:r w:rsidRPr="003E2CB0">
        <w:rPr>
          <w:rFonts w:cs="Arial"/>
          <w:sz w:val="20"/>
          <w:szCs w:val="20"/>
        </w:rPr>
        <w:t>201</w:t>
      </w:r>
      <w:r>
        <w:rPr>
          <w:rFonts w:cs="Arial"/>
          <w:sz w:val="20"/>
          <w:szCs w:val="20"/>
        </w:rPr>
        <w:t xml:space="preserve">7. </w:t>
      </w:r>
    </w:p>
    <w:p w:rsidR="005E5B15" w:rsidRPr="004155E9" w:rsidRDefault="005E5B15" w:rsidP="005E5B15">
      <w:pPr>
        <w:pStyle w:val="Heading4"/>
        <w:spacing w:after="0" w:line="240" w:lineRule="auto"/>
        <w:ind w:right="-2"/>
        <w:rPr>
          <w:i w:val="0"/>
          <w:sz w:val="20"/>
          <w:szCs w:val="20"/>
          <w:u w:val="single"/>
        </w:rPr>
      </w:pPr>
      <w:r w:rsidRPr="004155E9">
        <w:rPr>
          <w:i w:val="0"/>
          <w:sz w:val="20"/>
          <w:szCs w:val="20"/>
          <w:u w:val="single"/>
        </w:rPr>
        <w:lastRenderedPageBreak/>
        <w:t>Energy</w:t>
      </w:r>
      <w:r w:rsidRPr="004155E9">
        <w:rPr>
          <w:i w:val="0"/>
          <w:sz w:val="20"/>
          <w:szCs w:val="20"/>
          <w:u w:val="single"/>
        </w:rPr>
        <w:br/>
        <w:t xml:space="preserve"> </w:t>
      </w:r>
    </w:p>
    <w:p w:rsidR="005E5B15" w:rsidRPr="004155E9" w:rsidRDefault="005E5B15" w:rsidP="005E5B15">
      <w:pPr>
        <w:ind w:right="-2"/>
        <w:rPr>
          <w:rFonts w:cs="Arial"/>
          <w:sz w:val="20"/>
          <w:szCs w:val="20"/>
        </w:rPr>
      </w:pPr>
      <w:r w:rsidRPr="004155E9">
        <w:rPr>
          <w:rFonts w:cs="Arial"/>
          <w:sz w:val="20"/>
          <w:szCs w:val="20"/>
        </w:rPr>
        <w:t>During 201</w:t>
      </w:r>
      <w:r>
        <w:rPr>
          <w:rFonts w:cs="Arial"/>
          <w:sz w:val="20"/>
          <w:szCs w:val="20"/>
        </w:rPr>
        <w:t>5-</w:t>
      </w:r>
      <w:r w:rsidRPr="004155E9">
        <w:rPr>
          <w:rFonts w:cs="Arial"/>
          <w:sz w:val="20"/>
          <w:szCs w:val="20"/>
        </w:rPr>
        <w:t>1</w:t>
      </w:r>
      <w:r>
        <w:rPr>
          <w:rFonts w:cs="Arial"/>
          <w:sz w:val="20"/>
          <w:szCs w:val="20"/>
        </w:rPr>
        <w:t>6</w:t>
      </w:r>
      <w:r w:rsidRPr="004155E9">
        <w:rPr>
          <w:rFonts w:cs="Arial"/>
          <w:sz w:val="20"/>
          <w:szCs w:val="20"/>
        </w:rPr>
        <w:t xml:space="preserve">, energy use at the </w:t>
      </w:r>
      <w:r>
        <w:rPr>
          <w:rFonts w:cs="Arial"/>
          <w:sz w:val="20"/>
          <w:szCs w:val="20"/>
        </w:rPr>
        <w:t xml:space="preserve">Kingston and Hobart </w:t>
      </w:r>
      <w:r w:rsidRPr="004155E9">
        <w:rPr>
          <w:rFonts w:cs="Arial"/>
          <w:sz w:val="20"/>
          <w:szCs w:val="20"/>
        </w:rPr>
        <w:t xml:space="preserve">Cargo and Biosecurity Centre (CBC) </w:t>
      </w:r>
      <w:r>
        <w:rPr>
          <w:rFonts w:cs="Arial"/>
          <w:sz w:val="20"/>
          <w:szCs w:val="20"/>
        </w:rPr>
        <w:t>increased as a result of an increase in diversity of shipping and aviation related cargo and logistics activities within the Australian Antarctic program. The AAD maintains a range of energy efficiency measures across its facilities and, where possible, improvements in energy efficiency are incorporated into maintenance and renewal programs for all sites. F</w:t>
      </w:r>
      <w:r w:rsidRPr="004155E9">
        <w:rPr>
          <w:rFonts w:cs="Arial"/>
          <w:sz w:val="20"/>
          <w:szCs w:val="20"/>
        </w:rPr>
        <w:t xml:space="preserve">uel consumption </w:t>
      </w:r>
      <w:r>
        <w:rPr>
          <w:rFonts w:cs="Arial"/>
          <w:sz w:val="20"/>
          <w:szCs w:val="20"/>
        </w:rPr>
        <w:t xml:space="preserve">and kilometres travelled by </w:t>
      </w:r>
      <w:r w:rsidRPr="004155E9">
        <w:rPr>
          <w:rFonts w:cs="Arial"/>
          <w:sz w:val="20"/>
          <w:szCs w:val="20"/>
        </w:rPr>
        <w:t xml:space="preserve">the AAD’s Kingston </w:t>
      </w:r>
      <w:r>
        <w:rPr>
          <w:rFonts w:cs="Arial"/>
          <w:sz w:val="20"/>
          <w:szCs w:val="20"/>
        </w:rPr>
        <w:t xml:space="preserve">AAD vehicle fleet decreased </w:t>
      </w:r>
      <w:r w:rsidRPr="004155E9">
        <w:rPr>
          <w:rFonts w:cs="Arial"/>
          <w:sz w:val="20"/>
          <w:szCs w:val="20"/>
        </w:rPr>
        <w:t>slightly from the previous year.</w:t>
      </w:r>
    </w:p>
    <w:p w:rsidR="005E5B15" w:rsidRDefault="005E5B15" w:rsidP="005E5B15">
      <w:pPr>
        <w:ind w:right="-2"/>
        <w:rPr>
          <w:rFonts w:cs="Arial"/>
          <w:sz w:val="20"/>
          <w:szCs w:val="20"/>
        </w:rPr>
      </w:pPr>
      <w:r>
        <w:rPr>
          <w:rFonts w:cs="Arial"/>
          <w:sz w:val="20"/>
          <w:szCs w:val="20"/>
        </w:rPr>
        <w:t>In Antarctica and Macquarie Island the total fuel used for electricity generation and vehicle use increased from the previous year. This increase is attributed to the winding back of temporary precautionary fuel saving measures implemented at Mawson Station in 2014 and an extended operational season of Wilkins ice runway in Antarctica. The total</w:t>
      </w:r>
      <w:r w:rsidRPr="004155E9">
        <w:rPr>
          <w:rFonts w:cs="Arial"/>
          <w:sz w:val="20"/>
          <w:szCs w:val="20"/>
        </w:rPr>
        <w:t xml:space="preserve"> energy </w:t>
      </w:r>
      <w:r>
        <w:rPr>
          <w:rFonts w:cs="Arial"/>
          <w:sz w:val="20"/>
          <w:szCs w:val="20"/>
        </w:rPr>
        <w:t>generated by the Mawson wind turbines was slightly lower than the previous year however, renewable energy still contributes 45-50% of the energy use of the station</w:t>
      </w:r>
      <w:r w:rsidRPr="004155E9">
        <w:rPr>
          <w:rFonts w:cs="Arial"/>
          <w:sz w:val="20"/>
          <w:szCs w:val="20"/>
        </w:rPr>
        <w:t>.</w:t>
      </w:r>
      <w:r w:rsidRPr="00A509D5">
        <w:rPr>
          <w:rFonts w:cs="Arial"/>
          <w:sz w:val="20"/>
          <w:szCs w:val="20"/>
        </w:rPr>
        <w:t xml:space="preserve"> </w:t>
      </w:r>
    </w:p>
    <w:p w:rsidR="005E5B15" w:rsidRPr="004155E9" w:rsidRDefault="005E5B15" w:rsidP="005E5B15">
      <w:pPr>
        <w:ind w:right="-2"/>
        <w:rPr>
          <w:rFonts w:cs="Arial"/>
          <w:sz w:val="20"/>
          <w:szCs w:val="20"/>
        </w:rPr>
      </w:pPr>
      <w:r>
        <w:rPr>
          <w:rFonts w:cs="Arial"/>
          <w:sz w:val="20"/>
          <w:szCs w:val="20"/>
        </w:rPr>
        <w:t>E</w:t>
      </w:r>
      <w:r w:rsidRPr="004155E9">
        <w:rPr>
          <w:rFonts w:cs="Arial"/>
          <w:sz w:val="20"/>
          <w:szCs w:val="20"/>
        </w:rPr>
        <w:t xml:space="preserve">lectricity use per person </w:t>
      </w:r>
      <w:r>
        <w:rPr>
          <w:rFonts w:cs="Arial"/>
          <w:sz w:val="20"/>
          <w:szCs w:val="20"/>
        </w:rPr>
        <w:t>i</w:t>
      </w:r>
      <w:r w:rsidRPr="004155E9">
        <w:rPr>
          <w:rFonts w:cs="Arial"/>
          <w:sz w:val="20"/>
          <w:szCs w:val="20"/>
        </w:rPr>
        <w:t>n Antarctica</w:t>
      </w:r>
      <w:r>
        <w:rPr>
          <w:rFonts w:cs="Arial"/>
          <w:sz w:val="20"/>
          <w:szCs w:val="20"/>
        </w:rPr>
        <w:t xml:space="preserve"> can </w:t>
      </w:r>
      <w:r w:rsidRPr="004155E9">
        <w:rPr>
          <w:rFonts w:cs="Arial"/>
          <w:sz w:val="20"/>
          <w:szCs w:val="20"/>
        </w:rPr>
        <w:t xml:space="preserve">fluctuate from year to year depending on </w:t>
      </w:r>
      <w:r>
        <w:rPr>
          <w:rFonts w:cs="Arial"/>
          <w:sz w:val="20"/>
          <w:szCs w:val="20"/>
        </w:rPr>
        <w:t xml:space="preserve">weather conditions, </w:t>
      </w:r>
      <w:r w:rsidRPr="004155E9">
        <w:rPr>
          <w:rFonts w:cs="Arial"/>
          <w:sz w:val="20"/>
          <w:szCs w:val="20"/>
        </w:rPr>
        <w:t xml:space="preserve">temperatures, the number of people on station </w:t>
      </w:r>
      <w:r>
        <w:rPr>
          <w:rFonts w:cs="Arial"/>
          <w:sz w:val="20"/>
          <w:szCs w:val="20"/>
        </w:rPr>
        <w:t xml:space="preserve">and </w:t>
      </w:r>
      <w:r w:rsidRPr="004155E9">
        <w:rPr>
          <w:rFonts w:cs="Arial"/>
          <w:sz w:val="20"/>
          <w:szCs w:val="20"/>
        </w:rPr>
        <w:t>the nature of scie</w:t>
      </w:r>
      <w:r>
        <w:rPr>
          <w:rFonts w:cs="Arial"/>
          <w:sz w:val="20"/>
          <w:szCs w:val="20"/>
        </w:rPr>
        <w:t xml:space="preserve">ntific and operational projects over the summer and winter periods. The overall energy use per expeditioner in 2015-16 decreased by </w:t>
      </w:r>
      <w:r w:rsidR="00CD46CC">
        <w:rPr>
          <w:rFonts w:cs="Arial"/>
          <w:sz w:val="20"/>
          <w:szCs w:val="20"/>
        </w:rPr>
        <w:t>6</w:t>
      </w:r>
      <w:r>
        <w:rPr>
          <w:rFonts w:cs="Arial"/>
          <w:sz w:val="20"/>
          <w:szCs w:val="20"/>
        </w:rPr>
        <w:t xml:space="preserve">% due to improved energy efficiency strategies and behaviours across all stations. </w:t>
      </w:r>
    </w:p>
    <w:p w:rsidR="005E5B15" w:rsidRPr="004155E9" w:rsidRDefault="005E5B15" w:rsidP="005E5B15">
      <w:pPr>
        <w:ind w:right="-2"/>
        <w:rPr>
          <w:rFonts w:cs="Arial"/>
          <w:sz w:val="20"/>
          <w:szCs w:val="20"/>
        </w:rPr>
      </w:pPr>
      <w:r w:rsidRPr="004155E9">
        <w:rPr>
          <w:rFonts w:cs="Arial"/>
          <w:sz w:val="20"/>
          <w:szCs w:val="20"/>
        </w:rPr>
        <w:t>Total marine diesel oil used for shipping in 201</w:t>
      </w:r>
      <w:r>
        <w:rPr>
          <w:rFonts w:cs="Arial"/>
          <w:sz w:val="20"/>
          <w:szCs w:val="20"/>
        </w:rPr>
        <w:t>5</w:t>
      </w:r>
      <w:r w:rsidRPr="004155E9">
        <w:rPr>
          <w:rFonts w:cs="Arial"/>
          <w:sz w:val="20"/>
          <w:szCs w:val="20"/>
        </w:rPr>
        <w:t>-1</w:t>
      </w:r>
      <w:r>
        <w:rPr>
          <w:rFonts w:cs="Arial"/>
          <w:sz w:val="20"/>
          <w:szCs w:val="20"/>
        </w:rPr>
        <w:t>6</w:t>
      </w:r>
      <w:r w:rsidRPr="004155E9">
        <w:rPr>
          <w:rFonts w:cs="Arial"/>
          <w:sz w:val="20"/>
          <w:szCs w:val="20"/>
        </w:rPr>
        <w:t xml:space="preserve"> </w:t>
      </w:r>
      <w:r>
        <w:rPr>
          <w:rFonts w:cs="Arial"/>
          <w:sz w:val="20"/>
          <w:szCs w:val="20"/>
        </w:rPr>
        <w:t>increased by 25% reflecting and overall increase in activity from the previous Antarctic shipping season.</w:t>
      </w:r>
    </w:p>
    <w:p w:rsidR="005E5B15" w:rsidRDefault="005E5B15" w:rsidP="005E5B15">
      <w:pPr>
        <w:ind w:right="-2"/>
        <w:rPr>
          <w:rFonts w:cs="Arial"/>
          <w:sz w:val="20"/>
          <w:szCs w:val="20"/>
        </w:rPr>
      </w:pPr>
      <w:r w:rsidRPr="004155E9">
        <w:rPr>
          <w:rFonts w:cs="Arial"/>
          <w:sz w:val="20"/>
          <w:szCs w:val="20"/>
        </w:rPr>
        <w:t>The</w:t>
      </w:r>
      <w:r>
        <w:rPr>
          <w:rFonts w:cs="Arial"/>
          <w:sz w:val="20"/>
          <w:szCs w:val="20"/>
        </w:rPr>
        <w:t xml:space="preserve"> most significant increase</w:t>
      </w:r>
      <w:r w:rsidRPr="004155E9">
        <w:rPr>
          <w:rFonts w:cs="Arial"/>
          <w:sz w:val="20"/>
          <w:szCs w:val="20"/>
        </w:rPr>
        <w:t xml:space="preserve"> </w:t>
      </w:r>
      <w:r>
        <w:rPr>
          <w:rFonts w:cs="Arial"/>
          <w:sz w:val="20"/>
          <w:szCs w:val="20"/>
        </w:rPr>
        <w:t xml:space="preserve">in resource use in 2015-16 was the </w:t>
      </w:r>
      <w:r w:rsidRPr="004155E9">
        <w:rPr>
          <w:rFonts w:cs="Arial"/>
          <w:sz w:val="20"/>
          <w:szCs w:val="20"/>
        </w:rPr>
        <w:t>total consumption of aircraft fuel (Aviation Turbine Kerosene)</w:t>
      </w:r>
      <w:r>
        <w:rPr>
          <w:rFonts w:cs="Arial"/>
          <w:sz w:val="20"/>
          <w:szCs w:val="20"/>
        </w:rPr>
        <w:t xml:space="preserve"> which increased by 105% from the previous year. This measure includes</w:t>
      </w:r>
      <w:r w:rsidRPr="00907887">
        <w:rPr>
          <w:rFonts w:cs="Arial"/>
          <w:sz w:val="20"/>
          <w:szCs w:val="20"/>
        </w:rPr>
        <w:t xml:space="preserve"> </w:t>
      </w:r>
      <w:r>
        <w:rPr>
          <w:rFonts w:cs="Arial"/>
          <w:sz w:val="20"/>
          <w:szCs w:val="20"/>
        </w:rPr>
        <w:t xml:space="preserve">all </w:t>
      </w:r>
      <w:r w:rsidRPr="00907887">
        <w:rPr>
          <w:rFonts w:cs="Arial"/>
          <w:sz w:val="20"/>
          <w:szCs w:val="20"/>
        </w:rPr>
        <w:t xml:space="preserve">aviation fuel </w:t>
      </w:r>
      <w:r>
        <w:rPr>
          <w:rFonts w:cs="Arial"/>
          <w:sz w:val="20"/>
          <w:szCs w:val="20"/>
        </w:rPr>
        <w:t>used for i</w:t>
      </w:r>
      <w:r w:rsidRPr="00907887">
        <w:rPr>
          <w:rFonts w:cs="Arial"/>
          <w:sz w:val="20"/>
          <w:szCs w:val="20"/>
        </w:rPr>
        <w:t>ntercontinental and intraco</w:t>
      </w:r>
      <w:r>
        <w:rPr>
          <w:rFonts w:cs="Arial"/>
          <w:sz w:val="20"/>
          <w:szCs w:val="20"/>
        </w:rPr>
        <w:t xml:space="preserve">ntinental fights supporting the Australian Antarctic program. Approximately 15% of this increase in fuel usage is related to Airbus A319 intracontinental flights which increased from 11 to 15 in 2015-16. The remaining 85% of additional fuel usage can be attributed to eight fights to Antarctica by the </w:t>
      </w:r>
      <w:r w:rsidRPr="00A15531">
        <w:rPr>
          <w:rFonts w:cs="Arial"/>
          <w:sz w:val="20"/>
          <w:szCs w:val="20"/>
        </w:rPr>
        <w:t>Royal Australian Air Force (RAAF)</w:t>
      </w:r>
      <w:r>
        <w:rPr>
          <w:rFonts w:cs="Arial"/>
          <w:sz w:val="20"/>
          <w:szCs w:val="20"/>
        </w:rPr>
        <w:t xml:space="preserve"> </w:t>
      </w:r>
      <w:r w:rsidRPr="00A15531">
        <w:rPr>
          <w:rFonts w:cs="Arial"/>
          <w:sz w:val="20"/>
          <w:szCs w:val="20"/>
        </w:rPr>
        <w:t>C17-A Globemaster III</w:t>
      </w:r>
      <w:r>
        <w:rPr>
          <w:rFonts w:cs="Arial"/>
          <w:sz w:val="20"/>
          <w:szCs w:val="20"/>
        </w:rPr>
        <w:t xml:space="preserve"> Aircraft. This was the first season the Australian Antarctic Program has had access to this heavy lift aircraft which provided unprecedented capability and support, including the transport of critical cargo and personnel as well as heavy machinery and helicopters</w:t>
      </w:r>
      <w:r w:rsidRPr="00286C7E">
        <w:rPr>
          <w:rFonts w:cs="Arial"/>
          <w:sz w:val="20"/>
          <w:szCs w:val="20"/>
        </w:rPr>
        <w:t xml:space="preserve"> </w:t>
      </w:r>
      <w:r>
        <w:rPr>
          <w:rFonts w:cs="Arial"/>
          <w:sz w:val="20"/>
          <w:szCs w:val="20"/>
        </w:rPr>
        <w:t>between Australia and Antarctica.</w:t>
      </w:r>
    </w:p>
    <w:p w:rsidR="005E5B15" w:rsidRDefault="005E5B15" w:rsidP="005E5B15">
      <w:pPr>
        <w:ind w:right="-2"/>
        <w:rPr>
          <w:i/>
          <w:sz w:val="20"/>
          <w:szCs w:val="20"/>
          <w:u w:val="single"/>
        </w:rPr>
      </w:pPr>
      <w:r w:rsidRPr="004155E9">
        <w:rPr>
          <w:i/>
          <w:sz w:val="20"/>
          <w:szCs w:val="20"/>
          <w:u w:val="single"/>
        </w:rPr>
        <w:t>Resource efficiency and waste</w:t>
      </w:r>
    </w:p>
    <w:p w:rsidR="005E5B15" w:rsidRPr="004155E9" w:rsidRDefault="005E5B15" w:rsidP="005E5B15">
      <w:pPr>
        <w:ind w:right="-2"/>
        <w:rPr>
          <w:rFonts w:cs="Arial"/>
          <w:sz w:val="20"/>
          <w:szCs w:val="20"/>
        </w:rPr>
      </w:pPr>
      <w:r>
        <w:rPr>
          <w:rFonts w:cs="Arial"/>
          <w:sz w:val="20"/>
          <w:szCs w:val="20"/>
        </w:rPr>
        <w:t>T</w:t>
      </w:r>
      <w:r w:rsidRPr="004155E9">
        <w:rPr>
          <w:rFonts w:cs="Arial"/>
          <w:sz w:val="20"/>
          <w:szCs w:val="20"/>
        </w:rPr>
        <w:t xml:space="preserve">he proportion of waste sent to recycling from Kingston offices and the Hobart cargo facility </w:t>
      </w:r>
      <w:r>
        <w:rPr>
          <w:rFonts w:cs="Arial"/>
          <w:sz w:val="20"/>
          <w:szCs w:val="20"/>
        </w:rPr>
        <w:t>remained stable</w:t>
      </w:r>
      <w:r w:rsidRPr="004155E9">
        <w:rPr>
          <w:rFonts w:cs="Arial"/>
          <w:sz w:val="20"/>
          <w:szCs w:val="20"/>
        </w:rPr>
        <w:t xml:space="preserve"> reflect</w:t>
      </w:r>
      <w:r>
        <w:rPr>
          <w:rFonts w:cs="Arial"/>
          <w:sz w:val="20"/>
          <w:szCs w:val="20"/>
        </w:rPr>
        <w:t>ing</w:t>
      </w:r>
      <w:r w:rsidRPr="004155E9">
        <w:rPr>
          <w:rFonts w:cs="Arial"/>
          <w:sz w:val="20"/>
          <w:szCs w:val="20"/>
        </w:rPr>
        <w:t xml:space="preserve"> the effective </w:t>
      </w:r>
      <w:r>
        <w:rPr>
          <w:rFonts w:cs="Arial"/>
          <w:sz w:val="20"/>
          <w:szCs w:val="20"/>
        </w:rPr>
        <w:t>use</w:t>
      </w:r>
      <w:r w:rsidRPr="004155E9">
        <w:rPr>
          <w:rFonts w:cs="Arial"/>
          <w:sz w:val="20"/>
          <w:szCs w:val="20"/>
        </w:rPr>
        <w:t xml:space="preserve"> of recycling and landfill receptacles across the Kingston site and a </w:t>
      </w:r>
      <w:r>
        <w:rPr>
          <w:rFonts w:cs="Arial"/>
          <w:sz w:val="20"/>
          <w:szCs w:val="20"/>
        </w:rPr>
        <w:t xml:space="preserve">positive approach </w:t>
      </w:r>
      <w:r w:rsidRPr="004155E9">
        <w:rPr>
          <w:rFonts w:cs="Arial"/>
          <w:sz w:val="20"/>
          <w:szCs w:val="20"/>
        </w:rPr>
        <w:t xml:space="preserve">to </w:t>
      </w:r>
      <w:r>
        <w:rPr>
          <w:rFonts w:cs="Arial"/>
          <w:sz w:val="20"/>
          <w:szCs w:val="20"/>
        </w:rPr>
        <w:t xml:space="preserve">recycling and waste sorting. </w:t>
      </w:r>
      <w:r w:rsidRPr="004155E9">
        <w:rPr>
          <w:rFonts w:cs="Arial"/>
          <w:sz w:val="20"/>
          <w:szCs w:val="20"/>
        </w:rPr>
        <w:t>Office paper usage increased slightly from the previous year, as did the amo</w:t>
      </w:r>
      <w:r>
        <w:rPr>
          <w:rFonts w:cs="Arial"/>
          <w:sz w:val="20"/>
          <w:szCs w:val="20"/>
        </w:rPr>
        <w:t>unt of paper sent to recycling.</w:t>
      </w:r>
    </w:p>
    <w:p w:rsidR="005E5B15" w:rsidRDefault="005E5B15" w:rsidP="005E5B15">
      <w:pPr>
        <w:ind w:right="-2"/>
        <w:rPr>
          <w:rFonts w:cs="Arial"/>
          <w:sz w:val="20"/>
          <w:szCs w:val="20"/>
        </w:rPr>
      </w:pPr>
      <w:r w:rsidRPr="004155E9">
        <w:rPr>
          <w:rFonts w:cs="Arial"/>
          <w:sz w:val="20"/>
          <w:szCs w:val="20"/>
        </w:rPr>
        <w:t xml:space="preserve">The </w:t>
      </w:r>
      <w:r>
        <w:rPr>
          <w:rFonts w:cs="Arial"/>
          <w:sz w:val="20"/>
          <w:szCs w:val="20"/>
        </w:rPr>
        <w:t xml:space="preserve">total </w:t>
      </w:r>
      <w:r w:rsidRPr="004155E9">
        <w:rPr>
          <w:rFonts w:cs="Arial"/>
          <w:sz w:val="20"/>
          <w:szCs w:val="20"/>
        </w:rPr>
        <w:t xml:space="preserve">amount of waste returned to Australia from Antarctic stations </w:t>
      </w:r>
      <w:r>
        <w:rPr>
          <w:rFonts w:cs="Arial"/>
          <w:sz w:val="20"/>
          <w:szCs w:val="20"/>
        </w:rPr>
        <w:t xml:space="preserve">increased </w:t>
      </w:r>
      <w:r w:rsidRPr="004155E9">
        <w:rPr>
          <w:rFonts w:cs="Arial"/>
          <w:sz w:val="20"/>
          <w:szCs w:val="20"/>
        </w:rPr>
        <w:t>from the previous year</w:t>
      </w:r>
      <w:r>
        <w:rPr>
          <w:rFonts w:cs="Arial"/>
          <w:sz w:val="20"/>
          <w:szCs w:val="20"/>
        </w:rPr>
        <w:t xml:space="preserve"> this is consistent with Australia’s treaty, policy and strategic commitments. A large proportion waste material was returned to Australia and sent to landfill this included legacy waste from an abandoned tip site at Casey Station. This led to a 164% (107 t) increase in landfill and </w:t>
      </w:r>
      <w:r w:rsidR="00CD46CC">
        <w:rPr>
          <w:rFonts w:cs="Arial"/>
          <w:sz w:val="20"/>
          <w:szCs w:val="20"/>
        </w:rPr>
        <w:t>a</w:t>
      </w:r>
      <w:r>
        <w:rPr>
          <w:rFonts w:cs="Arial"/>
          <w:sz w:val="20"/>
          <w:szCs w:val="20"/>
        </w:rPr>
        <w:t xml:space="preserve"> reduction in the proportion of waste diverted from landfill</w:t>
      </w:r>
      <w:r w:rsidR="00CD46CC">
        <w:rPr>
          <w:rFonts w:cs="Arial"/>
          <w:sz w:val="20"/>
          <w:szCs w:val="20"/>
        </w:rPr>
        <w:t xml:space="preserve"> from 63% to 17%</w:t>
      </w:r>
      <w:r>
        <w:rPr>
          <w:rFonts w:cs="Arial"/>
          <w:sz w:val="20"/>
          <w:szCs w:val="20"/>
        </w:rPr>
        <w:t>.</w:t>
      </w:r>
      <w:r w:rsidRPr="009B22FA">
        <w:rPr>
          <w:rFonts w:cs="Arial"/>
          <w:sz w:val="20"/>
          <w:szCs w:val="20"/>
        </w:rPr>
        <w:t xml:space="preserve"> </w:t>
      </w:r>
      <w:r>
        <w:rPr>
          <w:rFonts w:cs="Arial"/>
          <w:sz w:val="20"/>
          <w:szCs w:val="20"/>
        </w:rPr>
        <w:t>The reduction in recycling is also influenced by an unusually high value the previous year which included 2</w:t>
      </w:r>
      <w:r w:rsidR="00F5423D">
        <w:rPr>
          <w:rFonts w:cs="Arial"/>
          <w:sz w:val="20"/>
          <w:szCs w:val="20"/>
        </w:rPr>
        <w:t>,</w:t>
      </w:r>
      <w:r>
        <w:rPr>
          <w:rFonts w:cs="Arial"/>
          <w:sz w:val="20"/>
          <w:szCs w:val="20"/>
        </w:rPr>
        <w:t>600 (approx. 50 t) crushed steel drums which were returned to Australia for recycling.</w:t>
      </w:r>
    </w:p>
    <w:p w:rsidR="005E5B15" w:rsidRPr="004155E9" w:rsidRDefault="005E5B15" w:rsidP="005E5B15">
      <w:pPr>
        <w:ind w:right="-2"/>
        <w:rPr>
          <w:rFonts w:cs="Arial"/>
          <w:sz w:val="20"/>
          <w:szCs w:val="20"/>
        </w:rPr>
      </w:pPr>
      <w:r>
        <w:rPr>
          <w:rFonts w:cs="Arial"/>
          <w:sz w:val="20"/>
          <w:szCs w:val="20"/>
        </w:rPr>
        <w:t xml:space="preserve">The grounding of the </w:t>
      </w:r>
      <w:r w:rsidRPr="004B784F">
        <w:rPr>
          <w:rFonts w:cs="Arial"/>
          <w:i/>
          <w:sz w:val="20"/>
          <w:szCs w:val="20"/>
        </w:rPr>
        <w:t>Aurora Australi</w:t>
      </w:r>
      <w:r>
        <w:rPr>
          <w:rFonts w:cs="Arial"/>
          <w:i/>
          <w:sz w:val="20"/>
          <w:szCs w:val="20"/>
        </w:rPr>
        <w:t>s</w:t>
      </w:r>
      <w:r>
        <w:rPr>
          <w:rFonts w:cs="Arial"/>
          <w:sz w:val="20"/>
          <w:szCs w:val="20"/>
        </w:rPr>
        <w:t xml:space="preserve"> at Mawson Station in February 2016 resulted in a significant quantity </w:t>
      </w:r>
      <w:r w:rsidRPr="004155E9">
        <w:rPr>
          <w:rFonts w:cs="Arial"/>
          <w:sz w:val="20"/>
          <w:szCs w:val="20"/>
        </w:rPr>
        <w:t xml:space="preserve">of </w:t>
      </w:r>
      <w:r>
        <w:rPr>
          <w:rFonts w:cs="Arial"/>
          <w:sz w:val="20"/>
          <w:szCs w:val="20"/>
        </w:rPr>
        <w:t xml:space="preserve">cargo unable to be returned to Australia, including </w:t>
      </w:r>
      <w:r w:rsidRPr="004155E9">
        <w:rPr>
          <w:rFonts w:cs="Arial"/>
          <w:sz w:val="20"/>
          <w:szCs w:val="20"/>
        </w:rPr>
        <w:t>waste</w:t>
      </w:r>
      <w:r>
        <w:rPr>
          <w:rFonts w:cs="Arial"/>
          <w:sz w:val="20"/>
          <w:szCs w:val="20"/>
        </w:rPr>
        <w:t xml:space="preserve">, </w:t>
      </w:r>
      <w:r w:rsidRPr="004155E9">
        <w:rPr>
          <w:rFonts w:cs="Arial"/>
          <w:sz w:val="20"/>
          <w:szCs w:val="20"/>
        </w:rPr>
        <w:t xml:space="preserve">from </w:t>
      </w:r>
      <w:r>
        <w:rPr>
          <w:rFonts w:cs="Arial"/>
          <w:sz w:val="20"/>
          <w:szCs w:val="20"/>
        </w:rPr>
        <w:t xml:space="preserve">Mawson and Davis stations and </w:t>
      </w:r>
      <w:r w:rsidRPr="004155E9">
        <w:rPr>
          <w:rFonts w:cs="Arial"/>
          <w:sz w:val="20"/>
          <w:szCs w:val="20"/>
        </w:rPr>
        <w:t xml:space="preserve">Macquarie Island. The AAD has </w:t>
      </w:r>
      <w:r>
        <w:rPr>
          <w:rFonts w:cs="Arial"/>
          <w:sz w:val="20"/>
          <w:szCs w:val="20"/>
        </w:rPr>
        <w:t>plans to address this during the 2016-17 shipping season</w:t>
      </w:r>
      <w:r w:rsidRPr="004155E9">
        <w:rPr>
          <w:rFonts w:cs="Arial"/>
          <w:sz w:val="20"/>
          <w:szCs w:val="20"/>
        </w:rPr>
        <w:t>.</w:t>
      </w:r>
      <w:r>
        <w:rPr>
          <w:rFonts w:cs="Arial"/>
          <w:sz w:val="20"/>
          <w:szCs w:val="20"/>
        </w:rPr>
        <w:t xml:space="preserve">  </w:t>
      </w:r>
    </w:p>
    <w:p w:rsidR="00E26D3F" w:rsidRDefault="00E26D3F">
      <w:pPr>
        <w:spacing w:after="0" w:line="240" w:lineRule="auto"/>
        <w:rPr>
          <w:rFonts w:cs="Arial"/>
          <w:sz w:val="20"/>
          <w:szCs w:val="20"/>
          <w:u w:val="single"/>
        </w:rPr>
      </w:pPr>
      <w:r>
        <w:rPr>
          <w:i/>
          <w:sz w:val="20"/>
          <w:szCs w:val="20"/>
          <w:u w:val="single"/>
        </w:rPr>
        <w:br w:type="page"/>
      </w:r>
    </w:p>
    <w:p w:rsidR="005E5B15" w:rsidRDefault="005E5B15" w:rsidP="005E5B15">
      <w:pPr>
        <w:pStyle w:val="Heading4"/>
        <w:spacing w:after="120" w:line="240" w:lineRule="auto"/>
        <w:rPr>
          <w:i w:val="0"/>
          <w:sz w:val="20"/>
          <w:szCs w:val="20"/>
        </w:rPr>
      </w:pPr>
      <w:r w:rsidRPr="004155E9">
        <w:rPr>
          <w:i w:val="0"/>
          <w:sz w:val="20"/>
          <w:szCs w:val="20"/>
          <w:u w:val="single"/>
        </w:rPr>
        <w:lastRenderedPageBreak/>
        <w:t>Water</w:t>
      </w:r>
      <w:r w:rsidRPr="004155E9">
        <w:rPr>
          <w:i w:val="0"/>
          <w:sz w:val="20"/>
          <w:szCs w:val="20"/>
          <w:u w:val="single"/>
        </w:rPr>
        <w:br/>
      </w:r>
      <w:r>
        <w:rPr>
          <w:i w:val="0"/>
          <w:sz w:val="20"/>
          <w:szCs w:val="20"/>
        </w:rPr>
        <w:t>In 2014-15 an</w:t>
      </w:r>
      <w:r w:rsidRPr="002669B8">
        <w:rPr>
          <w:i w:val="0"/>
          <w:sz w:val="20"/>
          <w:szCs w:val="20"/>
        </w:rPr>
        <w:t xml:space="preserve"> </w:t>
      </w:r>
      <w:r w:rsidRPr="00E54A89">
        <w:rPr>
          <w:i w:val="0"/>
          <w:sz w:val="20"/>
          <w:szCs w:val="20"/>
        </w:rPr>
        <w:t xml:space="preserve">issue </w:t>
      </w:r>
      <w:r>
        <w:rPr>
          <w:i w:val="0"/>
          <w:sz w:val="20"/>
          <w:szCs w:val="20"/>
        </w:rPr>
        <w:t xml:space="preserve">with water metering at the Kingston site was identified and subsequently resolved. As a result the </w:t>
      </w:r>
      <w:r w:rsidRPr="00E54A89">
        <w:rPr>
          <w:i w:val="0"/>
          <w:sz w:val="20"/>
          <w:szCs w:val="20"/>
        </w:rPr>
        <w:t xml:space="preserve">value for potable water consumption at the Kingston </w:t>
      </w:r>
      <w:r>
        <w:rPr>
          <w:i w:val="0"/>
          <w:sz w:val="20"/>
          <w:szCs w:val="20"/>
        </w:rPr>
        <w:t xml:space="preserve">appears </w:t>
      </w:r>
      <w:r w:rsidRPr="00E54A89">
        <w:rPr>
          <w:i w:val="0"/>
          <w:sz w:val="20"/>
          <w:szCs w:val="20"/>
        </w:rPr>
        <w:t xml:space="preserve">significantly higher </w:t>
      </w:r>
      <w:r w:rsidR="00F5423D">
        <w:rPr>
          <w:i w:val="0"/>
          <w:sz w:val="20"/>
          <w:szCs w:val="20"/>
        </w:rPr>
        <w:t>(61</w:t>
      </w:r>
      <w:r>
        <w:rPr>
          <w:i w:val="0"/>
          <w:sz w:val="20"/>
          <w:szCs w:val="20"/>
        </w:rPr>
        <w:t xml:space="preserve">%) </w:t>
      </w:r>
      <w:r w:rsidRPr="00E54A89">
        <w:rPr>
          <w:i w:val="0"/>
          <w:sz w:val="20"/>
          <w:szCs w:val="20"/>
        </w:rPr>
        <w:t xml:space="preserve">than </w:t>
      </w:r>
      <w:r>
        <w:rPr>
          <w:i w:val="0"/>
          <w:sz w:val="20"/>
          <w:szCs w:val="20"/>
        </w:rPr>
        <w:t xml:space="preserve">the </w:t>
      </w:r>
      <w:r w:rsidRPr="00E54A89">
        <w:rPr>
          <w:i w:val="0"/>
          <w:sz w:val="20"/>
          <w:szCs w:val="20"/>
        </w:rPr>
        <w:t>previous year</w:t>
      </w:r>
      <w:r>
        <w:rPr>
          <w:i w:val="0"/>
          <w:sz w:val="20"/>
          <w:szCs w:val="20"/>
        </w:rPr>
        <w:t xml:space="preserve">. Previously reported water figures are now not considered to be a true indication of actual water use due to the above water metering issue. To offset </w:t>
      </w:r>
      <w:r w:rsidRPr="00E54A89">
        <w:rPr>
          <w:i w:val="0"/>
          <w:sz w:val="20"/>
          <w:szCs w:val="20"/>
        </w:rPr>
        <w:t xml:space="preserve">potable water </w:t>
      </w:r>
      <w:r>
        <w:rPr>
          <w:i w:val="0"/>
          <w:sz w:val="20"/>
          <w:szCs w:val="20"/>
        </w:rPr>
        <w:t>use t</w:t>
      </w:r>
      <w:r w:rsidRPr="00E54A89">
        <w:rPr>
          <w:i w:val="0"/>
          <w:sz w:val="20"/>
          <w:szCs w:val="20"/>
        </w:rPr>
        <w:t>he AAD collect</w:t>
      </w:r>
      <w:r>
        <w:rPr>
          <w:i w:val="0"/>
          <w:sz w:val="20"/>
          <w:szCs w:val="20"/>
        </w:rPr>
        <w:t>s</w:t>
      </w:r>
      <w:r w:rsidRPr="00E54A89">
        <w:rPr>
          <w:i w:val="0"/>
          <w:sz w:val="20"/>
          <w:szCs w:val="20"/>
        </w:rPr>
        <w:t xml:space="preserve"> and use</w:t>
      </w:r>
      <w:r>
        <w:rPr>
          <w:i w:val="0"/>
          <w:sz w:val="20"/>
          <w:szCs w:val="20"/>
        </w:rPr>
        <w:t>s</w:t>
      </w:r>
      <w:r w:rsidRPr="00E54A89">
        <w:rPr>
          <w:i w:val="0"/>
          <w:sz w:val="20"/>
          <w:szCs w:val="20"/>
        </w:rPr>
        <w:t xml:space="preserve"> rainwater for wash-down facility for vehicles, plant and equipment at Kingston. </w:t>
      </w:r>
    </w:p>
    <w:p w:rsidR="005E5B15" w:rsidRPr="00E54A89" w:rsidRDefault="005E5B15" w:rsidP="005E5B15">
      <w:pPr>
        <w:spacing w:after="120"/>
        <w:rPr>
          <w:rFonts w:cs="Arial"/>
          <w:sz w:val="20"/>
          <w:szCs w:val="20"/>
        </w:rPr>
      </w:pPr>
      <w:r w:rsidRPr="00E54A89">
        <w:rPr>
          <w:rFonts w:cs="Arial"/>
          <w:sz w:val="20"/>
          <w:szCs w:val="20"/>
        </w:rPr>
        <w:t xml:space="preserve">Water production and consumption at the AAD’s </w:t>
      </w:r>
      <w:r>
        <w:rPr>
          <w:rFonts w:cs="Arial"/>
          <w:sz w:val="20"/>
          <w:szCs w:val="20"/>
        </w:rPr>
        <w:t xml:space="preserve">sub-Antarctic and Antarctic </w:t>
      </w:r>
      <w:r w:rsidRPr="00E54A89">
        <w:rPr>
          <w:rFonts w:cs="Arial"/>
          <w:sz w:val="20"/>
          <w:szCs w:val="20"/>
        </w:rPr>
        <w:t xml:space="preserve">stations varies and is dependent upon the method of water production and storage employed at each station and the number of personnel on station throughout the year.   </w:t>
      </w:r>
    </w:p>
    <w:p w:rsidR="005E5B15" w:rsidRPr="004155E9" w:rsidRDefault="005E5B15" w:rsidP="005E5B15">
      <w:pPr>
        <w:ind w:right="-2"/>
        <w:rPr>
          <w:rFonts w:cs="Arial"/>
          <w:sz w:val="20"/>
          <w:szCs w:val="20"/>
        </w:rPr>
      </w:pPr>
      <w:r>
        <w:rPr>
          <w:rFonts w:cs="Arial"/>
          <w:sz w:val="20"/>
          <w:szCs w:val="20"/>
        </w:rPr>
        <w:t xml:space="preserve">Clean drinking </w:t>
      </w:r>
      <w:r w:rsidRPr="004155E9">
        <w:rPr>
          <w:rFonts w:cs="Arial"/>
          <w:sz w:val="20"/>
          <w:szCs w:val="20"/>
        </w:rPr>
        <w:t xml:space="preserve">water </w:t>
      </w:r>
      <w:r>
        <w:rPr>
          <w:rFonts w:cs="Arial"/>
          <w:sz w:val="20"/>
          <w:szCs w:val="20"/>
        </w:rPr>
        <w:t xml:space="preserve">in Antarctica </w:t>
      </w:r>
      <w:r w:rsidRPr="004155E9">
        <w:rPr>
          <w:rFonts w:cs="Arial"/>
          <w:sz w:val="20"/>
          <w:szCs w:val="20"/>
        </w:rPr>
        <w:t xml:space="preserve">is a </w:t>
      </w:r>
      <w:r>
        <w:rPr>
          <w:rFonts w:cs="Arial"/>
          <w:sz w:val="20"/>
          <w:szCs w:val="20"/>
        </w:rPr>
        <w:t xml:space="preserve">valuable </w:t>
      </w:r>
      <w:r w:rsidRPr="004155E9">
        <w:rPr>
          <w:rFonts w:cs="Arial"/>
          <w:sz w:val="20"/>
          <w:szCs w:val="20"/>
        </w:rPr>
        <w:t>commodity</w:t>
      </w:r>
      <w:r>
        <w:rPr>
          <w:rFonts w:cs="Arial"/>
          <w:sz w:val="20"/>
          <w:szCs w:val="20"/>
        </w:rPr>
        <w:t>.</w:t>
      </w:r>
      <w:r w:rsidRPr="004155E9">
        <w:rPr>
          <w:rFonts w:cs="Arial"/>
          <w:sz w:val="20"/>
          <w:szCs w:val="20"/>
        </w:rPr>
        <w:t xml:space="preserve"> </w:t>
      </w:r>
      <w:r>
        <w:rPr>
          <w:rFonts w:cs="Arial"/>
          <w:sz w:val="20"/>
          <w:szCs w:val="20"/>
        </w:rPr>
        <w:t>Energy provided by diesel generators is required to</w:t>
      </w:r>
      <w:r w:rsidRPr="00985B18">
        <w:rPr>
          <w:rFonts w:cs="Arial"/>
          <w:sz w:val="20"/>
          <w:szCs w:val="20"/>
        </w:rPr>
        <w:t xml:space="preserve"> </w:t>
      </w:r>
      <w:r w:rsidRPr="004155E9">
        <w:rPr>
          <w:rFonts w:cs="Arial"/>
          <w:sz w:val="20"/>
          <w:szCs w:val="20"/>
        </w:rPr>
        <w:t>operate desalination plants and pumps</w:t>
      </w:r>
      <w:r>
        <w:rPr>
          <w:rFonts w:cs="Arial"/>
          <w:sz w:val="20"/>
          <w:szCs w:val="20"/>
        </w:rPr>
        <w:t xml:space="preserve"> or </w:t>
      </w:r>
      <w:r w:rsidRPr="004155E9">
        <w:rPr>
          <w:rFonts w:cs="Arial"/>
          <w:sz w:val="20"/>
          <w:szCs w:val="20"/>
        </w:rPr>
        <w:t xml:space="preserve">melt ice and heat water. All </w:t>
      </w:r>
      <w:r>
        <w:rPr>
          <w:rFonts w:cs="Arial"/>
          <w:sz w:val="20"/>
          <w:szCs w:val="20"/>
        </w:rPr>
        <w:t xml:space="preserve">expeditioners </w:t>
      </w:r>
      <w:r w:rsidRPr="004155E9">
        <w:rPr>
          <w:rFonts w:cs="Arial"/>
          <w:sz w:val="20"/>
          <w:szCs w:val="20"/>
        </w:rPr>
        <w:t xml:space="preserve">are </w:t>
      </w:r>
      <w:r>
        <w:rPr>
          <w:rFonts w:cs="Arial"/>
          <w:sz w:val="20"/>
          <w:szCs w:val="20"/>
        </w:rPr>
        <w:t xml:space="preserve">asked to use water wisely </w:t>
      </w:r>
      <w:r w:rsidRPr="004155E9">
        <w:rPr>
          <w:rFonts w:cs="Arial"/>
          <w:sz w:val="20"/>
          <w:szCs w:val="20"/>
        </w:rPr>
        <w:t xml:space="preserve">and water-saving appliances are installed wherever possible on stations. </w:t>
      </w:r>
      <w:r>
        <w:rPr>
          <w:rFonts w:cs="Arial"/>
          <w:sz w:val="20"/>
          <w:szCs w:val="20"/>
        </w:rPr>
        <w:t xml:space="preserve">While total water use across all stations increased slightly with increased expeditioner numbers, water use per expeditioners has remained stable. </w:t>
      </w:r>
    </w:p>
    <w:p w:rsidR="005E5B15" w:rsidRPr="004155E9" w:rsidRDefault="005E5B15" w:rsidP="005E5B15">
      <w:pPr>
        <w:pStyle w:val="Caption"/>
        <w:ind w:left="-142" w:right="-2"/>
        <w:rPr>
          <w:rFonts w:cs="Arial"/>
          <w:b w:val="0"/>
          <w:szCs w:val="20"/>
          <w:u w:val="single"/>
        </w:rPr>
      </w:pPr>
      <w:r w:rsidRPr="004155E9">
        <w:rPr>
          <w:rFonts w:cs="Arial"/>
          <w:b w:val="0"/>
          <w:szCs w:val="20"/>
          <w:u w:val="single"/>
        </w:rPr>
        <w:t xml:space="preserve">Table </w:t>
      </w:r>
      <w:r w:rsidR="00B80AEB">
        <w:rPr>
          <w:rFonts w:cs="Arial"/>
          <w:b w:val="0"/>
          <w:szCs w:val="20"/>
          <w:u w:val="single"/>
        </w:rPr>
        <w:t>2</w:t>
      </w:r>
      <w:r w:rsidRPr="004155E9">
        <w:rPr>
          <w:rFonts w:cs="Arial"/>
          <w:b w:val="0"/>
          <w:szCs w:val="20"/>
          <w:u w:val="single"/>
        </w:rPr>
        <w:t>: Summary of environmental indicators — AAD Kingston Offices</w:t>
      </w:r>
      <w:r>
        <w:rPr>
          <w:rFonts w:cs="Arial"/>
          <w:b w:val="0"/>
          <w:szCs w:val="20"/>
          <w:u w:val="single"/>
        </w:rPr>
        <w:br/>
      </w:r>
    </w:p>
    <w:tbl>
      <w:tblPr>
        <w:tblW w:w="5018" w:type="pct"/>
        <w:tblInd w:w="-34" w:type="dxa"/>
        <w:tblLook w:val="04A0" w:firstRow="1" w:lastRow="0" w:firstColumn="1" w:lastColumn="0" w:noHBand="0" w:noVBand="1"/>
      </w:tblPr>
      <w:tblGrid>
        <w:gridCol w:w="2678"/>
        <w:gridCol w:w="1463"/>
        <w:gridCol w:w="1277"/>
        <w:gridCol w:w="1417"/>
        <w:gridCol w:w="1395"/>
        <w:gridCol w:w="1009"/>
      </w:tblGrid>
      <w:tr w:rsidR="005E5B15" w:rsidTr="0061765E">
        <w:trPr>
          <w:trHeight w:val="221"/>
          <w:tblHeader/>
        </w:trPr>
        <w:tc>
          <w:tcPr>
            <w:tcW w:w="1449" w:type="pct"/>
            <w:tcBorders>
              <w:top w:val="single" w:sz="2" w:space="0" w:color="auto"/>
              <w:left w:val="single" w:sz="2" w:space="0" w:color="auto"/>
              <w:bottom w:val="single" w:sz="2" w:space="0" w:color="auto"/>
              <w:right w:val="single" w:sz="2" w:space="0" w:color="auto"/>
            </w:tcBorders>
            <w:hideMark/>
          </w:tcPr>
          <w:p w:rsidR="005E5B15" w:rsidRDefault="005E5B15" w:rsidP="005E5B15">
            <w:pPr>
              <w:spacing w:after="0" w:line="240" w:lineRule="auto"/>
              <w:ind w:right="-2"/>
              <w:rPr>
                <w:rFonts w:eastAsia="Times New Roman" w:cs="Arial"/>
                <w:b/>
                <w:bCs/>
                <w:color w:val="000000"/>
                <w:sz w:val="20"/>
                <w:szCs w:val="20"/>
                <w:lang w:eastAsia="en-AU"/>
              </w:rPr>
            </w:pPr>
            <w:r>
              <w:rPr>
                <w:rFonts w:eastAsia="Times New Roman" w:cs="Arial"/>
                <w:b/>
                <w:bCs/>
                <w:color w:val="000000"/>
                <w:sz w:val="20"/>
                <w:szCs w:val="20"/>
                <w:lang w:eastAsia="en-AU"/>
              </w:rPr>
              <w:t>Indicator</w:t>
            </w:r>
          </w:p>
        </w:tc>
        <w:tc>
          <w:tcPr>
            <w:tcW w:w="792" w:type="pct"/>
            <w:tcBorders>
              <w:top w:val="single" w:sz="2" w:space="0" w:color="auto"/>
              <w:left w:val="single" w:sz="2" w:space="0" w:color="auto"/>
              <w:bottom w:val="single" w:sz="2" w:space="0" w:color="auto"/>
              <w:right w:val="single" w:sz="2" w:space="0" w:color="auto"/>
            </w:tcBorders>
            <w:hideMark/>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Units</w:t>
            </w:r>
          </w:p>
        </w:tc>
        <w:tc>
          <w:tcPr>
            <w:tcW w:w="691" w:type="pct"/>
            <w:tcBorders>
              <w:top w:val="single" w:sz="2" w:space="0" w:color="auto"/>
              <w:left w:val="single" w:sz="2" w:space="0" w:color="auto"/>
              <w:bottom w:val="single" w:sz="2" w:space="0" w:color="auto"/>
              <w:right w:val="single" w:sz="2" w:space="0" w:color="auto"/>
            </w:tcBorders>
          </w:tcPr>
          <w:p w:rsidR="005E5B15" w:rsidRDefault="005E5B15" w:rsidP="005E5B15">
            <w:pPr>
              <w:spacing w:after="0" w:line="240" w:lineRule="auto"/>
              <w:ind w:right="-2"/>
              <w:rPr>
                <w:rFonts w:cs="Arial"/>
                <w:b/>
                <w:bCs/>
                <w:color w:val="000000"/>
                <w:sz w:val="20"/>
                <w:szCs w:val="20"/>
              </w:rPr>
            </w:pPr>
            <w:r>
              <w:rPr>
                <w:rFonts w:cs="Arial"/>
                <w:b/>
                <w:bCs/>
                <w:color w:val="000000"/>
                <w:sz w:val="20"/>
                <w:szCs w:val="20"/>
              </w:rPr>
              <w:t>2013-14 Result</w:t>
            </w:r>
          </w:p>
        </w:tc>
        <w:tc>
          <w:tcPr>
            <w:tcW w:w="767" w:type="pct"/>
            <w:tcBorders>
              <w:top w:val="single" w:sz="2" w:space="0" w:color="auto"/>
              <w:left w:val="single" w:sz="2" w:space="0" w:color="auto"/>
              <w:bottom w:val="single" w:sz="2" w:space="0" w:color="auto"/>
              <w:right w:val="single" w:sz="2" w:space="0" w:color="auto"/>
            </w:tcBorders>
            <w:hideMark/>
          </w:tcPr>
          <w:p w:rsidR="005E5B15" w:rsidRDefault="005E5B15" w:rsidP="005E5B15">
            <w:pPr>
              <w:spacing w:after="0" w:line="240" w:lineRule="auto"/>
              <w:ind w:right="-2"/>
              <w:rPr>
                <w:rFonts w:eastAsia="Times New Roman" w:cs="Arial"/>
                <w:b/>
                <w:bCs/>
                <w:color w:val="000000"/>
                <w:sz w:val="20"/>
                <w:szCs w:val="20"/>
                <w:lang w:eastAsia="en-AU"/>
              </w:rPr>
            </w:pPr>
            <w:r>
              <w:rPr>
                <w:rFonts w:cs="Arial"/>
                <w:b/>
                <w:bCs/>
                <w:color w:val="000000"/>
                <w:sz w:val="20"/>
                <w:szCs w:val="20"/>
              </w:rPr>
              <w:t>2014-15 Result</w:t>
            </w:r>
          </w:p>
        </w:tc>
        <w:tc>
          <w:tcPr>
            <w:tcW w:w="755" w:type="pct"/>
            <w:tcBorders>
              <w:top w:val="single" w:sz="2" w:space="0" w:color="auto"/>
              <w:left w:val="single" w:sz="2" w:space="0" w:color="auto"/>
              <w:bottom w:val="single" w:sz="2" w:space="0" w:color="auto"/>
              <w:right w:val="single" w:sz="2" w:space="0" w:color="auto"/>
            </w:tcBorders>
            <w:hideMark/>
          </w:tcPr>
          <w:p w:rsidR="005E5B15" w:rsidRDefault="005E5B15" w:rsidP="005E5B15">
            <w:pPr>
              <w:spacing w:after="0" w:line="240" w:lineRule="auto"/>
              <w:ind w:right="-2"/>
              <w:rPr>
                <w:rFonts w:cs="Arial"/>
                <w:b/>
                <w:bCs/>
                <w:color w:val="000000"/>
                <w:sz w:val="20"/>
                <w:szCs w:val="20"/>
              </w:rPr>
            </w:pPr>
            <w:r>
              <w:rPr>
                <w:rFonts w:cs="Arial"/>
                <w:b/>
                <w:bCs/>
                <w:color w:val="000000"/>
                <w:sz w:val="20"/>
                <w:szCs w:val="20"/>
              </w:rPr>
              <w:t>2015-16 Result</w:t>
            </w:r>
          </w:p>
        </w:tc>
        <w:tc>
          <w:tcPr>
            <w:tcW w:w="546" w:type="pct"/>
            <w:tcBorders>
              <w:top w:val="single" w:sz="2" w:space="0" w:color="auto"/>
              <w:left w:val="single" w:sz="2" w:space="0" w:color="auto"/>
              <w:bottom w:val="single" w:sz="2" w:space="0" w:color="auto"/>
              <w:right w:val="single" w:sz="2" w:space="0" w:color="auto"/>
            </w:tcBorders>
            <w:hideMark/>
          </w:tcPr>
          <w:p w:rsidR="005E5B15" w:rsidRDefault="005E5B15" w:rsidP="005E5B15">
            <w:pPr>
              <w:spacing w:after="0" w:line="240" w:lineRule="auto"/>
              <w:ind w:right="-2"/>
              <w:jc w:val="right"/>
              <w:rPr>
                <w:rFonts w:cs="Arial"/>
                <w:b/>
                <w:bCs/>
                <w:color w:val="000000"/>
                <w:sz w:val="20"/>
                <w:szCs w:val="20"/>
              </w:rPr>
            </w:pPr>
            <w:r>
              <w:rPr>
                <w:rFonts w:cs="Arial"/>
                <w:b/>
                <w:bCs/>
                <w:color w:val="000000"/>
                <w:sz w:val="20"/>
                <w:szCs w:val="20"/>
              </w:rPr>
              <w:t>% Change</w:t>
            </w:r>
          </w:p>
        </w:tc>
      </w:tr>
      <w:tr w:rsidR="005E5B15" w:rsidTr="005E5B15">
        <w:trPr>
          <w:trHeight w:val="72"/>
        </w:trPr>
        <w:tc>
          <w:tcPr>
            <w:tcW w:w="5000" w:type="pct"/>
            <w:gridSpan w:val="6"/>
            <w:tcBorders>
              <w:top w:val="single" w:sz="2" w:space="0" w:color="auto"/>
              <w:left w:val="single" w:sz="2" w:space="0" w:color="auto"/>
              <w:bottom w:val="single" w:sz="4" w:space="0" w:color="auto"/>
              <w:right w:val="single" w:sz="2" w:space="0" w:color="auto"/>
            </w:tcBorders>
          </w:tcPr>
          <w:p w:rsidR="005E5B15" w:rsidRDefault="005E5B15" w:rsidP="005E5B15">
            <w:pPr>
              <w:spacing w:after="0" w:line="240" w:lineRule="auto"/>
              <w:ind w:right="-2"/>
              <w:rPr>
                <w:rFonts w:cs="Arial"/>
                <w:color w:val="000000"/>
                <w:sz w:val="20"/>
                <w:szCs w:val="20"/>
              </w:rPr>
            </w:pPr>
            <w:r>
              <w:rPr>
                <w:rFonts w:cs="Arial"/>
                <w:b/>
                <w:sz w:val="20"/>
                <w:szCs w:val="20"/>
              </w:rPr>
              <w:t>Staffing</w:t>
            </w:r>
          </w:p>
        </w:tc>
      </w:tr>
      <w:tr w:rsidR="005E5B15" w:rsidTr="0061765E">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cs="Arial"/>
                <w:sz w:val="20"/>
                <w:szCs w:val="20"/>
              </w:rPr>
              <w:t xml:space="preserve">Average Staffing Levels (Full Time Equivalent) </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311</w:t>
            </w:r>
          </w:p>
        </w:tc>
        <w:tc>
          <w:tcPr>
            <w:tcW w:w="767"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287</w:t>
            </w:r>
          </w:p>
          <w:p w:rsidR="005E5B15" w:rsidRDefault="005E5B15" w:rsidP="005E5B15">
            <w:pPr>
              <w:spacing w:after="0" w:line="240" w:lineRule="auto"/>
              <w:ind w:right="-2"/>
              <w:jc w:val="right"/>
              <w:rPr>
                <w:rFonts w:cs="Arial"/>
                <w:color w:val="000000"/>
                <w:sz w:val="20"/>
                <w:szCs w:val="20"/>
              </w:rPr>
            </w:pPr>
          </w:p>
        </w:tc>
        <w:tc>
          <w:tcPr>
            <w:tcW w:w="755"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298</w:t>
            </w:r>
          </w:p>
        </w:tc>
        <w:tc>
          <w:tcPr>
            <w:tcW w:w="546" w:type="pct"/>
            <w:tcBorders>
              <w:top w:val="single" w:sz="4" w:space="0" w:color="auto"/>
              <w:left w:val="single" w:sz="4" w:space="0" w:color="auto"/>
              <w:bottom w:val="single" w:sz="4" w:space="0" w:color="auto"/>
              <w:right w:val="single" w:sz="2"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3.8%</w:t>
            </w:r>
          </w:p>
        </w:tc>
      </w:tr>
      <w:tr w:rsidR="005E5B15" w:rsidTr="005E5B15">
        <w:trPr>
          <w:trHeight w:val="177"/>
        </w:trPr>
        <w:tc>
          <w:tcPr>
            <w:tcW w:w="5000" w:type="pct"/>
            <w:gridSpan w:val="6"/>
            <w:tcBorders>
              <w:top w:val="single" w:sz="4" w:space="0" w:color="auto"/>
              <w:left w:val="single" w:sz="2" w:space="0" w:color="auto"/>
              <w:bottom w:val="single" w:sz="4" w:space="0" w:color="auto"/>
              <w:right w:val="single" w:sz="2" w:space="0" w:color="auto"/>
            </w:tcBorders>
          </w:tcPr>
          <w:p w:rsidR="005E5B15" w:rsidRDefault="005E5B15" w:rsidP="005E5B15">
            <w:pPr>
              <w:spacing w:after="0" w:line="240" w:lineRule="auto"/>
              <w:ind w:right="-2"/>
              <w:rPr>
                <w:rFonts w:cs="Arial"/>
                <w:color w:val="000000"/>
                <w:sz w:val="20"/>
                <w:szCs w:val="20"/>
              </w:rPr>
            </w:pPr>
            <w:r>
              <w:rPr>
                <w:rFonts w:cs="Arial"/>
                <w:b/>
                <w:sz w:val="20"/>
                <w:szCs w:val="20"/>
              </w:rPr>
              <w:t>Office/building energy use</w:t>
            </w:r>
          </w:p>
        </w:tc>
      </w:tr>
      <w:tr w:rsidR="005E5B15" w:rsidTr="0061765E">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office tenant light and power</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3,357,759</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3,004,766</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3,184,510</w:t>
            </w:r>
          </w:p>
        </w:tc>
        <w:tc>
          <w:tcPr>
            <w:tcW w:w="546" w:type="pct"/>
            <w:tcBorders>
              <w:top w:val="single" w:sz="4" w:space="0" w:color="auto"/>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6.0%</w:t>
            </w:r>
          </w:p>
        </w:tc>
      </w:tr>
      <w:tr w:rsidR="005E5B15" w:rsidTr="0061765E">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 xml:space="preserve">Tenant light and power per person </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eastAsia="Times New Roman" w:cs="Arial"/>
                <w:color w:val="000000"/>
                <w:sz w:val="20"/>
                <w:szCs w:val="20"/>
                <w:lang w:eastAsia="en-AU"/>
              </w:rPr>
            </w:pPr>
            <w:r>
              <w:rPr>
                <w:rFonts w:eastAsia="Times New Roman" w:cs="Arial"/>
                <w:color w:val="000000"/>
                <w:sz w:val="20"/>
                <w:szCs w:val="20"/>
                <w:lang w:eastAsia="en-AU"/>
              </w:rPr>
              <w:t>10 796</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eastAsia="Times New Roman" w:cs="Arial"/>
                <w:color w:val="000000"/>
                <w:sz w:val="20"/>
                <w:szCs w:val="20"/>
                <w:lang w:eastAsia="en-AU"/>
              </w:rPr>
            </w:pPr>
            <w:r>
              <w:rPr>
                <w:rFonts w:eastAsia="Times New Roman" w:cs="Arial"/>
                <w:color w:val="000000"/>
                <w:sz w:val="20"/>
                <w:szCs w:val="20"/>
                <w:lang w:eastAsia="en-AU"/>
              </w:rPr>
              <w:t>10,470</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eastAsia="Times New Roman" w:cs="Arial"/>
                <w:color w:val="000000"/>
                <w:sz w:val="20"/>
                <w:szCs w:val="20"/>
                <w:lang w:eastAsia="en-AU"/>
              </w:rPr>
            </w:pPr>
            <w:r>
              <w:rPr>
                <w:rFonts w:eastAsia="Times New Roman" w:cs="Arial"/>
                <w:color w:val="000000"/>
                <w:sz w:val="20"/>
                <w:szCs w:val="20"/>
                <w:lang w:eastAsia="en-AU"/>
              </w:rPr>
              <w:t>10,686</w:t>
            </w:r>
          </w:p>
        </w:tc>
        <w:tc>
          <w:tcPr>
            <w:tcW w:w="546" w:type="pct"/>
            <w:tcBorders>
              <w:top w:val="single" w:sz="4" w:space="0" w:color="auto"/>
              <w:left w:val="single" w:sz="4" w:space="0" w:color="auto"/>
              <w:bottom w:val="single" w:sz="4" w:space="0" w:color="auto"/>
              <w:right w:val="single" w:sz="2" w:space="0" w:color="auto"/>
            </w:tcBorders>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2.1</w:t>
            </w:r>
            <w:r w:rsidR="005E5B15" w:rsidRPr="00CD46CC">
              <w:rPr>
                <w:rFonts w:cs="Arial"/>
                <w:color w:val="000000"/>
                <w:sz w:val="20"/>
                <w:szCs w:val="20"/>
              </w:rPr>
              <w:t>%</w:t>
            </w:r>
          </w:p>
        </w:tc>
      </w:tr>
      <w:tr w:rsidR="005E5B15" w:rsidTr="0061765E">
        <w:trPr>
          <w:trHeight w:val="324"/>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Tenant light and power per square metre</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MJ/m</w:t>
            </w:r>
            <w:r>
              <w:rPr>
                <w:rFonts w:eastAsia="Times New Roman" w:cs="Arial"/>
                <w:color w:val="000000"/>
                <w:sz w:val="20"/>
                <w:szCs w:val="20"/>
                <w:vertAlign w:val="superscript"/>
                <w:lang w:eastAsia="en-AU"/>
              </w:rPr>
              <w:t>2</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387</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347</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367</w:t>
            </w:r>
          </w:p>
        </w:tc>
        <w:tc>
          <w:tcPr>
            <w:tcW w:w="546" w:type="pct"/>
            <w:tcBorders>
              <w:top w:val="single" w:sz="4" w:space="0" w:color="auto"/>
              <w:left w:val="single" w:sz="4" w:space="0" w:color="auto"/>
              <w:bottom w:val="single" w:sz="4" w:space="0" w:color="auto"/>
              <w:right w:val="single" w:sz="2" w:space="0" w:color="auto"/>
            </w:tcBorders>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5.8</w:t>
            </w:r>
            <w:r w:rsidR="005E5B15" w:rsidRPr="00CD46CC">
              <w:rPr>
                <w:rFonts w:cs="Arial"/>
                <w:color w:val="000000"/>
                <w:sz w:val="20"/>
                <w:szCs w:val="20"/>
              </w:rPr>
              <w:t>%</w:t>
            </w:r>
          </w:p>
        </w:tc>
      </w:tr>
      <w:tr w:rsidR="005E5B15" w:rsidTr="0061765E">
        <w:trPr>
          <w:trHeight w:val="50"/>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base building energy use</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3 357 759</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3,004,766</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3,184,510</w:t>
            </w:r>
          </w:p>
        </w:tc>
        <w:tc>
          <w:tcPr>
            <w:tcW w:w="546" w:type="pct"/>
            <w:tcBorders>
              <w:top w:val="single" w:sz="4" w:space="0" w:color="auto"/>
              <w:left w:val="single" w:sz="4" w:space="0" w:color="auto"/>
              <w:bottom w:val="single" w:sz="4" w:space="0" w:color="auto"/>
              <w:right w:val="single" w:sz="2"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6.0%</w:t>
            </w:r>
          </w:p>
        </w:tc>
      </w:tr>
      <w:tr w:rsidR="005E5B15" w:rsidTr="0061765E">
        <w:trPr>
          <w:trHeight w:val="217"/>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Base building energy use by area</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MJ/m</w:t>
            </w:r>
            <w:r>
              <w:rPr>
                <w:rFonts w:eastAsia="Times New Roman" w:cs="Arial"/>
                <w:color w:val="000000"/>
                <w:sz w:val="20"/>
                <w:szCs w:val="20"/>
                <w:vertAlign w:val="superscript"/>
                <w:lang w:eastAsia="en-AU"/>
              </w:rPr>
              <w:t>2</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387</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347</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367</w:t>
            </w:r>
          </w:p>
        </w:tc>
        <w:tc>
          <w:tcPr>
            <w:tcW w:w="546" w:type="pct"/>
            <w:tcBorders>
              <w:top w:val="single" w:sz="4" w:space="0" w:color="auto"/>
              <w:left w:val="single" w:sz="4" w:space="0" w:color="auto"/>
              <w:bottom w:val="single" w:sz="4" w:space="0" w:color="auto"/>
              <w:right w:val="single" w:sz="2" w:space="0" w:color="auto"/>
            </w:tcBorders>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5.8%</w:t>
            </w:r>
          </w:p>
        </w:tc>
      </w:tr>
      <w:tr w:rsidR="005E5B15" w:rsidTr="0061765E">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Building energy use (electricity and gas):</w:t>
            </w:r>
          </w:p>
          <w:p w:rsidR="005E5B15" w:rsidRDefault="005E5B15" w:rsidP="005E5B15">
            <w:pPr>
              <w:pStyle w:val="ListParagraph"/>
              <w:numPr>
                <w:ilvl w:val="0"/>
                <w:numId w:val="20"/>
              </w:numPr>
              <w:spacing w:after="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Laboratories</w:t>
            </w:r>
          </w:p>
          <w:p w:rsidR="005E5B15" w:rsidRDefault="005E5B15" w:rsidP="005E5B15">
            <w:pPr>
              <w:pStyle w:val="ListParagraph"/>
              <w:numPr>
                <w:ilvl w:val="0"/>
                <w:numId w:val="20"/>
              </w:numPr>
              <w:spacing w:after="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Public Buildings</w:t>
            </w:r>
          </w:p>
          <w:p w:rsidR="005E5B15" w:rsidRDefault="005E5B15" w:rsidP="005E5B15">
            <w:pPr>
              <w:pStyle w:val="ListParagraph"/>
              <w:numPr>
                <w:ilvl w:val="0"/>
                <w:numId w:val="20"/>
              </w:numPr>
              <w:spacing w:after="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Accommodation</w:t>
            </w:r>
          </w:p>
          <w:p w:rsidR="005E5B15" w:rsidRDefault="005E5B15" w:rsidP="005E5B15">
            <w:pPr>
              <w:pStyle w:val="ListParagraph"/>
              <w:numPr>
                <w:ilvl w:val="0"/>
                <w:numId w:val="20"/>
              </w:numPr>
              <w:spacing w:after="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Other including warehouse, workshops, outbuildings</w:t>
            </w:r>
          </w:p>
          <w:p w:rsidR="005E5B15" w:rsidRDefault="005E5B15" w:rsidP="005E5B15">
            <w:pPr>
              <w:pStyle w:val="ListParagraph"/>
              <w:numPr>
                <w:ilvl w:val="0"/>
                <w:numId w:val="20"/>
              </w:numPr>
              <w:spacing w:after="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Cargo facility at Hobart Port</w:t>
            </w:r>
          </w:p>
          <w:p w:rsidR="005E5B15" w:rsidRDefault="005E5B15" w:rsidP="005E5B15">
            <w:pPr>
              <w:pStyle w:val="ListParagraph"/>
              <w:numPr>
                <w:ilvl w:val="0"/>
                <w:numId w:val="20"/>
              </w:numPr>
              <w:spacing w:after="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Training facility at Kettering</w:t>
            </w:r>
          </w:p>
        </w:tc>
        <w:tc>
          <w:tcPr>
            <w:tcW w:w="792"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n/a</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n/a</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1 044 636</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7 163 220</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709 877 </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12 337</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934,816</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6,410,168</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693,014 </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15,271</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990,736</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6,793,622</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766,688 </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14,674</w:t>
            </w:r>
          </w:p>
        </w:tc>
        <w:tc>
          <w:tcPr>
            <w:tcW w:w="546" w:type="pct"/>
            <w:tcBorders>
              <w:top w:val="single" w:sz="4" w:space="0" w:color="auto"/>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6.0%</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n/a</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6.0%</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10.6%</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-3.9%</w:t>
            </w:r>
          </w:p>
        </w:tc>
      </w:tr>
      <w:tr w:rsidR="005E5B15" w:rsidTr="0061765E">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 Power purchased as a proportion of total electricity purchased</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755" w:type="pct"/>
            <w:tcBorders>
              <w:top w:val="single" w:sz="4" w:space="0" w:color="auto"/>
              <w:left w:val="nil"/>
              <w:bottom w:val="single" w:sz="4" w:space="0" w:color="auto"/>
              <w:right w:val="single" w:sz="4" w:space="0" w:color="auto"/>
            </w:tcBorders>
          </w:tcPr>
          <w:p w:rsidR="005E5B15" w:rsidRDefault="00FF2514" w:rsidP="005E5B15">
            <w:pPr>
              <w:spacing w:after="0" w:line="240" w:lineRule="auto"/>
              <w:ind w:right="-2"/>
              <w:jc w:val="right"/>
              <w:rPr>
                <w:rFonts w:cs="Arial"/>
                <w:color w:val="000000"/>
                <w:sz w:val="20"/>
                <w:szCs w:val="20"/>
              </w:rPr>
            </w:pPr>
            <w:r>
              <w:rPr>
                <w:rFonts w:cs="Arial"/>
                <w:color w:val="000000"/>
                <w:sz w:val="20"/>
                <w:szCs w:val="20"/>
              </w:rPr>
              <w:t>0%</w:t>
            </w:r>
          </w:p>
        </w:tc>
        <w:tc>
          <w:tcPr>
            <w:tcW w:w="546" w:type="pct"/>
            <w:tcBorders>
              <w:top w:val="single" w:sz="4" w:space="0" w:color="auto"/>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r>
      <w:tr w:rsidR="005E5B15" w:rsidTr="0061765E">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Renewable energy generated</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  0</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546" w:type="pct"/>
            <w:tcBorders>
              <w:top w:val="single" w:sz="4" w:space="0" w:color="auto"/>
              <w:left w:val="single" w:sz="4" w:space="0" w:color="auto"/>
              <w:bottom w:val="single" w:sz="4" w:space="0" w:color="auto"/>
              <w:right w:val="single" w:sz="2"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0.0%</w:t>
            </w:r>
          </w:p>
        </w:tc>
      </w:tr>
    </w:tbl>
    <w:p w:rsidR="00E26D3F" w:rsidRDefault="00E26D3F">
      <w:r>
        <w:br w:type="page"/>
      </w:r>
    </w:p>
    <w:tbl>
      <w:tblPr>
        <w:tblW w:w="5020" w:type="pct"/>
        <w:tblInd w:w="-36" w:type="dxa"/>
        <w:tblLook w:val="04A0" w:firstRow="1" w:lastRow="0" w:firstColumn="1" w:lastColumn="0" w:noHBand="0" w:noVBand="1"/>
      </w:tblPr>
      <w:tblGrid>
        <w:gridCol w:w="2678"/>
        <w:gridCol w:w="1463"/>
        <w:gridCol w:w="1277"/>
        <w:gridCol w:w="1417"/>
        <w:gridCol w:w="1395"/>
        <w:gridCol w:w="1009"/>
      </w:tblGrid>
      <w:tr w:rsidR="005E5B15" w:rsidTr="00E26D3F">
        <w:trPr>
          <w:trHeight w:val="51"/>
        </w:trPr>
        <w:tc>
          <w:tcPr>
            <w:tcW w:w="5000" w:type="pct"/>
            <w:gridSpan w:val="6"/>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rPr>
                <w:rFonts w:eastAsia="Times New Roman" w:cs="Arial"/>
                <w:b/>
                <w:bCs/>
                <w:color w:val="000000"/>
                <w:sz w:val="20"/>
                <w:szCs w:val="20"/>
                <w:lang w:eastAsia="en-AU"/>
              </w:rPr>
            </w:pPr>
            <w:r>
              <w:rPr>
                <w:rFonts w:eastAsia="Times New Roman" w:cs="Arial"/>
                <w:b/>
                <w:bCs/>
                <w:color w:val="000000"/>
                <w:sz w:val="20"/>
                <w:szCs w:val="20"/>
                <w:lang w:eastAsia="en-AU"/>
              </w:rPr>
              <w:lastRenderedPageBreak/>
              <w:t>Transport</w:t>
            </w:r>
            <w:r>
              <w:rPr>
                <w:rFonts w:cs="Arial"/>
                <w:color w:val="000000"/>
                <w:sz w:val="20"/>
                <w:szCs w:val="20"/>
              </w:rPr>
              <w:t> </w:t>
            </w:r>
          </w:p>
        </w:tc>
      </w:tr>
      <w:tr w:rsidR="005E5B15" w:rsidTr="00E26D3F">
        <w:trPr>
          <w:trHeight w:val="140"/>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number of fleet vehicles</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8</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9</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9</w:t>
            </w:r>
          </w:p>
        </w:tc>
        <w:tc>
          <w:tcPr>
            <w:tcW w:w="546" w:type="pct"/>
            <w:tcBorders>
              <w:top w:val="single" w:sz="4" w:space="0" w:color="auto"/>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0.0%</w:t>
            </w:r>
          </w:p>
        </w:tc>
      </w:tr>
      <w:tr w:rsidR="005E5B15" w:rsidTr="00E26D3F">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Average green vehicle guide (GVG) rating of fleet vehicles</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rPr>
                <w:rFonts w:eastAsia="Times New Roman" w:cs="Arial"/>
                <w:color w:val="000000"/>
                <w:sz w:val="20"/>
                <w:szCs w:val="20"/>
                <w:lang w:eastAsia="en-AU"/>
              </w:rPr>
            </w:pP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11.9</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10.8</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9.2</w:t>
            </w:r>
          </w:p>
        </w:tc>
        <w:tc>
          <w:tcPr>
            <w:tcW w:w="546" w:type="pct"/>
            <w:tcBorders>
              <w:top w:val="single" w:sz="4" w:space="0" w:color="auto"/>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-14.8%</w:t>
            </w:r>
          </w:p>
        </w:tc>
      </w:tr>
      <w:tr w:rsidR="005E5B15" w:rsidTr="00E26D3F">
        <w:trPr>
          <w:trHeight w:val="276"/>
        </w:trPr>
        <w:tc>
          <w:tcPr>
            <w:tcW w:w="1449" w:type="pct"/>
            <w:tcBorders>
              <w:top w:val="single" w:sz="4"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jc w:val="both"/>
              <w:rPr>
                <w:rFonts w:eastAsia="Times New Roman" w:cs="Arial"/>
                <w:color w:val="000000"/>
                <w:sz w:val="20"/>
                <w:szCs w:val="20"/>
                <w:lang w:eastAsia="en-AU"/>
              </w:rPr>
            </w:pPr>
            <w:r>
              <w:rPr>
                <w:rFonts w:eastAsia="Times New Roman" w:cs="Arial"/>
                <w:color w:val="000000"/>
                <w:sz w:val="20"/>
                <w:szCs w:val="20"/>
                <w:lang w:eastAsia="en-AU"/>
              </w:rPr>
              <w:t>Average fuel consumption of fleet vehicles</w:t>
            </w:r>
          </w:p>
        </w:tc>
        <w:tc>
          <w:tcPr>
            <w:tcW w:w="792"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L/100km</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12.8</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14.0</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12.0</w:t>
            </w:r>
          </w:p>
        </w:tc>
        <w:tc>
          <w:tcPr>
            <w:tcW w:w="546" w:type="pct"/>
            <w:tcBorders>
              <w:top w:val="single" w:sz="4" w:space="0" w:color="auto"/>
              <w:left w:val="single" w:sz="4" w:space="0" w:color="auto"/>
              <w:bottom w:val="single" w:sz="4" w:space="0" w:color="auto"/>
              <w:right w:val="single" w:sz="2" w:space="0" w:color="auto"/>
            </w:tcBorders>
          </w:tcPr>
          <w:p w:rsidR="005E5B15" w:rsidRPr="00CD46CC" w:rsidRDefault="005E5B15" w:rsidP="00FF2514">
            <w:pPr>
              <w:spacing w:after="0" w:line="240" w:lineRule="auto"/>
              <w:ind w:right="-2"/>
              <w:jc w:val="right"/>
              <w:rPr>
                <w:rFonts w:cs="Arial"/>
                <w:color w:val="000000"/>
                <w:sz w:val="20"/>
                <w:szCs w:val="20"/>
              </w:rPr>
            </w:pPr>
            <w:r w:rsidRPr="00CD46CC">
              <w:rPr>
                <w:rFonts w:cs="Arial"/>
                <w:color w:val="000000"/>
                <w:sz w:val="20"/>
                <w:szCs w:val="20"/>
              </w:rPr>
              <w:t>-1</w:t>
            </w:r>
            <w:r w:rsidR="00FF2514" w:rsidRPr="00CD46CC">
              <w:rPr>
                <w:rFonts w:cs="Arial"/>
                <w:color w:val="000000"/>
                <w:sz w:val="20"/>
                <w:szCs w:val="20"/>
              </w:rPr>
              <w:t>4.3</w:t>
            </w:r>
            <w:r w:rsidRPr="00CD46CC">
              <w:rPr>
                <w:rFonts w:cs="Arial"/>
                <w:color w:val="000000"/>
                <w:sz w:val="20"/>
                <w:szCs w:val="20"/>
              </w:rPr>
              <w:t>%</w:t>
            </w:r>
          </w:p>
        </w:tc>
      </w:tr>
      <w:tr w:rsidR="005E5B15" w:rsidTr="00E26D3F">
        <w:trPr>
          <w:trHeight w:val="276"/>
        </w:trPr>
        <w:tc>
          <w:tcPr>
            <w:tcW w:w="1449" w:type="pct"/>
            <w:tcBorders>
              <w:top w:val="single" w:sz="4" w:space="0" w:color="auto"/>
              <w:left w:val="single" w:sz="2" w:space="0" w:color="auto"/>
              <w:bottom w:val="single" w:sz="2"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Fleet vehicle fuel consumption by type:</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cs="Arial"/>
                <w:sz w:val="20"/>
                <w:szCs w:val="20"/>
              </w:rPr>
              <w:t>Unleaded Petrol</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E10 Petrol</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Diesel</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LPG</w:t>
            </w:r>
          </w:p>
        </w:tc>
        <w:tc>
          <w:tcPr>
            <w:tcW w:w="792" w:type="pct"/>
            <w:tcBorders>
              <w:top w:val="single" w:sz="4" w:space="0" w:color="auto"/>
              <w:left w:val="single" w:sz="2" w:space="0" w:color="auto"/>
              <w:bottom w:val="single" w:sz="2" w:space="0" w:color="auto"/>
              <w:right w:val="single" w:sz="4" w:space="0" w:color="auto"/>
            </w:tcBorders>
          </w:tcPr>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6 926</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  0</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3 194</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  0</w:t>
            </w:r>
          </w:p>
        </w:tc>
        <w:tc>
          <w:tcPr>
            <w:tcW w:w="767" w:type="pct"/>
            <w:tcBorders>
              <w:top w:val="single" w:sz="4" w:space="0" w:color="auto"/>
              <w:left w:val="single" w:sz="4" w:space="0" w:color="auto"/>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4,657</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3,319</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755"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3,528</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3,155</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546" w:type="pct"/>
            <w:tcBorders>
              <w:top w:val="single" w:sz="4" w:space="0" w:color="auto"/>
              <w:left w:val="single" w:sz="4" w:space="0" w:color="auto"/>
              <w:bottom w:val="single" w:sz="2"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-24.2%</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0.0%</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-4.9%</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0.0%</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distance travelled by vehicle fleet</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km</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78 937</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57,078</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55,503</w:t>
            </w:r>
          </w:p>
        </w:tc>
        <w:tc>
          <w:tcPr>
            <w:tcW w:w="546" w:type="pct"/>
            <w:tcBorders>
              <w:top w:val="nil"/>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-2.8%</w:t>
            </w:r>
          </w:p>
        </w:tc>
      </w:tr>
      <w:tr w:rsidR="005E5B15" w:rsidTr="00E26D3F">
        <w:trPr>
          <w:trHeight w:val="135"/>
        </w:trPr>
        <w:tc>
          <w:tcPr>
            <w:tcW w:w="5000" w:type="pct"/>
            <w:gridSpan w:val="6"/>
            <w:tcBorders>
              <w:top w:val="nil"/>
              <w:left w:val="single" w:sz="2" w:space="0" w:color="auto"/>
              <w:bottom w:val="single" w:sz="4" w:space="0" w:color="auto"/>
              <w:right w:val="single" w:sz="2" w:space="0" w:color="auto"/>
            </w:tcBorders>
          </w:tcPr>
          <w:p w:rsidR="005E5B15" w:rsidRDefault="005E5B15" w:rsidP="005E5B15">
            <w:pPr>
              <w:spacing w:after="0" w:line="240" w:lineRule="auto"/>
              <w:ind w:right="-2"/>
              <w:rPr>
                <w:rFonts w:eastAsia="Times New Roman" w:cs="Arial"/>
                <w:b/>
                <w:bCs/>
                <w:color w:val="000000"/>
                <w:sz w:val="20"/>
                <w:szCs w:val="20"/>
                <w:lang w:eastAsia="en-AU"/>
              </w:rPr>
            </w:pPr>
            <w:r>
              <w:rPr>
                <w:rFonts w:eastAsia="Times New Roman" w:cs="Arial"/>
                <w:b/>
                <w:bCs/>
                <w:color w:val="000000"/>
                <w:sz w:val="20"/>
                <w:szCs w:val="20"/>
                <w:lang w:eastAsia="en-AU"/>
              </w:rPr>
              <w:t>Greenhouse Gas Emissions</w:t>
            </w:r>
            <w:r>
              <w:rPr>
                <w:rFonts w:cs="Arial"/>
                <w:color w:val="000000"/>
                <w:sz w:val="20"/>
                <w:szCs w:val="20"/>
              </w:rPr>
              <w:t> </w:t>
            </w:r>
          </w:p>
        </w:tc>
      </w:tr>
      <w:tr w:rsidR="005E5B15" w:rsidTr="00E26D3F">
        <w:trPr>
          <w:trHeight w:val="324"/>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office tenant light and power</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 xml:space="preserve"> 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205</w:t>
            </w:r>
          </w:p>
        </w:tc>
        <w:tc>
          <w:tcPr>
            <w:tcW w:w="767"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184</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195</w:t>
            </w:r>
          </w:p>
        </w:tc>
        <w:tc>
          <w:tcPr>
            <w:tcW w:w="546" w:type="pct"/>
            <w:tcBorders>
              <w:top w:val="nil"/>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6.0%</w:t>
            </w:r>
          </w:p>
        </w:tc>
      </w:tr>
      <w:tr w:rsidR="005E5B15" w:rsidTr="00E26D3F">
        <w:trPr>
          <w:trHeight w:val="324"/>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base building energy use</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205</w:t>
            </w:r>
          </w:p>
        </w:tc>
        <w:tc>
          <w:tcPr>
            <w:tcW w:w="767"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184</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195</w:t>
            </w:r>
          </w:p>
        </w:tc>
        <w:tc>
          <w:tcPr>
            <w:tcW w:w="546" w:type="pct"/>
            <w:tcBorders>
              <w:top w:val="nil"/>
              <w:left w:val="single" w:sz="4" w:space="0" w:color="auto"/>
              <w:bottom w:val="single" w:sz="4" w:space="0" w:color="auto"/>
              <w:right w:val="single" w:sz="2"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6.0%</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energy used by:</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Laboratories</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Public buildings</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Accommodation</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Other (workshops, warehouse, outbuildings)</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Cargo facility</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 xml:space="preserve"> WTF facility at Kettering</w:t>
            </w:r>
          </w:p>
        </w:tc>
        <w:tc>
          <w:tcPr>
            <w:tcW w:w="792" w:type="pct"/>
            <w:tcBorders>
              <w:top w:val="nil"/>
              <w:left w:val="nil"/>
              <w:bottom w:val="single" w:sz="4" w:space="0" w:color="auto"/>
              <w:right w:val="single" w:sz="4" w:space="0" w:color="auto"/>
            </w:tcBorders>
          </w:tcPr>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n/a</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n/a</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64 </w:t>
            </w:r>
          </w:p>
          <w:p w:rsidR="005E5B15" w:rsidRDefault="005E5B15" w:rsidP="005E5B15">
            <w:pPr>
              <w:spacing w:after="0" w:line="240" w:lineRule="auto"/>
              <w:ind w:right="-2"/>
              <w:jc w:val="right"/>
              <w:rPr>
                <w:rFonts w:eastAsia="Times New Roman" w:cs="Arial"/>
                <w:color w:val="000000"/>
                <w:sz w:val="20"/>
                <w:szCs w:val="20"/>
                <w:lang w:eastAsia="en-AU"/>
              </w:rPr>
            </w:pPr>
            <w:r>
              <w:rPr>
                <w:rFonts w:eastAsia="Times New Roman" w:cs="Arial"/>
                <w:color w:val="000000"/>
                <w:sz w:val="20"/>
                <w:szCs w:val="20"/>
                <w:lang w:eastAsia="en-AU"/>
              </w:rPr>
              <w:t xml:space="preserve">n/a </w:t>
            </w:r>
          </w:p>
          <w:p w:rsidR="005E5B15" w:rsidRDefault="005E5B15" w:rsidP="005E5B15">
            <w:pPr>
              <w:spacing w:after="0" w:line="240" w:lineRule="auto"/>
              <w:ind w:right="-2"/>
              <w:jc w:val="right"/>
              <w:rPr>
                <w:rFonts w:cs="Arial"/>
                <w:color w:val="000000"/>
                <w:sz w:val="20"/>
                <w:szCs w:val="20"/>
              </w:rPr>
            </w:pPr>
            <w:r>
              <w:rPr>
                <w:rFonts w:eastAsia="Times New Roman" w:cs="Arial"/>
                <w:color w:val="000000"/>
                <w:sz w:val="20"/>
                <w:szCs w:val="20"/>
                <w:lang w:eastAsia="en-AU"/>
              </w:rPr>
              <w:t>n/a</w:t>
            </w:r>
            <w:r>
              <w:rPr>
                <w:rFonts w:cs="Arial"/>
                <w:color w:val="000000"/>
                <w:sz w:val="20"/>
                <w:szCs w:val="20"/>
              </w:rPr>
              <w:t xml:space="preserve"> </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438 </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43</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0.75 </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eastAsia="Times New Roman" w:cs="Arial"/>
                <w:color w:val="000000"/>
                <w:sz w:val="20"/>
                <w:szCs w:val="20"/>
                <w:lang w:eastAsia="en-AU"/>
              </w:rPr>
            </w:pPr>
            <w:r>
              <w:rPr>
                <w:rFonts w:cs="Arial"/>
                <w:color w:val="000000"/>
                <w:sz w:val="20"/>
                <w:szCs w:val="20"/>
              </w:rPr>
              <w:t>57</w:t>
            </w:r>
            <w:r>
              <w:rPr>
                <w:rFonts w:eastAsia="Times New Roman" w:cs="Arial"/>
                <w:color w:val="000000"/>
                <w:sz w:val="20"/>
                <w:szCs w:val="20"/>
                <w:lang w:eastAsia="en-AU"/>
              </w:rPr>
              <w:t xml:space="preserve"> </w:t>
            </w:r>
          </w:p>
          <w:p w:rsidR="005E5B15" w:rsidRDefault="005E5B15" w:rsidP="005E5B15">
            <w:pPr>
              <w:spacing w:after="0" w:line="240" w:lineRule="auto"/>
              <w:ind w:right="-2"/>
              <w:jc w:val="right"/>
              <w:rPr>
                <w:rFonts w:eastAsia="Times New Roman" w:cs="Arial"/>
                <w:color w:val="000000"/>
                <w:sz w:val="20"/>
                <w:szCs w:val="20"/>
                <w:lang w:eastAsia="en-AU"/>
              </w:rPr>
            </w:pPr>
            <w:r>
              <w:rPr>
                <w:rFonts w:eastAsia="Times New Roman" w:cs="Arial"/>
                <w:color w:val="000000"/>
                <w:sz w:val="20"/>
                <w:szCs w:val="20"/>
                <w:lang w:eastAsia="en-AU"/>
              </w:rPr>
              <w:t xml:space="preserve">n/a </w:t>
            </w:r>
          </w:p>
          <w:p w:rsidR="005E5B15" w:rsidRDefault="005E5B15" w:rsidP="005E5B15">
            <w:pPr>
              <w:spacing w:after="0" w:line="240" w:lineRule="auto"/>
              <w:ind w:right="-2"/>
              <w:jc w:val="right"/>
              <w:rPr>
                <w:rFonts w:cs="Arial"/>
                <w:color w:val="000000"/>
                <w:sz w:val="20"/>
                <w:szCs w:val="20"/>
              </w:rPr>
            </w:pPr>
            <w:r>
              <w:rPr>
                <w:rFonts w:eastAsia="Times New Roman" w:cs="Arial"/>
                <w:color w:val="000000"/>
                <w:sz w:val="20"/>
                <w:szCs w:val="20"/>
                <w:lang w:eastAsia="en-AU"/>
              </w:rPr>
              <w:t>n/a</w:t>
            </w:r>
            <w:r>
              <w:rPr>
                <w:rFonts w:cs="Arial"/>
                <w:color w:val="000000"/>
                <w:sz w:val="20"/>
                <w:szCs w:val="20"/>
              </w:rPr>
              <w:t xml:space="preserve"> </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392</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42</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0.93</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eastAsia="Times New Roman" w:cs="Arial"/>
                <w:color w:val="000000"/>
                <w:sz w:val="20"/>
                <w:szCs w:val="20"/>
                <w:lang w:eastAsia="en-AU"/>
              </w:rPr>
            </w:pPr>
            <w:r>
              <w:rPr>
                <w:rFonts w:cs="Arial"/>
                <w:color w:val="000000"/>
                <w:sz w:val="20"/>
                <w:szCs w:val="20"/>
              </w:rPr>
              <w:t>61</w:t>
            </w:r>
            <w:r>
              <w:rPr>
                <w:rFonts w:eastAsia="Times New Roman" w:cs="Arial"/>
                <w:color w:val="000000"/>
                <w:sz w:val="20"/>
                <w:szCs w:val="20"/>
                <w:lang w:eastAsia="en-AU"/>
              </w:rPr>
              <w:t xml:space="preserve"> </w:t>
            </w:r>
          </w:p>
          <w:p w:rsidR="005E5B15" w:rsidRDefault="005E5B15" w:rsidP="005E5B15">
            <w:pPr>
              <w:spacing w:after="0" w:line="240" w:lineRule="auto"/>
              <w:ind w:right="-2"/>
              <w:jc w:val="right"/>
              <w:rPr>
                <w:rFonts w:eastAsia="Times New Roman" w:cs="Arial"/>
                <w:color w:val="000000"/>
                <w:sz w:val="20"/>
                <w:szCs w:val="20"/>
                <w:lang w:eastAsia="en-AU"/>
              </w:rPr>
            </w:pPr>
            <w:r>
              <w:rPr>
                <w:rFonts w:eastAsia="Times New Roman" w:cs="Arial"/>
                <w:color w:val="000000"/>
                <w:sz w:val="20"/>
                <w:szCs w:val="20"/>
                <w:lang w:eastAsia="en-AU"/>
              </w:rPr>
              <w:t xml:space="preserve">n/a </w:t>
            </w:r>
          </w:p>
          <w:p w:rsidR="005E5B15" w:rsidRDefault="005E5B15" w:rsidP="005E5B15">
            <w:pPr>
              <w:spacing w:after="0" w:line="240" w:lineRule="auto"/>
              <w:ind w:right="-2"/>
              <w:jc w:val="right"/>
              <w:rPr>
                <w:rFonts w:cs="Arial"/>
                <w:color w:val="000000"/>
                <w:sz w:val="20"/>
                <w:szCs w:val="20"/>
              </w:rPr>
            </w:pPr>
            <w:r>
              <w:rPr>
                <w:rFonts w:eastAsia="Times New Roman" w:cs="Arial"/>
                <w:color w:val="000000"/>
                <w:sz w:val="20"/>
                <w:szCs w:val="20"/>
                <w:lang w:eastAsia="en-AU"/>
              </w:rPr>
              <w:t>n/a</w:t>
            </w:r>
            <w:r>
              <w:rPr>
                <w:rFonts w:cs="Arial"/>
                <w:color w:val="000000"/>
                <w:sz w:val="20"/>
                <w:szCs w:val="20"/>
              </w:rPr>
              <w:t xml:space="preserve"> </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415</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47</w:t>
            </w: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0.90</w:t>
            </w:r>
          </w:p>
        </w:tc>
        <w:tc>
          <w:tcPr>
            <w:tcW w:w="546" w:type="pct"/>
            <w:tcBorders>
              <w:top w:val="nil"/>
              <w:left w:val="single" w:sz="4" w:space="0" w:color="auto"/>
              <w:bottom w:val="single" w:sz="4" w:space="0" w:color="auto"/>
              <w:right w:val="single" w:sz="2" w:space="0" w:color="auto"/>
            </w:tcBorders>
          </w:tcPr>
          <w:p w:rsidR="005E5B15" w:rsidRPr="00CD46CC" w:rsidRDefault="005E5B15" w:rsidP="005E5B15">
            <w:pPr>
              <w:spacing w:after="0" w:line="240" w:lineRule="auto"/>
              <w:ind w:right="-2"/>
              <w:jc w:val="right"/>
              <w:rPr>
                <w:rFonts w:cs="Arial"/>
                <w:color w:val="000000"/>
                <w:sz w:val="20"/>
                <w:szCs w:val="20"/>
              </w:rPr>
            </w:pPr>
          </w:p>
          <w:p w:rsidR="005E5B15" w:rsidRPr="00CD46CC" w:rsidRDefault="005E5B15" w:rsidP="005E5B15">
            <w:pPr>
              <w:spacing w:after="0" w:line="240" w:lineRule="auto"/>
              <w:ind w:right="-2"/>
              <w:jc w:val="right"/>
              <w:rPr>
                <w:rFonts w:cs="Arial"/>
                <w:color w:val="000000"/>
                <w:sz w:val="20"/>
                <w:szCs w:val="20"/>
              </w:rPr>
            </w:pPr>
          </w:p>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7</w:t>
            </w:r>
            <w:r w:rsidR="005E5B15" w:rsidRPr="00CD46CC">
              <w:rPr>
                <w:rFonts w:cs="Arial"/>
                <w:color w:val="000000"/>
                <w:sz w:val="20"/>
                <w:szCs w:val="20"/>
              </w:rPr>
              <w:t>.0%</w:t>
            </w:r>
          </w:p>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n/a</w:t>
            </w:r>
          </w:p>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n/a</w:t>
            </w:r>
          </w:p>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5.9</w:t>
            </w:r>
            <w:r w:rsidR="005E5B15" w:rsidRPr="00CD46CC">
              <w:rPr>
                <w:rFonts w:cs="Arial"/>
                <w:color w:val="000000"/>
                <w:sz w:val="20"/>
                <w:szCs w:val="20"/>
              </w:rPr>
              <w:t>%</w:t>
            </w:r>
          </w:p>
          <w:p w:rsidR="005E5B15" w:rsidRPr="00CD46CC" w:rsidRDefault="005E5B15" w:rsidP="005E5B15">
            <w:pPr>
              <w:spacing w:after="0" w:line="240" w:lineRule="auto"/>
              <w:ind w:right="-2"/>
              <w:jc w:val="right"/>
              <w:rPr>
                <w:rFonts w:cs="Arial"/>
                <w:color w:val="000000"/>
                <w:sz w:val="20"/>
                <w:szCs w:val="20"/>
              </w:rPr>
            </w:pPr>
          </w:p>
          <w:p w:rsidR="005E5B15" w:rsidRPr="00CD46CC" w:rsidRDefault="005E5B15" w:rsidP="005E5B15">
            <w:pPr>
              <w:spacing w:after="0" w:line="240" w:lineRule="auto"/>
              <w:ind w:right="-2"/>
              <w:jc w:val="right"/>
              <w:rPr>
                <w:rFonts w:cs="Arial"/>
                <w:color w:val="000000"/>
                <w:sz w:val="20"/>
                <w:szCs w:val="20"/>
              </w:rPr>
            </w:pPr>
          </w:p>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11.9</w:t>
            </w:r>
            <w:r w:rsidR="005E5B15" w:rsidRPr="00CD46CC">
              <w:rPr>
                <w:rFonts w:cs="Arial"/>
                <w:color w:val="000000"/>
                <w:sz w:val="20"/>
                <w:szCs w:val="20"/>
              </w:rPr>
              <w:t>%</w:t>
            </w:r>
          </w:p>
          <w:p w:rsidR="005E5B15" w:rsidRPr="00CD46CC" w:rsidRDefault="005E5B15" w:rsidP="00FF2514">
            <w:pPr>
              <w:spacing w:after="0" w:line="240" w:lineRule="auto"/>
              <w:ind w:right="-2"/>
              <w:jc w:val="right"/>
              <w:rPr>
                <w:rFonts w:cs="Arial"/>
                <w:color w:val="000000"/>
                <w:sz w:val="20"/>
                <w:szCs w:val="20"/>
              </w:rPr>
            </w:pPr>
            <w:r w:rsidRPr="00CD46CC">
              <w:rPr>
                <w:rFonts w:cs="Arial"/>
                <w:color w:val="000000"/>
                <w:sz w:val="20"/>
                <w:szCs w:val="20"/>
              </w:rPr>
              <w:t>-3.</w:t>
            </w:r>
            <w:r w:rsidR="00FF2514" w:rsidRPr="00CD46CC">
              <w:rPr>
                <w:rFonts w:cs="Arial"/>
                <w:color w:val="000000"/>
                <w:sz w:val="20"/>
                <w:szCs w:val="20"/>
              </w:rPr>
              <w:t>2</w:t>
            </w:r>
            <w:r w:rsidRPr="00CD46CC">
              <w:rPr>
                <w:rFonts w:cs="Arial"/>
                <w:color w:val="000000"/>
                <w:sz w:val="20"/>
                <w:szCs w:val="20"/>
              </w:rPr>
              <w:t>%</w:t>
            </w:r>
          </w:p>
        </w:tc>
      </w:tr>
      <w:tr w:rsidR="005E5B15" w:rsidTr="00E26D3F">
        <w:trPr>
          <w:trHeight w:val="324"/>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fleet vehicles</w:t>
            </w:r>
          </w:p>
        </w:tc>
        <w:tc>
          <w:tcPr>
            <w:tcW w:w="792"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26</w:t>
            </w:r>
          </w:p>
        </w:tc>
        <w:tc>
          <w:tcPr>
            <w:tcW w:w="767"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21</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w:t>
            </w:r>
          </w:p>
        </w:tc>
        <w:tc>
          <w:tcPr>
            <w:tcW w:w="546" w:type="pct"/>
            <w:tcBorders>
              <w:top w:val="nil"/>
              <w:left w:val="single" w:sz="4" w:space="0" w:color="auto"/>
              <w:bottom w:val="single" w:sz="4" w:space="0" w:color="auto"/>
              <w:right w:val="single" w:sz="2" w:space="0" w:color="auto"/>
            </w:tcBorders>
          </w:tcPr>
          <w:p w:rsidR="005E5B15" w:rsidRPr="00CD46CC" w:rsidRDefault="00FF2514" w:rsidP="00FF2514">
            <w:pPr>
              <w:tabs>
                <w:tab w:val="right" w:pos="795"/>
              </w:tabs>
              <w:spacing w:after="0" w:line="240" w:lineRule="auto"/>
              <w:ind w:right="-2"/>
              <w:rPr>
                <w:rFonts w:cs="Arial"/>
                <w:color w:val="000000"/>
                <w:sz w:val="20"/>
                <w:szCs w:val="20"/>
              </w:rPr>
            </w:pPr>
            <w:r w:rsidRPr="00CD46CC">
              <w:rPr>
                <w:rFonts w:cs="Arial"/>
                <w:color w:val="000000"/>
                <w:sz w:val="20"/>
                <w:szCs w:val="20"/>
              </w:rPr>
              <w:tab/>
            </w:r>
            <w:r w:rsidR="005E5B15" w:rsidRPr="00CD46CC">
              <w:rPr>
                <w:rFonts w:cs="Arial"/>
                <w:color w:val="000000"/>
                <w:sz w:val="20"/>
                <w:szCs w:val="20"/>
              </w:rPr>
              <w:t>-14.</w:t>
            </w:r>
            <w:r w:rsidRPr="00CD46CC">
              <w:rPr>
                <w:rFonts w:cs="Arial"/>
                <w:color w:val="000000"/>
                <w:sz w:val="20"/>
                <w:szCs w:val="20"/>
              </w:rPr>
              <w:t>3</w:t>
            </w:r>
            <w:r w:rsidR="005E5B15" w:rsidRPr="00CD46CC">
              <w:rPr>
                <w:rFonts w:cs="Arial"/>
                <w:color w:val="000000"/>
                <w:sz w:val="20"/>
                <w:szCs w:val="20"/>
              </w:rPr>
              <w:t>%</w:t>
            </w:r>
          </w:p>
        </w:tc>
      </w:tr>
      <w:tr w:rsidR="005E5B15" w:rsidTr="00E26D3F">
        <w:trPr>
          <w:trHeight w:val="324"/>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greenhouse gas emissions (not including waste)</w:t>
            </w:r>
          </w:p>
        </w:tc>
        <w:tc>
          <w:tcPr>
            <w:tcW w:w="792"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982</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880</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931</w:t>
            </w:r>
          </w:p>
        </w:tc>
        <w:tc>
          <w:tcPr>
            <w:tcW w:w="546" w:type="pct"/>
            <w:tcBorders>
              <w:top w:val="nil"/>
              <w:left w:val="single" w:sz="4" w:space="0" w:color="auto"/>
              <w:bottom w:val="single" w:sz="4" w:space="0" w:color="auto"/>
              <w:right w:val="single" w:sz="2" w:space="0" w:color="auto"/>
            </w:tcBorders>
          </w:tcPr>
          <w:p w:rsidR="005E5B15" w:rsidRPr="00CD46CC" w:rsidRDefault="005E5B15" w:rsidP="005E5B15">
            <w:pPr>
              <w:spacing w:after="0" w:line="240" w:lineRule="auto"/>
              <w:ind w:right="-2"/>
              <w:jc w:val="right"/>
              <w:rPr>
                <w:rFonts w:cs="Arial"/>
                <w:color w:val="000000"/>
                <w:sz w:val="20"/>
                <w:szCs w:val="20"/>
              </w:rPr>
            </w:pPr>
          </w:p>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5.8</w:t>
            </w:r>
            <w:r w:rsidR="005E5B15" w:rsidRPr="00CD46CC">
              <w:rPr>
                <w:rFonts w:cs="Arial"/>
                <w:color w:val="000000"/>
                <w:sz w:val="20"/>
                <w:szCs w:val="20"/>
              </w:rPr>
              <w:t>%</w:t>
            </w:r>
          </w:p>
        </w:tc>
      </w:tr>
      <w:tr w:rsidR="005E5B15" w:rsidTr="00E26D3F">
        <w:trPr>
          <w:trHeight w:val="552"/>
        </w:trPr>
        <w:tc>
          <w:tcPr>
            <w:tcW w:w="1449" w:type="pct"/>
            <w:tcBorders>
              <w:top w:val="nil"/>
              <w:left w:val="single" w:sz="2" w:space="0" w:color="auto"/>
              <w:bottom w:val="single" w:sz="2"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greenhouse gas emissions  (not including waste) per person</w:t>
            </w:r>
          </w:p>
        </w:tc>
        <w:tc>
          <w:tcPr>
            <w:tcW w:w="792" w:type="pct"/>
            <w:tcBorders>
              <w:top w:val="nil"/>
              <w:left w:val="single" w:sz="4"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3.2</w:t>
            </w:r>
          </w:p>
        </w:tc>
        <w:tc>
          <w:tcPr>
            <w:tcW w:w="767" w:type="pct"/>
            <w:tcBorders>
              <w:top w:val="nil"/>
              <w:left w:val="single" w:sz="4" w:space="0" w:color="auto"/>
              <w:bottom w:val="single" w:sz="2" w:space="0" w:color="auto"/>
              <w:right w:val="single" w:sz="4" w:space="0" w:color="auto"/>
            </w:tcBorders>
            <w:hideMark/>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2.9</w:t>
            </w:r>
          </w:p>
        </w:tc>
        <w:tc>
          <w:tcPr>
            <w:tcW w:w="755" w:type="pct"/>
            <w:tcBorders>
              <w:top w:val="single" w:sz="4" w:space="0" w:color="auto"/>
              <w:left w:val="nil"/>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3.1</w:t>
            </w:r>
          </w:p>
        </w:tc>
        <w:tc>
          <w:tcPr>
            <w:tcW w:w="546" w:type="pct"/>
            <w:tcBorders>
              <w:top w:val="nil"/>
              <w:left w:val="single" w:sz="4" w:space="0" w:color="auto"/>
              <w:bottom w:val="single" w:sz="2" w:space="0" w:color="auto"/>
              <w:right w:val="single" w:sz="2" w:space="0" w:color="auto"/>
            </w:tcBorders>
            <w:hideMark/>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6.9</w:t>
            </w:r>
            <w:r w:rsidR="005E5B15" w:rsidRPr="00CD46CC">
              <w:rPr>
                <w:rFonts w:cs="Arial"/>
                <w:color w:val="000000"/>
                <w:sz w:val="20"/>
                <w:szCs w:val="20"/>
              </w:rPr>
              <w:t>%</w:t>
            </w:r>
          </w:p>
        </w:tc>
      </w:tr>
      <w:tr w:rsidR="005E5B15" w:rsidTr="00E26D3F">
        <w:trPr>
          <w:trHeight w:val="55"/>
        </w:trPr>
        <w:tc>
          <w:tcPr>
            <w:tcW w:w="5000" w:type="pct"/>
            <w:gridSpan w:val="6"/>
            <w:tcBorders>
              <w:top w:val="single" w:sz="2" w:space="0" w:color="auto"/>
              <w:left w:val="single" w:sz="2" w:space="0" w:color="auto"/>
              <w:bottom w:val="single" w:sz="2" w:space="0" w:color="auto"/>
              <w:right w:val="single" w:sz="2" w:space="0" w:color="auto"/>
            </w:tcBorders>
            <w:hideMark/>
          </w:tcPr>
          <w:p w:rsidR="005E5B15" w:rsidRPr="00CD46CC" w:rsidRDefault="005E5B15" w:rsidP="005E5B15">
            <w:pPr>
              <w:spacing w:after="0" w:line="240" w:lineRule="auto"/>
              <w:ind w:right="-2"/>
              <w:rPr>
                <w:rFonts w:cs="Arial"/>
                <w:color w:val="000000"/>
                <w:sz w:val="20"/>
                <w:szCs w:val="20"/>
              </w:rPr>
            </w:pPr>
            <w:r w:rsidRPr="00CD46CC">
              <w:rPr>
                <w:rFonts w:eastAsia="Times New Roman" w:cs="Arial"/>
                <w:b/>
                <w:bCs/>
                <w:color w:val="000000"/>
                <w:sz w:val="20"/>
                <w:szCs w:val="20"/>
                <w:lang w:eastAsia="en-AU"/>
              </w:rPr>
              <w:t>Water Consumption*</w:t>
            </w:r>
            <w:r w:rsidRPr="00CD46CC">
              <w:rPr>
                <w:rFonts w:cs="Arial"/>
                <w:color w:val="000000"/>
                <w:sz w:val="20"/>
                <w:szCs w:val="20"/>
              </w:rPr>
              <w:t> </w:t>
            </w:r>
          </w:p>
        </w:tc>
      </w:tr>
      <w:tr w:rsidR="005E5B15" w:rsidTr="00E26D3F">
        <w:trPr>
          <w:trHeight w:val="276"/>
        </w:trPr>
        <w:tc>
          <w:tcPr>
            <w:tcW w:w="1449" w:type="pct"/>
            <w:tcBorders>
              <w:top w:val="single" w:sz="2"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metered potable office water use</w:t>
            </w:r>
          </w:p>
        </w:tc>
        <w:tc>
          <w:tcPr>
            <w:tcW w:w="792" w:type="pct"/>
            <w:tcBorders>
              <w:top w:val="single" w:sz="2"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kL</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2 043</w:t>
            </w:r>
          </w:p>
        </w:tc>
        <w:tc>
          <w:tcPr>
            <w:tcW w:w="767" w:type="pct"/>
            <w:tcBorders>
              <w:top w:val="single" w:sz="2"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2,489</w:t>
            </w:r>
          </w:p>
        </w:tc>
        <w:tc>
          <w:tcPr>
            <w:tcW w:w="755" w:type="pct"/>
            <w:tcBorders>
              <w:top w:val="single" w:sz="2"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4,009</w:t>
            </w:r>
          </w:p>
        </w:tc>
        <w:tc>
          <w:tcPr>
            <w:tcW w:w="546" w:type="pct"/>
            <w:tcBorders>
              <w:top w:val="single" w:sz="2" w:space="0" w:color="auto"/>
              <w:left w:val="single" w:sz="4" w:space="0" w:color="auto"/>
              <w:bottom w:val="single" w:sz="4" w:space="0" w:color="auto"/>
              <w:right w:val="single" w:sz="2" w:space="0" w:color="auto"/>
            </w:tcBorders>
            <w:hideMark/>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 xml:space="preserve">  61.1%</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metered potable office water use per person</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kL/FTE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7.8</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10.4</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16.4</w:t>
            </w:r>
          </w:p>
        </w:tc>
        <w:tc>
          <w:tcPr>
            <w:tcW w:w="546" w:type="pct"/>
            <w:tcBorders>
              <w:top w:val="nil"/>
              <w:left w:val="single" w:sz="4" w:space="0" w:color="auto"/>
              <w:bottom w:val="single" w:sz="4" w:space="0" w:color="auto"/>
              <w:right w:val="single" w:sz="2" w:space="0" w:color="auto"/>
            </w:tcBorders>
            <w:hideMark/>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57.7</w:t>
            </w:r>
            <w:r w:rsidR="005E5B15" w:rsidRPr="00CD46CC">
              <w:rPr>
                <w:rFonts w:cs="Arial"/>
                <w:color w:val="000000"/>
                <w:sz w:val="20"/>
                <w:szCs w:val="20"/>
              </w:rPr>
              <w:t>%</w:t>
            </w:r>
          </w:p>
        </w:tc>
      </w:tr>
      <w:tr w:rsidR="005E5B15" w:rsidTr="00E26D3F">
        <w:trPr>
          <w:trHeight w:val="324"/>
        </w:trPr>
        <w:tc>
          <w:tcPr>
            <w:tcW w:w="1449" w:type="pct"/>
            <w:tcBorders>
              <w:top w:val="nil"/>
              <w:left w:val="single" w:sz="2" w:space="0" w:color="auto"/>
              <w:bottom w:val="single" w:sz="2"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metered potable office water use by area</w:t>
            </w:r>
          </w:p>
        </w:tc>
        <w:tc>
          <w:tcPr>
            <w:tcW w:w="792" w:type="pct"/>
            <w:tcBorders>
              <w:top w:val="nil"/>
              <w:left w:val="nil"/>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kL/m</w:t>
            </w:r>
            <w:r>
              <w:rPr>
                <w:rFonts w:eastAsia="Times New Roman" w:cs="Arial"/>
                <w:color w:val="000000"/>
                <w:sz w:val="20"/>
                <w:szCs w:val="20"/>
                <w:vertAlign w:val="superscript"/>
                <w:lang w:eastAsia="en-AU"/>
              </w:rPr>
              <w:t>2</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0.24</w:t>
            </w:r>
          </w:p>
        </w:tc>
        <w:tc>
          <w:tcPr>
            <w:tcW w:w="767" w:type="pct"/>
            <w:tcBorders>
              <w:top w:val="nil"/>
              <w:left w:val="single" w:sz="4" w:space="0" w:color="auto"/>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0.29</w:t>
            </w:r>
          </w:p>
        </w:tc>
        <w:tc>
          <w:tcPr>
            <w:tcW w:w="755" w:type="pct"/>
            <w:tcBorders>
              <w:top w:val="single" w:sz="4" w:space="0" w:color="auto"/>
              <w:left w:val="nil"/>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0.46</w:t>
            </w:r>
          </w:p>
        </w:tc>
        <w:tc>
          <w:tcPr>
            <w:tcW w:w="546" w:type="pct"/>
            <w:tcBorders>
              <w:top w:val="nil"/>
              <w:left w:val="single" w:sz="4" w:space="0" w:color="auto"/>
              <w:bottom w:val="single" w:sz="2" w:space="0" w:color="auto"/>
              <w:right w:val="single" w:sz="2" w:space="0" w:color="auto"/>
            </w:tcBorders>
            <w:hideMark/>
          </w:tcPr>
          <w:p w:rsidR="005E5B15" w:rsidRPr="00CD46CC" w:rsidRDefault="005E5B15" w:rsidP="00FF2514">
            <w:pPr>
              <w:spacing w:after="0" w:line="240" w:lineRule="auto"/>
              <w:ind w:right="-2"/>
              <w:jc w:val="right"/>
              <w:rPr>
                <w:rFonts w:cs="Arial"/>
                <w:color w:val="000000"/>
                <w:sz w:val="20"/>
                <w:szCs w:val="20"/>
              </w:rPr>
            </w:pPr>
            <w:r w:rsidRPr="00CD46CC">
              <w:rPr>
                <w:rFonts w:cs="Arial"/>
                <w:color w:val="000000"/>
                <w:sz w:val="20"/>
                <w:szCs w:val="20"/>
              </w:rPr>
              <w:t xml:space="preserve">  </w:t>
            </w:r>
            <w:r w:rsidR="00FF2514" w:rsidRPr="00CD46CC">
              <w:rPr>
                <w:rFonts w:cs="Arial"/>
                <w:color w:val="000000"/>
                <w:sz w:val="20"/>
                <w:szCs w:val="20"/>
              </w:rPr>
              <w:t>58.6</w:t>
            </w:r>
            <w:r w:rsidRPr="00CD46CC">
              <w:rPr>
                <w:rFonts w:cs="Arial"/>
                <w:color w:val="000000"/>
                <w:sz w:val="20"/>
                <w:szCs w:val="20"/>
              </w:rPr>
              <w:t>%</w:t>
            </w:r>
          </w:p>
        </w:tc>
      </w:tr>
    </w:tbl>
    <w:p w:rsidR="00E26D3F" w:rsidRDefault="00E26D3F">
      <w:r>
        <w:br w:type="page"/>
      </w:r>
    </w:p>
    <w:tbl>
      <w:tblPr>
        <w:tblW w:w="5018" w:type="pct"/>
        <w:tblInd w:w="-34" w:type="dxa"/>
        <w:tblLook w:val="04A0" w:firstRow="1" w:lastRow="0" w:firstColumn="1" w:lastColumn="0" w:noHBand="0" w:noVBand="1"/>
      </w:tblPr>
      <w:tblGrid>
        <w:gridCol w:w="2678"/>
        <w:gridCol w:w="1463"/>
        <w:gridCol w:w="1277"/>
        <w:gridCol w:w="1417"/>
        <w:gridCol w:w="1395"/>
        <w:gridCol w:w="1009"/>
      </w:tblGrid>
      <w:tr w:rsidR="005E5B15" w:rsidTr="00E26D3F">
        <w:trPr>
          <w:trHeight w:val="60"/>
        </w:trPr>
        <w:tc>
          <w:tcPr>
            <w:tcW w:w="5000" w:type="pct"/>
            <w:gridSpan w:val="6"/>
            <w:tcBorders>
              <w:top w:val="single" w:sz="2" w:space="0" w:color="auto"/>
              <w:left w:val="single" w:sz="2" w:space="0" w:color="auto"/>
              <w:bottom w:val="single" w:sz="2" w:space="0" w:color="auto"/>
              <w:right w:val="single" w:sz="2" w:space="0" w:color="auto"/>
            </w:tcBorders>
            <w:hideMark/>
          </w:tcPr>
          <w:p w:rsidR="005E5B15" w:rsidRPr="00CD46CC" w:rsidRDefault="005E5B15" w:rsidP="005E5B15">
            <w:pPr>
              <w:spacing w:after="0" w:line="240" w:lineRule="auto"/>
              <w:ind w:right="-2"/>
              <w:rPr>
                <w:rFonts w:cs="Arial"/>
                <w:color w:val="000000"/>
                <w:sz w:val="20"/>
                <w:szCs w:val="20"/>
              </w:rPr>
            </w:pPr>
            <w:r w:rsidRPr="00CD46CC">
              <w:rPr>
                <w:rFonts w:eastAsia="Times New Roman" w:cs="Arial"/>
                <w:b/>
                <w:bCs/>
                <w:color w:val="000000"/>
                <w:sz w:val="20"/>
                <w:szCs w:val="20"/>
                <w:lang w:eastAsia="en-AU"/>
              </w:rPr>
              <w:lastRenderedPageBreak/>
              <w:t>Resource Efficiency and Waste</w:t>
            </w:r>
            <w:r w:rsidRPr="00CD46CC">
              <w:rPr>
                <w:rFonts w:cs="Arial"/>
                <w:color w:val="000000"/>
                <w:sz w:val="20"/>
                <w:szCs w:val="20"/>
              </w:rPr>
              <w:t> </w:t>
            </w:r>
          </w:p>
        </w:tc>
      </w:tr>
      <w:tr w:rsidR="005E5B15" w:rsidTr="00E26D3F">
        <w:trPr>
          <w:trHeight w:val="306"/>
        </w:trPr>
        <w:tc>
          <w:tcPr>
            <w:tcW w:w="1449" w:type="pct"/>
            <w:tcBorders>
              <w:top w:val="single" w:sz="2" w:space="0" w:color="auto"/>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Internal copy paper per person</w:t>
            </w:r>
          </w:p>
        </w:tc>
        <w:tc>
          <w:tcPr>
            <w:tcW w:w="792" w:type="pct"/>
            <w:tcBorders>
              <w:top w:val="single" w:sz="2" w:space="0" w:color="auto"/>
              <w:left w:val="nil"/>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reams/FTE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.65</w:t>
            </w:r>
          </w:p>
        </w:tc>
        <w:tc>
          <w:tcPr>
            <w:tcW w:w="767" w:type="pct"/>
            <w:tcBorders>
              <w:top w:val="single" w:sz="2"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.67</w:t>
            </w:r>
          </w:p>
        </w:tc>
        <w:tc>
          <w:tcPr>
            <w:tcW w:w="755" w:type="pct"/>
            <w:tcBorders>
              <w:top w:val="single" w:sz="2"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.72</w:t>
            </w:r>
          </w:p>
        </w:tc>
        <w:tc>
          <w:tcPr>
            <w:tcW w:w="546" w:type="pct"/>
            <w:tcBorders>
              <w:top w:val="single" w:sz="2" w:space="0" w:color="auto"/>
              <w:left w:val="single" w:sz="4" w:space="0" w:color="auto"/>
              <w:bottom w:val="single" w:sz="4" w:space="0" w:color="auto"/>
              <w:right w:val="single" w:sz="2" w:space="0" w:color="auto"/>
            </w:tcBorders>
            <w:hideMark/>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7.4</w:t>
            </w:r>
            <w:r w:rsidR="005E5B15" w:rsidRPr="00CD46CC">
              <w:rPr>
                <w:rFonts w:cs="Arial"/>
                <w:color w:val="000000"/>
                <w:sz w:val="20"/>
                <w:szCs w:val="20"/>
              </w:rPr>
              <w:t>%</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Percentage of paper purchased with post-consumer recycled content</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100%</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100%</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100%</w:t>
            </w:r>
          </w:p>
        </w:tc>
        <w:tc>
          <w:tcPr>
            <w:tcW w:w="546" w:type="pct"/>
            <w:tcBorders>
              <w:top w:val="nil"/>
              <w:left w:val="single" w:sz="4" w:space="0" w:color="auto"/>
              <w:bottom w:val="single" w:sz="4" w:space="0" w:color="auto"/>
              <w:right w:val="single" w:sz="2" w:space="0" w:color="auto"/>
            </w:tcBorders>
            <w:hideMark/>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0%</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Office paper recycled</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 xml:space="preserve"> 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7.2</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6.9</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10.0</w:t>
            </w:r>
          </w:p>
        </w:tc>
        <w:tc>
          <w:tcPr>
            <w:tcW w:w="546" w:type="pct"/>
            <w:tcBorders>
              <w:top w:val="nil"/>
              <w:left w:val="single" w:sz="4" w:space="0" w:color="auto"/>
              <w:bottom w:val="single" w:sz="4" w:space="0" w:color="auto"/>
              <w:right w:val="single" w:sz="2" w:space="0" w:color="auto"/>
            </w:tcBorders>
            <w:hideMark/>
          </w:tcPr>
          <w:p w:rsidR="005E5B15" w:rsidRPr="00CD46CC" w:rsidRDefault="005E5B15" w:rsidP="00FF2514">
            <w:pPr>
              <w:spacing w:after="0" w:line="240" w:lineRule="auto"/>
              <w:ind w:right="-2"/>
              <w:jc w:val="right"/>
              <w:rPr>
                <w:rFonts w:cs="Arial"/>
                <w:color w:val="000000"/>
                <w:sz w:val="20"/>
                <w:szCs w:val="20"/>
              </w:rPr>
            </w:pPr>
            <w:r w:rsidRPr="00CD46CC">
              <w:rPr>
                <w:rFonts w:cs="Arial"/>
                <w:color w:val="000000"/>
                <w:sz w:val="20"/>
                <w:szCs w:val="20"/>
              </w:rPr>
              <w:t>4</w:t>
            </w:r>
            <w:r w:rsidR="00FF2514" w:rsidRPr="00CD46CC">
              <w:rPr>
                <w:rFonts w:cs="Arial"/>
                <w:color w:val="000000"/>
                <w:sz w:val="20"/>
                <w:szCs w:val="20"/>
              </w:rPr>
              <w:t>5.0</w:t>
            </w:r>
            <w:r w:rsidRPr="00CD46CC">
              <w:rPr>
                <w:rFonts w:cs="Arial"/>
                <w:color w:val="000000"/>
                <w:sz w:val="20"/>
                <w:szCs w:val="20"/>
              </w:rPr>
              <w:t>%</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Other waste sent to recycling facilities (excluding office paper):</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Co-mingled office waste</w:t>
            </w:r>
          </w:p>
          <w:p w:rsidR="005E5B15" w:rsidRDefault="005E5B15" w:rsidP="005E5B15">
            <w:pPr>
              <w:numPr>
                <w:ilvl w:val="0"/>
                <w:numId w:val="10"/>
              </w:numPr>
              <w:spacing w:after="120" w:line="240" w:lineRule="auto"/>
              <w:ind w:left="0" w:right="-2"/>
              <w:contextualSpacing/>
              <w:rPr>
                <w:rFonts w:eastAsia="Times New Roman" w:cs="Arial"/>
                <w:color w:val="000000"/>
                <w:sz w:val="20"/>
                <w:szCs w:val="20"/>
                <w:lang w:eastAsia="en-AU"/>
              </w:rPr>
            </w:pPr>
            <w:r>
              <w:rPr>
                <w:rFonts w:eastAsia="Times New Roman" w:cs="Arial"/>
                <w:color w:val="000000"/>
                <w:sz w:val="20"/>
                <w:szCs w:val="20"/>
                <w:lang w:eastAsia="en-AU"/>
              </w:rPr>
              <w:t>Organic waste</w:t>
            </w:r>
          </w:p>
        </w:tc>
        <w:tc>
          <w:tcPr>
            <w:tcW w:w="792" w:type="pct"/>
            <w:tcBorders>
              <w:top w:val="nil"/>
              <w:left w:val="nil"/>
              <w:bottom w:val="single" w:sz="4" w:space="0" w:color="auto"/>
              <w:right w:val="single" w:sz="4" w:space="0" w:color="auto"/>
            </w:tcBorders>
          </w:tcPr>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p w:rsidR="005E5B15" w:rsidRDefault="005E5B15" w:rsidP="005E5B15">
            <w:pPr>
              <w:spacing w:after="0" w:line="240" w:lineRule="auto"/>
              <w:ind w:right="-2"/>
              <w:jc w:val="center"/>
              <w:rPr>
                <w:rFonts w:eastAsia="Times New Roman" w:cs="Arial"/>
                <w:color w:val="000000"/>
                <w:sz w:val="20"/>
                <w:szCs w:val="20"/>
                <w:lang w:eastAsia="en-AU"/>
              </w:rPr>
            </w:pPr>
          </w:p>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77.1</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107.9</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134.7</w:t>
            </w:r>
          </w:p>
          <w:p w:rsidR="005E5B15" w:rsidRDefault="005E5B15" w:rsidP="005E5B15">
            <w:pPr>
              <w:spacing w:after="0" w:line="240" w:lineRule="auto"/>
              <w:ind w:right="-2"/>
              <w:jc w:val="right"/>
              <w:rPr>
                <w:rFonts w:cs="Arial"/>
                <w:color w:val="000000"/>
                <w:sz w:val="20"/>
                <w:szCs w:val="20"/>
              </w:rPr>
            </w:pPr>
          </w:p>
          <w:p w:rsidR="005E5B15" w:rsidRDefault="005E5B15" w:rsidP="005E5B15">
            <w:pPr>
              <w:spacing w:after="0" w:line="240" w:lineRule="auto"/>
              <w:ind w:right="-2"/>
              <w:jc w:val="right"/>
              <w:rPr>
                <w:rFonts w:cs="Arial"/>
                <w:color w:val="000000"/>
                <w:sz w:val="20"/>
                <w:szCs w:val="20"/>
              </w:rPr>
            </w:pPr>
            <w:r>
              <w:rPr>
                <w:rFonts w:cs="Arial"/>
                <w:color w:val="000000"/>
                <w:sz w:val="20"/>
                <w:szCs w:val="20"/>
              </w:rPr>
              <w:t>0</w:t>
            </w:r>
          </w:p>
        </w:tc>
        <w:tc>
          <w:tcPr>
            <w:tcW w:w="546" w:type="pct"/>
            <w:tcBorders>
              <w:top w:val="nil"/>
              <w:left w:val="single" w:sz="4" w:space="0" w:color="auto"/>
              <w:bottom w:val="single" w:sz="4" w:space="0" w:color="auto"/>
              <w:right w:val="single" w:sz="2" w:space="0" w:color="auto"/>
            </w:tcBorders>
          </w:tcPr>
          <w:p w:rsidR="005E5B15" w:rsidRPr="00CD46CC" w:rsidRDefault="005E5B15" w:rsidP="005E5B15">
            <w:pPr>
              <w:spacing w:after="0" w:line="240" w:lineRule="auto"/>
              <w:ind w:right="-2"/>
              <w:jc w:val="right"/>
              <w:rPr>
                <w:rFonts w:cs="Arial"/>
                <w:color w:val="000000"/>
                <w:sz w:val="20"/>
                <w:szCs w:val="20"/>
              </w:rPr>
            </w:pPr>
          </w:p>
          <w:p w:rsidR="005E5B15" w:rsidRPr="00CD46CC" w:rsidRDefault="005E5B15" w:rsidP="005E5B15">
            <w:pPr>
              <w:spacing w:after="0" w:line="240" w:lineRule="auto"/>
              <w:ind w:right="-2"/>
              <w:jc w:val="right"/>
              <w:rPr>
                <w:rFonts w:cs="Arial"/>
                <w:color w:val="000000"/>
                <w:sz w:val="20"/>
                <w:szCs w:val="20"/>
              </w:rPr>
            </w:pPr>
          </w:p>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24.8</w:t>
            </w:r>
            <w:r w:rsidR="005E5B15" w:rsidRPr="00CD46CC">
              <w:rPr>
                <w:rFonts w:cs="Arial"/>
                <w:color w:val="000000"/>
                <w:sz w:val="20"/>
                <w:szCs w:val="20"/>
              </w:rPr>
              <w:t>%</w:t>
            </w:r>
          </w:p>
          <w:p w:rsidR="005E5B15" w:rsidRPr="00CD46CC" w:rsidRDefault="005E5B15" w:rsidP="005E5B15">
            <w:pPr>
              <w:spacing w:after="0" w:line="240" w:lineRule="auto"/>
              <w:ind w:right="-2"/>
              <w:jc w:val="right"/>
              <w:rPr>
                <w:rFonts w:cs="Arial"/>
                <w:color w:val="000000"/>
                <w:sz w:val="20"/>
                <w:szCs w:val="20"/>
              </w:rPr>
            </w:pPr>
          </w:p>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0% </w:t>
            </w:r>
          </w:p>
        </w:tc>
      </w:tr>
      <w:tr w:rsidR="005E5B15" w:rsidTr="00E26D3F">
        <w:trPr>
          <w:trHeight w:val="119"/>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Waste sent to landfill</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117.1</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152.4</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168.9</w:t>
            </w:r>
          </w:p>
        </w:tc>
        <w:tc>
          <w:tcPr>
            <w:tcW w:w="546" w:type="pct"/>
            <w:tcBorders>
              <w:top w:val="nil"/>
              <w:left w:val="single" w:sz="4" w:space="0" w:color="auto"/>
              <w:bottom w:val="single" w:sz="4" w:space="0" w:color="auto"/>
              <w:right w:val="single" w:sz="2" w:space="0" w:color="auto"/>
            </w:tcBorders>
            <w:hideMark/>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10.8%</w:t>
            </w:r>
          </w:p>
        </w:tc>
      </w:tr>
      <w:tr w:rsidR="005E5B15" w:rsidTr="00E26D3F">
        <w:trPr>
          <w:trHeight w:val="276"/>
        </w:trPr>
        <w:tc>
          <w:tcPr>
            <w:tcW w:w="1449" w:type="pct"/>
            <w:tcBorders>
              <w:top w:val="nil"/>
              <w:left w:val="single" w:sz="2"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waste production</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233</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267.2</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303.6</w:t>
            </w:r>
          </w:p>
        </w:tc>
        <w:tc>
          <w:tcPr>
            <w:tcW w:w="546" w:type="pct"/>
            <w:tcBorders>
              <w:top w:val="nil"/>
              <w:left w:val="single" w:sz="4" w:space="0" w:color="auto"/>
              <w:bottom w:val="single" w:sz="4" w:space="0" w:color="auto"/>
              <w:right w:val="single" w:sz="2" w:space="0" w:color="auto"/>
            </w:tcBorders>
            <w:hideMark/>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13.6%</w:t>
            </w:r>
          </w:p>
        </w:tc>
      </w:tr>
      <w:tr w:rsidR="005E5B15" w:rsidTr="00E26D3F">
        <w:trPr>
          <w:trHeight w:val="276"/>
        </w:trPr>
        <w:tc>
          <w:tcPr>
            <w:tcW w:w="1449" w:type="pct"/>
            <w:tcBorders>
              <w:top w:val="single" w:sz="4" w:space="0" w:color="auto"/>
              <w:left w:val="single" w:sz="2" w:space="0" w:color="auto"/>
              <w:bottom w:val="nil"/>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waste sent to landfill per person</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kg/FTE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435.3</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624.6</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675.5</w:t>
            </w:r>
          </w:p>
        </w:tc>
        <w:tc>
          <w:tcPr>
            <w:tcW w:w="546" w:type="pct"/>
            <w:tcBorders>
              <w:top w:val="nil"/>
              <w:left w:val="single" w:sz="4" w:space="0" w:color="auto"/>
              <w:bottom w:val="single" w:sz="4" w:space="0" w:color="auto"/>
              <w:right w:val="single" w:sz="2" w:space="0" w:color="auto"/>
            </w:tcBorders>
            <w:hideMark/>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8.1%</w:t>
            </w:r>
          </w:p>
        </w:tc>
      </w:tr>
      <w:tr w:rsidR="005E5B15" w:rsidTr="00E26D3F">
        <w:trPr>
          <w:trHeight w:val="119"/>
        </w:trPr>
        <w:tc>
          <w:tcPr>
            <w:tcW w:w="1449" w:type="pct"/>
            <w:tcBorders>
              <w:top w:val="single" w:sz="4" w:space="0" w:color="auto"/>
              <w:left w:val="single" w:sz="2" w:space="0" w:color="auto"/>
              <w:bottom w:val="nil"/>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waste recycled per person</w:t>
            </w:r>
          </w:p>
        </w:tc>
        <w:tc>
          <w:tcPr>
            <w:tcW w:w="792"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kg/FTE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286.6</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442.4</w:t>
            </w:r>
          </w:p>
        </w:tc>
        <w:tc>
          <w:tcPr>
            <w:tcW w:w="755"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538.9</w:t>
            </w:r>
          </w:p>
        </w:tc>
        <w:tc>
          <w:tcPr>
            <w:tcW w:w="546" w:type="pct"/>
            <w:tcBorders>
              <w:top w:val="nil"/>
              <w:left w:val="single" w:sz="4" w:space="0" w:color="auto"/>
              <w:bottom w:val="single" w:sz="4" w:space="0" w:color="auto"/>
              <w:right w:val="single" w:sz="2" w:space="0" w:color="auto"/>
            </w:tcBorders>
            <w:hideMark/>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21.8%</w:t>
            </w:r>
          </w:p>
        </w:tc>
      </w:tr>
      <w:tr w:rsidR="005E5B15" w:rsidTr="00E26D3F">
        <w:trPr>
          <w:trHeight w:val="276"/>
        </w:trPr>
        <w:tc>
          <w:tcPr>
            <w:tcW w:w="1449" w:type="pct"/>
            <w:tcBorders>
              <w:top w:val="single" w:sz="4"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Proportion of waste diverted from landfill</w:t>
            </w:r>
          </w:p>
        </w:tc>
        <w:tc>
          <w:tcPr>
            <w:tcW w:w="792" w:type="pct"/>
            <w:tcBorders>
              <w:top w:val="nil"/>
              <w:left w:val="nil"/>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 xml:space="preserve">41% </w:t>
            </w:r>
          </w:p>
        </w:tc>
        <w:tc>
          <w:tcPr>
            <w:tcW w:w="767" w:type="pct"/>
            <w:tcBorders>
              <w:top w:val="nil"/>
              <w:left w:val="single" w:sz="4" w:space="0" w:color="auto"/>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43%</w:t>
            </w:r>
          </w:p>
        </w:tc>
        <w:tc>
          <w:tcPr>
            <w:tcW w:w="755" w:type="pct"/>
            <w:tcBorders>
              <w:top w:val="single" w:sz="4" w:space="0" w:color="auto"/>
              <w:left w:val="nil"/>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44%</w:t>
            </w:r>
          </w:p>
        </w:tc>
        <w:tc>
          <w:tcPr>
            <w:tcW w:w="546" w:type="pct"/>
            <w:tcBorders>
              <w:top w:val="nil"/>
              <w:left w:val="single" w:sz="4" w:space="0" w:color="auto"/>
              <w:bottom w:val="single" w:sz="2" w:space="0" w:color="auto"/>
              <w:right w:val="single" w:sz="2" w:space="0" w:color="auto"/>
            </w:tcBorders>
            <w:hideMark/>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2.3</w:t>
            </w:r>
            <w:r w:rsidR="005E5B15" w:rsidRPr="00CD46CC">
              <w:rPr>
                <w:rFonts w:cs="Arial"/>
                <w:color w:val="000000"/>
                <w:sz w:val="20"/>
                <w:szCs w:val="20"/>
              </w:rPr>
              <w:t>%</w:t>
            </w:r>
          </w:p>
        </w:tc>
      </w:tr>
    </w:tbl>
    <w:p w:rsidR="005E5B15" w:rsidRPr="00CB0AE9" w:rsidRDefault="005E5B15" w:rsidP="005E5B15">
      <w:pPr>
        <w:spacing w:after="0" w:line="240" w:lineRule="auto"/>
        <w:ind w:right="-2"/>
        <w:rPr>
          <w:rFonts w:cs="Arial"/>
          <w:sz w:val="20"/>
          <w:szCs w:val="20"/>
        </w:rPr>
      </w:pPr>
      <w:r>
        <w:rPr>
          <w:rFonts w:cs="Arial"/>
          <w:sz w:val="20"/>
          <w:szCs w:val="20"/>
        </w:rPr>
        <w:t xml:space="preserve">* Water metering issues reported in 2014-15 have been resolved, pre 2015-16 values are not considered reliable.  </w:t>
      </w:r>
    </w:p>
    <w:p w:rsidR="005E5B15" w:rsidRPr="004155E9" w:rsidRDefault="005E5B15" w:rsidP="005E5B15">
      <w:pPr>
        <w:spacing w:after="0" w:line="240" w:lineRule="auto"/>
        <w:ind w:right="-2"/>
        <w:rPr>
          <w:rFonts w:cs="Arial"/>
          <w:sz w:val="20"/>
          <w:szCs w:val="20"/>
        </w:rPr>
      </w:pPr>
    </w:p>
    <w:p w:rsidR="005E5B15" w:rsidRPr="004155E9" w:rsidRDefault="005E5B15" w:rsidP="005E5B15">
      <w:pPr>
        <w:spacing w:after="0" w:line="240" w:lineRule="auto"/>
        <w:ind w:left="-142" w:right="-2"/>
        <w:rPr>
          <w:rFonts w:cs="Arial"/>
          <w:sz w:val="20"/>
          <w:szCs w:val="20"/>
          <w:u w:val="single"/>
        </w:rPr>
      </w:pPr>
      <w:r w:rsidRPr="004155E9">
        <w:rPr>
          <w:rFonts w:cs="Arial"/>
          <w:sz w:val="20"/>
          <w:szCs w:val="20"/>
          <w:u w:val="single"/>
        </w:rPr>
        <w:t xml:space="preserve">Table </w:t>
      </w:r>
      <w:r w:rsidR="00B80AEB">
        <w:rPr>
          <w:rFonts w:cs="Arial"/>
          <w:sz w:val="20"/>
          <w:szCs w:val="20"/>
          <w:u w:val="single"/>
        </w:rPr>
        <w:t>3</w:t>
      </w:r>
      <w:r w:rsidRPr="004155E9">
        <w:rPr>
          <w:rFonts w:cs="Arial"/>
          <w:sz w:val="20"/>
          <w:szCs w:val="20"/>
          <w:u w:val="single"/>
        </w:rPr>
        <w:t xml:space="preserve"> Environmental indicators—Antarctic and Macquarie Island operations (four stations)</w:t>
      </w:r>
      <w:r w:rsidRPr="004155E9">
        <w:rPr>
          <w:rFonts w:cs="Arial"/>
          <w:sz w:val="20"/>
          <w:szCs w:val="20"/>
          <w:u w:val="single"/>
        </w:rPr>
        <w:br/>
      </w:r>
    </w:p>
    <w:tbl>
      <w:tblPr>
        <w:tblW w:w="5018" w:type="pct"/>
        <w:tblInd w:w="-34" w:type="dxa"/>
        <w:tblLayout w:type="fixed"/>
        <w:tblLook w:val="04A0" w:firstRow="1" w:lastRow="0" w:firstColumn="1" w:lastColumn="0" w:noHBand="0" w:noVBand="1"/>
      </w:tblPr>
      <w:tblGrid>
        <w:gridCol w:w="2764"/>
        <w:gridCol w:w="1376"/>
        <w:gridCol w:w="1276"/>
        <w:gridCol w:w="1417"/>
        <w:gridCol w:w="1418"/>
        <w:gridCol w:w="984"/>
      </w:tblGrid>
      <w:tr w:rsidR="005E5B15" w:rsidTr="006D1816">
        <w:trPr>
          <w:trHeight w:val="150"/>
        </w:trPr>
        <w:tc>
          <w:tcPr>
            <w:tcW w:w="1496"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Indicator</w:t>
            </w:r>
          </w:p>
        </w:tc>
        <w:tc>
          <w:tcPr>
            <w:tcW w:w="745"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rPr>
                <w:rFonts w:eastAsia="Times New Roman" w:cs="Arial"/>
                <w:b/>
                <w:bCs/>
                <w:color w:val="000000"/>
                <w:sz w:val="20"/>
                <w:szCs w:val="20"/>
                <w:lang w:eastAsia="en-AU"/>
              </w:rPr>
            </w:pPr>
            <w:r>
              <w:rPr>
                <w:rFonts w:eastAsia="Times New Roman" w:cs="Arial"/>
                <w:b/>
                <w:bCs/>
                <w:color w:val="000000"/>
                <w:sz w:val="20"/>
                <w:szCs w:val="20"/>
                <w:lang w:eastAsia="en-AU"/>
              </w:rPr>
              <w:t>Units</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2013-14 Result</w:t>
            </w:r>
          </w:p>
        </w:tc>
        <w:tc>
          <w:tcPr>
            <w:tcW w:w="767"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2014-15 Result</w:t>
            </w:r>
          </w:p>
        </w:tc>
        <w:tc>
          <w:tcPr>
            <w:tcW w:w="768"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2015-16 Result</w:t>
            </w:r>
          </w:p>
        </w:tc>
        <w:tc>
          <w:tcPr>
            <w:tcW w:w="533"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 Change</w:t>
            </w:r>
          </w:p>
        </w:tc>
      </w:tr>
      <w:tr w:rsidR="005E5B15" w:rsidTr="005E5B15">
        <w:trPr>
          <w:trHeight w:val="55"/>
        </w:trPr>
        <w:tc>
          <w:tcPr>
            <w:tcW w:w="5000" w:type="pct"/>
            <w:gridSpan w:val="6"/>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b/>
                <w:bCs/>
                <w:color w:val="000000"/>
                <w:sz w:val="20"/>
                <w:szCs w:val="20"/>
                <w:lang w:eastAsia="en-AU"/>
              </w:rPr>
              <w:t>Energy Use</w:t>
            </w:r>
            <w:r>
              <w:rPr>
                <w:rFonts w:eastAsia="Times New Roman" w:cs="Arial"/>
                <w:color w:val="000000"/>
                <w:sz w:val="20"/>
                <w:szCs w:val="20"/>
                <w:lang w:eastAsia="en-AU"/>
              </w:rPr>
              <w:t> </w:t>
            </w:r>
          </w:p>
        </w:tc>
      </w:tr>
      <w:tr w:rsidR="005E5B15" w:rsidTr="006D1816">
        <w:trPr>
          <w:trHeight w:val="100"/>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Electricity generated by diesel</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18,150,142</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17,543,736</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18,518,764</w:t>
            </w:r>
          </w:p>
        </w:tc>
        <w:tc>
          <w:tcPr>
            <w:tcW w:w="533"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5.6%</w:t>
            </w:r>
          </w:p>
        </w:tc>
      </w:tr>
      <w:tr w:rsidR="005E5B15" w:rsidTr="006D1816">
        <w:trPr>
          <w:trHeight w:val="50"/>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Renewable energy generated</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MJ</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6,131,902</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6,316,776</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5,438,271</w:t>
            </w:r>
          </w:p>
        </w:tc>
        <w:tc>
          <w:tcPr>
            <w:tcW w:w="533" w:type="pct"/>
            <w:tcBorders>
              <w:top w:val="nil"/>
              <w:left w:val="single" w:sz="4" w:space="0" w:color="auto"/>
              <w:bottom w:val="single" w:sz="4" w:space="0" w:color="auto"/>
              <w:right w:val="single" w:sz="4" w:space="0" w:color="auto"/>
            </w:tcBorders>
          </w:tcPr>
          <w:p w:rsidR="005E5B15" w:rsidRPr="00CD46CC" w:rsidRDefault="005E5B15" w:rsidP="00FF2514">
            <w:pPr>
              <w:spacing w:after="0" w:line="240" w:lineRule="auto"/>
              <w:ind w:right="-2"/>
              <w:jc w:val="right"/>
              <w:rPr>
                <w:rFonts w:cs="Arial"/>
                <w:color w:val="000000"/>
                <w:sz w:val="20"/>
                <w:szCs w:val="20"/>
              </w:rPr>
            </w:pPr>
            <w:r w:rsidRPr="00CD46CC">
              <w:rPr>
                <w:rFonts w:cs="Arial"/>
                <w:color w:val="000000"/>
                <w:sz w:val="20"/>
                <w:szCs w:val="20"/>
              </w:rPr>
              <w:t>-</w:t>
            </w:r>
            <w:r w:rsidR="00FF2514" w:rsidRPr="00CD46CC">
              <w:rPr>
                <w:rFonts w:cs="Arial"/>
                <w:color w:val="000000"/>
                <w:sz w:val="20"/>
                <w:szCs w:val="20"/>
              </w:rPr>
              <w:t>13.9</w:t>
            </w:r>
            <w:r w:rsidRPr="00CD46CC">
              <w:rPr>
                <w:rFonts w:cs="Arial"/>
                <w:color w:val="000000"/>
                <w:sz w:val="20"/>
                <w:szCs w:val="20"/>
              </w:rPr>
              <w:t>%</w:t>
            </w:r>
          </w:p>
        </w:tc>
      </w:tr>
      <w:tr w:rsidR="005E5B15" w:rsidTr="006D1816">
        <w:trPr>
          <w:trHeight w:val="552"/>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Electricity use per person (expeditioners, round trippers, voyage management staff, crew etc.)</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left="-107" w:right="-2"/>
              <w:jc w:val="center"/>
              <w:rPr>
                <w:rFonts w:eastAsia="Times New Roman" w:cs="Arial"/>
                <w:color w:val="000000"/>
                <w:sz w:val="20"/>
                <w:szCs w:val="20"/>
                <w:lang w:eastAsia="en-AU"/>
              </w:rPr>
            </w:pPr>
            <w:r>
              <w:rPr>
                <w:rFonts w:eastAsia="Times New Roman" w:cs="Arial"/>
                <w:color w:val="000000"/>
                <w:sz w:val="20"/>
                <w:szCs w:val="20"/>
                <w:lang w:eastAsia="en-AU"/>
              </w:rPr>
              <w:t>MJ/FTE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186,785</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178,064</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166,368</w:t>
            </w:r>
          </w:p>
        </w:tc>
        <w:tc>
          <w:tcPr>
            <w:tcW w:w="533"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-6.6%</w:t>
            </w:r>
          </w:p>
        </w:tc>
      </w:tr>
      <w:tr w:rsidR="005E5B15" w:rsidTr="00FA6DF8">
        <w:trPr>
          <w:trHeight w:val="552"/>
        </w:trPr>
        <w:tc>
          <w:tcPr>
            <w:tcW w:w="1496"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Operational diesel fuel used (electricity generation, vehicles, plant, incinerators, boilers), Special Antarctic Blend </w:t>
            </w:r>
          </w:p>
        </w:tc>
        <w:tc>
          <w:tcPr>
            <w:tcW w:w="745"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 xml:space="preserve"> L</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2,113,396</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1,952,196</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2,268,650</w:t>
            </w:r>
          </w:p>
        </w:tc>
        <w:tc>
          <w:tcPr>
            <w:tcW w:w="533"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16.2%</w:t>
            </w:r>
          </w:p>
        </w:tc>
      </w:tr>
      <w:tr w:rsidR="005E5B15" w:rsidTr="006D1816">
        <w:trPr>
          <w:trHeight w:val="276"/>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number of operational vehicles</w:t>
            </w:r>
          </w:p>
        </w:tc>
        <w:tc>
          <w:tcPr>
            <w:tcW w:w="745" w:type="pct"/>
            <w:tcBorders>
              <w:top w:val="nil"/>
              <w:left w:val="nil"/>
              <w:bottom w:val="single" w:sz="4" w:space="0" w:color="auto"/>
              <w:right w:val="single" w:sz="4" w:space="0" w:color="auto"/>
            </w:tcBorders>
            <w:hideMark/>
          </w:tcPr>
          <w:p w:rsidR="005E5B15" w:rsidRDefault="005E5B15" w:rsidP="005E5B15">
            <w:pPr>
              <w:rPr>
                <w:rFonts w:eastAsia="Times New Roman" w:cs="Arial"/>
                <w:color w:val="000000"/>
                <w:sz w:val="20"/>
                <w:szCs w:val="20"/>
                <w:lang w:eastAsia="en-AU"/>
              </w:rPr>
            </w:pP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187</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177</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187</w:t>
            </w:r>
          </w:p>
        </w:tc>
        <w:tc>
          <w:tcPr>
            <w:tcW w:w="533"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5.6%</w:t>
            </w:r>
          </w:p>
        </w:tc>
      </w:tr>
      <w:tr w:rsidR="005E5B15" w:rsidTr="006D1816">
        <w:trPr>
          <w:trHeight w:val="125"/>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Marine diesel oil used for shipping</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3,060,798</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2,658,660</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3,337,744</w:t>
            </w:r>
          </w:p>
        </w:tc>
        <w:tc>
          <w:tcPr>
            <w:tcW w:w="533"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25.5%</w:t>
            </w:r>
          </w:p>
        </w:tc>
      </w:tr>
      <w:tr w:rsidR="005E5B15" w:rsidTr="006D1816">
        <w:trPr>
          <w:trHeight w:val="276"/>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Aircraft fuel used (Aviation Turbine Kerosene)</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L</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718,667</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726,756</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1,494,239</w:t>
            </w:r>
          </w:p>
        </w:tc>
        <w:tc>
          <w:tcPr>
            <w:tcW w:w="533"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105.6%</w:t>
            </w:r>
          </w:p>
        </w:tc>
      </w:tr>
      <w:tr w:rsidR="005E5B15" w:rsidTr="005E5B15">
        <w:trPr>
          <w:trHeight w:val="297"/>
        </w:trPr>
        <w:tc>
          <w:tcPr>
            <w:tcW w:w="5000" w:type="pct"/>
            <w:gridSpan w:val="6"/>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rPr>
                <w:rFonts w:eastAsia="Times New Roman" w:cs="Arial"/>
                <w:b/>
                <w:bCs/>
                <w:color w:val="000000"/>
                <w:sz w:val="20"/>
                <w:szCs w:val="20"/>
                <w:lang w:eastAsia="en-AU"/>
              </w:rPr>
            </w:pPr>
            <w:r>
              <w:rPr>
                <w:rFonts w:eastAsia="Times New Roman" w:cs="Arial"/>
                <w:b/>
                <w:bCs/>
                <w:color w:val="000000"/>
                <w:sz w:val="20"/>
                <w:szCs w:val="20"/>
                <w:lang w:eastAsia="en-AU"/>
              </w:rPr>
              <w:t>Greenhouse Gas Emissions</w:t>
            </w:r>
            <w:r>
              <w:rPr>
                <w:rFonts w:cs="Arial"/>
                <w:color w:val="000000"/>
                <w:sz w:val="20"/>
                <w:szCs w:val="20"/>
              </w:rPr>
              <w:t> </w:t>
            </w:r>
          </w:p>
        </w:tc>
      </w:tr>
      <w:tr w:rsidR="005E5B15" w:rsidTr="006D1816">
        <w:trPr>
          <w:trHeight w:val="552"/>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diesel fuel (electricity generation, vehicles, plant, etc.)</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5,670</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5,237</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6,086</w:t>
            </w:r>
          </w:p>
        </w:tc>
        <w:tc>
          <w:tcPr>
            <w:tcW w:w="533"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16.2%</w:t>
            </w:r>
          </w:p>
        </w:tc>
      </w:tr>
      <w:tr w:rsidR="005E5B15" w:rsidTr="00D531F9">
        <w:trPr>
          <w:trHeight w:val="324"/>
        </w:trPr>
        <w:tc>
          <w:tcPr>
            <w:tcW w:w="1496"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shipping</w:t>
            </w:r>
          </w:p>
        </w:tc>
        <w:tc>
          <w:tcPr>
            <w:tcW w:w="745"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8,883</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7,717</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9,689</w:t>
            </w:r>
          </w:p>
        </w:tc>
        <w:tc>
          <w:tcPr>
            <w:tcW w:w="533"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25.5%</w:t>
            </w:r>
          </w:p>
        </w:tc>
      </w:tr>
      <w:tr w:rsidR="005E5B15" w:rsidTr="006D1816">
        <w:trPr>
          <w:trHeight w:val="324"/>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attributed to aircraft</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2,002</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2,003</w:t>
            </w:r>
          </w:p>
        </w:tc>
        <w:tc>
          <w:tcPr>
            <w:tcW w:w="768"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4,119</w:t>
            </w:r>
          </w:p>
        </w:tc>
        <w:tc>
          <w:tcPr>
            <w:tcW w:w="533"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105.6%</w:t>
            </w:r>
          </w:p>
        </w:tc>
      </w:tr>
      <w:tr w:rsidR="005E5B15" w:rsidTr="006D1816">
        <w:trPr>
          <w:trHeight w:val="324"/>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greenhouse gas emissions for Antarctic operations</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16,555</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14,958</w:t>
            </w:r>
          </w:p>
        </w:tc>
        <w:tc>
          <w:tcPr>
            <w:tcW w:w="768"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19,894</w:t>
            </w:r>
          </w:p>
        </w:tc>
        <w:tc>
          <w:tcPr>
            <w:tcW w:w="533"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33%</w:t>
            </w:r>
          </w:p>
        </w:tc>
      </w:tr>
      <w:tr w:rsidR="005E5B15" w:rsidTr="00E26D3F">
        <w:trPr>
          <w:trHeight w:val="324"/>
        </w:trPr>
        <w:tc>
          <w:tcPr>
            <w:tcW w:w="1496" w:type="pct"/>
            <w:tcBorders>
              <w:top w:val="single" w:sz="4"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lastRenderedPageBreak/>
              <w:t>Total greenhouse gas emissions for Antarctic operations per person</w:t>
            </w:r>
          </w:p>
        </w:tc>
        <w:tc>
          <w:tcPr>
            <w:tcW w:w="745" w:type="pct"/>
            <w:tcBorders>
              <w:top w:val="single" w:sz="4"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127</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112</w:t>
            </w:r>
          </w:p>
        </w:tc>
        <w:tc>
          <w:tcPr>
            <w:tcW w:w="768"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138</w:t>
            </w:r>
          </w:p>
        </w:tc>
        <w:tc>
          <w:tcPr>
            <w:tcW w:w="533" w:type="pct"/>
            <w:tcBorders>
              <w:top w:val="single" w:sz="4" w:space="0" w:color="auto"/>
              <w:left w:val="single" w:sz="4" w:space="0" w:color="auto"/>
              <w:bottom w:val="single" w:sz="4" w:space="0" w:color="auto"/>
              <w:right w:val="single" w:sz="4" w:space="0" w:color="auto"/>
            </w:tcBorders>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23.2</w:t>
            </w:r>
            <w:r w:rsidR="005E5B15" w:rsidRPr="00CD46CC">
              <w:rPr>
                <w:rFonts w:cs="Arial"/>
                <w:color w:val="000000"/>
                <w:sz w:val="20"/>
                <w:szCs w:val="20"/>
              </w:rPr>
              <w:t>%</w:t>
            </w:r>
          </w:p>
        </w:tc>
      </w:tr>
      <w:tr w:rsidR="005E5B15" w:rsidTr="006D1816">
        <w:trPr>
          <w:trHeight w:val="324"/>
        </w:trPr>
        <w:tc>
          <w:tcPr>
            <w:tcW w:w="1496" w:type="pct"/>
            <w:tcBorders>
              <w:top w:val="nil"/>
              <w:left w:val="single" w:sz="4" w:space="0" w:color="auto"/>
              <w:bottom w:val="single" w:sz="2"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Greenhouse gas emissions saved through renewable energy generation</w:t>
            </w:r>
          </w:p>
        </w:tc>
        <w:tc>
          <w:tcPr>
            <w:tcW w:w="745" w:type="pct"/>
            <w:tcBorders>
              <w:top w:val="nil"/>
              <w:left w:val="nil"/>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428</w:t>
            </w:r>
          </w:p>
        </w:tc>
        <w:tc>
          <w:tcPr>
            <w:tcW w:w="767" w:type="pct"/>
            <w:tcBorders>
              <w:top w:val="single" w:sz="4" w:space="0" w:color="auto"/>
              <w:left w:val="single" w:sz="4" w:space="0" w:color="auto"/>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441</w:t>
            </w:r>
          </w:p>
        </w:tc>
        <w:tc>
          <w:tcPr>
            <w:tcW w:w="768" w:type="pct"/>
            <w:tcBorders>
              <w:top w:val="single" w:sz="4" w:space="0" w:color="auto"/>
              <w:left w:val="nil"/>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380</w:t>
            </w:r>
          </w:p>
        </w:tc>
        <w:tc>
          <w:tcPr>
            <w:tcW w:w="533" w:type="pct"/>
            <w:tcBorders>
              <w:top w:val="single" w:sz="4" w:space="0" w:color="auto"/>
              <w:left w:val="single" w:sz="4" w:space="0" w:color="auto"/>
              <w:bottom w:val="single" w:sz="2" w:space="0" w:color="auto"/>
              <w:right w:val="single" w:sz="4" w:space="0" w:color="auto"/>
            </w:tcBorders>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-13.8</w:t>
            </w:r>
            <w:r w:rsidR="005E5B15" w:rsidRPr="00CD46CC">
              <w:rPr>
                <w:rFonts w:cs="Arial"/>
                <w:color w:val="000000"/>
                <w:sz w:val="20"/>
                <w:szCs w:val="20"/>
              </w:rPr>
              <w:t>%</w:t>
            </w:r>
          </w:p>
        </w:tc>
      </w:tr>
      <w:tr w:rsidR="005E5B15" w:rsidTr="005E5B15">
        <w:trPr>
          <w:trHeight w:val="276"/>
        </w:trPr>
        <w:tc>
          <w:tcPr>
            <w:tcW w:w="5000" w:type="pct"/>
            <w:gridSpan w:val="6"/>
            <w:tcBorders>
              <w:top w:val="single" w:sz="2" w:space="0" w:color="auto"/>
              <w:left w:val="single" w:sz="2" w:space="0" w:color="auto"/>
              <w:bottom w:val="single" w:sz="2" w:space="0" w:color="auto"/>
              <w:right w:val="single" w:sz="2" w:space="0" w:color="auto"/>
            </w:tcBorders>
            <w:hideMark/>
          </w:tcPr>
          <w:p w:rsidR="005E5B15" w:rsidRPr="00CD46CC" w:rsidRDefault="005E5B15" w:rsidP="005E5B15">
            <w:pPr>
              <w:spacing w:after="0" w:line="240" w:lineRule="auto"/>
              <w:ind w:right="-2"/>
              <w:rPr>
                <w:rFonts w:cs="Arial"/>
                <w:color w:val="000000"/>
                <w:sz w:val="20"/>
                <w:szCs w:val="20"/>
              </w:rPr>
            </w:pPr>
            <w:r w:rsidRPr="00CD46CC">
              <w:rPr>
                <w:rFonts w:eastAsia="Times New Roman" w:cs="Arial"/>
                <w:b/>
                <w:bCs/>
                <w:color w:val="000000"/>
                <w:sz w:val="20"/>
                <w:szCs w:val="20"/>
                <w:lang w:eastAsia="en-AU"/>
              </w:rPr>
              <w:t>Water Consumption</w:t>
            </w:r>
            <w:r w:rsidRPr="00CD46CC">
              <w:rPr>
                <w:rFonts w:cs="Arial"/>
                <w:color w:val="000000"/>
                <w:sz w:val="20"/>
                <w:szCs w:val="20"/>
              </w:rPr>
              <w:t> </w:t>
            </w:r>
          </w:p>
        </w:tc>
      </w:tr>
      <w:tr w:rsidR="005E5B15" w:rsidTr="006D1816">
        <w:trPr>
          <w:trHeight w:val="129"/>
        </w:trPr>
        <w:tc>
          <w:tcPr>
            <w:tcW w:w="1496" w:type="pct"/>
            <w:tcBorders>
              <w:top w:val="single" w:sz="2" w:space="0" w:color="auto"/>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water use</w:t>
            </w:r>
          </w:p>
        </w:tc>
        <w:tc>
          <w:tcPr>
            <w:tcW w:w="745" w:type="pct"/>
            <w:tcBorders>
              <w:top w:val="single" w:sz="2" w:space="0" w:color="auto"/>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kL</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6,621</w:t>
            </w:r>
          </w:p>
        </w:tc>
        <w:tc>
          <w:tcPr>
            <w:tcW w:w="767" w:type="pct"/>
            <w:tcBorders>
              <w:top w:val="single" w:sz="2"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5,914</w:t>
            </w:r>
          </w:p>
        </w:tc>
        <w:tc>
          <w:tcPr>
            <w:tcW w:w="768" w:type="pct"/>
            <w:tcBorders>
              <w:top w:val="single" w:sz="2"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6,270</w:t>
            </w:r>
          </w:p>
        </w:tc>
        <w:tc>
          <w:tcPr>
            <w:tcW w:w="533" w:type="pct"/>
            <w:tcBorders>
              <w:top w:val="single" w:sz="2" w:space="0" w:color="auto"/>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6.0%</w:t>
            </w:r>
          </w:p>
        </w:tc>
      </w:tr>
      <w:tr w:rsidR="005E5B15" w:rsidTr="006D1816">
        <w:trPr>
          <w:trHeight w:val="183"/>
        </w:trPr>
        <w:tc>
          <w:tcPr>
            <w:tcW w:w="1496" w:type="pct"/>
            <w:tcBorders>
              <w:top w:val="nil"/>
              <w:left w:val="single" w:sz="4" w:space="0" w:color="auto"/>
              <w:bottom w:val="single" w:sz="4" w:space="0" w:color="auto"/>
              <w:right w:val="single" w:sz="4"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water use per person</w:t>
            </w:r>
          </w:p>
        </w:tc>
        <w:tc>
          <w:tcPr>
            <w:tcW w:w="745" w:type="pct"/>
            <w:tcBorders>
              <w:top w:val="nil"/>
              <w:left w:val="nil"/>
              <w:bottom w:val="single" w:sz="4"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kL/FTE</w:t>
            </w:r>
          </w:p>
        </w:tc>
        <w:tc>
          <w:tcPr>
            <w:tcW w:w="691"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50.9</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44.1</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43.5</w:t>
            </w:r>
          </w:p>
        </w:tc>
        <w:tc>
          <w:tcPr>
            <w:tcW w:w="533" w:type="pct"/>
            <w:tcBorders>
              <w:top w:val="nil"/>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-1.3%</w:t>
            </w:r>
          </w:p>
        </w:tc>
      </w:tr>
      <w:tr w:rsidR="005E5B15" w:rsidTr="005E5B15">
        <w:trPr>
          <w:trHeight w:val="87"/>
        </w:trPr>
        <w:tc>
          <w:tcPr>
            <w:tcW w:w="5000" w:type="pct"/>
            <w:gridSpan w:val="6"/>
            <w:tcBorders>
              <w:top w:val="single" w:sz="4" w:space="0" w:color="auto"/>
              <w:left w:val="single" w:sz="4" w:space="0" w:color="auto"/>
              <w:bottom w:val="single" w:sz="4" w:space="0" w:color="auto"/>
              <w:right w:val="single" w:sz="4" w:space="0" w:color="auto"/>
            </w:tcBorders>
          </w:tcPr>
          <w:p w:rsidR="005E5B15" w:rsidRPr="00CD46CC" w:rsidRDefault="005E5B15" w:rsidP="005E5B15">
            <w:pPr>
              <w:spacing w:after="0" w:line="240" w:lineRule="auto"/>
              <w:ind w:right="-2"/>
              <w:rPr>
                <w:rFonts w:cs="Arial"/>
                <w:color w:val="000000"/>
                <w:sz w:val="20"/>
                <w:szCs w:val="20"/>
              </w:rPr>
            </w:pPr>
            <w:r w:rsidRPr="00CD46CC">
              <w:rPr>
                <w:rFonts w:eastAsia="Times New Roman" w:cs="Arial"/>
                <w:b/>
                <w:bCs/>
                <w:color w:val="000000"/>
                <w:sz w:val="20"/>
                <w:szCs w:val="20"/>
                <w:lang w:eastAsia="en-AU"/>
              </w:rPr>
              <w:t>Waste Returned to Australia (RTA)</w:t>
            </w:r>
            <w:r w:rsidRPr="00CD46CC">
              <w:rPr>
                <w:rFonts w:cs="Arial"/>
                <w:color w:val="000000"/>
                <w:sz w:val="20"/>
                <w:szCs w:val="20"/>
              </w:rPr>
              <w:t> </w:t>
            </w:r>
          </w:p>
        </w:tc>
      </w:tr>
      <w:tr w:rsidR="005E5B15" w:rsidTr="006D1816">
        <w:trPr>
          <w:trHeight w:val="133"/>
        </w:trPr>
        <w:tc>
          <w:tcPr>
            <w:tcW w:w="1496" w:type="pct"/>
            <w:tcBorders>
              <w:top w:val="single" w:sz="4" w:space="0" w:color="auto"/>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Liquid waste treated and disposed</w:t>
            </w:r>
          </w:p>
        </w:tc>
        <w:tc>
          <w:tcPr>
            <w:tcW w:w="745" w:type="pct"/>
            <w:tcBorders>
              <w:top w:val="single" w:sz="4"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19.7</w:t>
            </w:r>
          </w:p>
        </w:tc>
        <w:tc>
          <w:tcPr>
            <w:tcW w:w="767"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23.4</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17.4</w:t>
            </w:r>
          </w:p>
        </w:tc>
        <w:tc>
          <w:tcPr>
            <w:tcW w:w="533" w:type="pct"/>
            <w:tcBorders>
              <w:top w:val="single" w:sz="4" w:space="0" w:color="auto"/>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-25.6%</w:t>
            </w:r>
          </w:p>
        </w:tc>
      </w:tr>
      <w:tr w:rsidR="005E5B15" w:rsidTr="006D1816">
        <w:trPr>
          <w:trHeight w:val="165"/>
        </w:trPr>
        <w:tc>
          <w:tcPr>
            <w:tcW w:w="1496" w:type="pct"/>
            <w:tcBorders>
              <w:top w:val="nil"/>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Waste sent to recycling facilities</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70.2</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110.6</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46.5</w:t>
            </w:r>
          </w:p>
        </w:tc>
        <w:tc>
          <w:tcPr>
            <w:tcW w:w="533" w:type="pct"/>
            <w:tcBorders>
              <w:top w:val="nil"/>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-58.0%</w:t>
            </w:r>
          </w:p>
        </w:tc>
      </w:tr>
      <w:tr w:rsidR="005E5B15" w:rsidTr="006D1816">
        <w:trPr>
          <w:trHeight w:val="212"/>
        </w:trPr>
        <w:tc>
          <w:tcPr>
            <w:tcW w:w="1496" w:type="pct"/>
            <w:tcBorders>
              <w:top w:val="nil"/>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Waste sent to landfill</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65.4</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65.8</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173.8</w:t>
            </w:r>
          </w:p>
        </w:tc>
        <w:tc>
          <w:tcPr>
            <w:tcW w:w="533" w:type="pct"/>
            <w:tcBorders>
              <w:top w:val="nil"/>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164.1%</w:t>
            </w:r>
          </w:p>
        </w:tc>
      </w:tr>
      <w:tr w:rsidR="005E5B15" w:rsidTr="006D1816">
        <w:trPr>
          <w:trHeight w:val="115"/>
        </w:trPr>
        <w:tc>
          <w:tcPr>
            <w:tcW w:w="1496" w:type="pct"/>
            <w:tcBorders>
              <w:top w:val="nil"/>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waste production</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155.3</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199.8</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237.7</w:t>
            </w:r>
          </w:p>
        </w:tc>
        <w:tc>
          <w:tcPr>
            <w:tcW w:w="533" w:type="pct"/>
            <w:tcBorders>
              <w:top w:val="nil"/>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19.0%</w:t>
            </w:r>
          </w:p>
        </w:tc>
      </w:tr>
      <w:tr w:rsidR="005E5B15" w:rsidTr="006D1816">
        <w:trPr>
          <w:trHeight w:val="161"/>
        </w:trPr>
        <w:tc>
          <w:tcPr>
            <w:tcW w:w="1496" w:type="pct"/>
            <w:tcBorders>
              <w:top w:val="nil"/>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waste per person</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kg/FTE</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1,043</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1,316</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1,530</w:t>
            </w:r>
          </w:p>
        </w:tc>
        <w:tc>
          <w:tcPr>
            <w:tcW w:w="533" w:type="pct"/>
            <w:tcBorders>
              <w:top w:val="nil"/>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16.2%</w:t>
            </w:r>
          </w:p>
        </w:tc>
      </w:tr>
      <w:tr w:rsidR="005E5B15" w:rsidTr="006D1816">
        <w:trPr>
          <w:trHeight w:val="552"/>
        </w:trPr>
        <w:tc>
          <w:tcPr>
            <w:tcW w:w="1496" w:type="pct"/>
            <w:tcBorders>
              <w:top w:val="nil"/>
              <w:left w:val="single" w:sz="4" w:space="0" w:color="auto"/>
              <w:bottom w:val="single" w:sz="2"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Proportion of waste diverted from landfill</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52%</w:t>
            </w:r>
          </w:p>
        </w:tc>
        <w:tc>
          <w:tcPr>
            <w:tcW w:w="767" w:type="pct"/>
            <w:tcBorders>
              <w:top w:val="nil"/>
              <w:left w:val="single" w:sz="4" w:space="0" w:color="auto"/>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63%</w:t>
            </w:r>
          </w:p>
        </w:tc>
        <w:tc>
          <w:tcPr>
            <w:tcW w:w="768" w:type="pct"/>
            <w:tcBorders>
              <w:top w:val="single" w:sz="4" w:space="0" w:color="auto"/>
              <w:left w:val="nil"/>
              <w:bottom w:val="single" w:sz="2"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17%</w:t>
            </w:r>
          </w:p>
        </w:tc>
        <w:tc>
          <w:tcPr>
            <w:tcW w:w="533" w:type="pct"/>
            <w:tcBorders>
              <w:top w:val="nil"/>
              <w:left w:val="single" w:sz="4" w:space="0" w:color="auto"/>
              <w:bottom w:val="single" w:sz="2" w:space="0" w:color="auto"/>
              <w:right w:val="single" w:sz="4" w:space="0" w:color="auto"/>
            </w:tcBorders>
          </w:tcPr>
          <w:p w:rsidR="005E5B15" w:rsidRPr="00CD46CC" w:rsidRDefault="005E5B15" w:rsidP="00FF2514">
            <w:pPr>
              <w:spacing w:after="0" w:line="240" w:lineRule="auto"/>
              <w:ind w:right="-2"/>
              <w:jc w:val="right"/>
              <w:rPr>
                <w:rFonts w:cs="Arial"/>
                <w:color w:val="000000"/>
                <w:sz w:val="20"/>
                <w:szCs w:val="20"/>
              </w:rPr>
            </w:pPr>
            <w:r w:rsidRPr="00CD46CC">
              <w:rPr>
                <w:rFonts w:cs="Arial"/>
                <w:color w:val="000000"/>
                <w:sz w:val="20"/>
                <w:szCs w:val="20"/>
              </w:rPr>
              <w:t>-</w:t>
            </w:r>
            <w:r w:rsidR="00FF2514" w:rsidRPr="00CD46CC">
              <w:rPr>
                <w:rFonts w:cs="Arial"/>
                <w:color w:val="000000"/>
                <w:sz w:val="20"/>
                <w:szCs w:val="20"/>
              </w:rPr>
              <w:t>73.0</w:t>
            </w:r>
            <w:r w:rsidRPr="00CD46CC">
              <w:rPr>
                <w:rFonts w:cs="Arial"/>
                <w:color w:val="000000"/>
                <w:sz w:val="20"/>
                <w:szCs w:val="20"/>
              </w:rPr>
              <w:t>%</w:t>
            </w:r>
          </w:p>
        </w:tc>
      </w:tr>
      <w:tr w:rsidR="005E5B15" w:rsidTr="005E5B15">
        <w:trPr>
          <w:trHeight w:val="222"/>
        </w:trPr>
        <w:tc>
          <w:tcPr>
            <w:tcW w:w="5000" w:type="pct"/>
            <w:gridSpan w:val="6"/>
            <w:tcBorders>
              <w:top w:val="single" w:sz="2" w:space="0" w:color="auto"/>
              <w:left w:val="single" w:sz="2" w:space="0" w:color="auto"/>
              <w:bottom w:val="single" w:sz="2" w:space="0" w:color="auto"/>
              <w:right w:val="single" w:sz="4" w:space="0" w:color="auto"/>
            </w:tcBorders>
          </w:tcPr>
          <w:p w:rsidR="005E5B15" w:rsidRDefault="005E5B15" w:rsidP="005E5B15">
            <w:pPr>
              <w:spacing w:after="0" w:line="240" w:lineRule="auto"/>
              <w:ind w:right="-2"/>
              <w:rPr>
                <w:rFonts w:cs="Arial"/>
                <w:color w:val="000000"/>
                <w:sz w:val="20"/>
                <w:szCs w:val="20"/>
              </w:rPr>
            </w:pPr>
            <w:r>
              <w:rPr>
                <w:rFonts w:eastAsia="Times New Roman" w:cs="Arial"/>
                <w:b/>
                <w:bCs/>
                <w:color w:val="000000"/>
                <w:sz w:val="20"/>
                <w:szCs w:val="20"/>
                <w:lang w:eastAsia="en-AU"/>
              </w:rPr>
              <w:t>AAD Greenhouse Gas Emissions</w:t>
            </w:r>
            <w:r>
              <w:rPr>
                <w:rFonts w:cs="Arial"/>
                <w:color w:val="000000"/>
                <w:sz w:val="20"/>
                <w:szCs w:val="20"/>
              </w:rPr>
              <w:t> </w:t>
            </w:r>
          </w:p>
        </w:tc>
      </w:tr>
      <w:tr w:rsidR="005E5B15" w:rsidTr="006D1816">
        <w:trPr>
          <w:trHeight w:val="324"/>
        </w:trPr>
        <w:tc>
          <w:tcPr>
            <w:tcW w:w="1496" w:type="pct"/>
            <w:tcBorders>
              <w:top w:val="single" w:sz="2" w:space="0" w:color="auto"/>
              <w:left w:val="single" w:sz="4" w:space="0" w:color="auto"/>
              <w:bottom w:val="single" w:sz="4" w:space="0" w:color="auto"/>
              <w:right w:val="single" w:sz="2" w:space="0" w:color="auto"/>
            </w:tcBorders>
            <w:noWrap/>
            <w:hideMark/>
          </w:tcPr>
          <w:p w:rsidR="005E5B15" w:rsidRDefault="005E5B15" w:rsidP="005E5B15">
            <w:pPr>
              <w:spacing w:after="0" w:line="240" w:lineRule="auto"/>
              <w:ind w:right="-2"/>
              <w:rPr>
                <w:rFonts w:eastAsia="Times New Roman" w:cs="Arial"/>
                <w:color w:val="000000"/>
                <w:sz w:val="20"/>
                <w:szCs w:val="20"/>
                <w:lang w:eastAsia="en-AU"/>
              </w:rPr>
            </w:pPr>
            <w:r>
              <w:rPr>
                <w:rFonts w:eastAsia="Times New Roman" w:cs="Arial"/>
                <w:color w:val="000000"/>
                <w:sz w:val="20"/>
                <w:szCs w:val="20"/>
                <w:lang w:eastAsia="en-AU"/>
              </w:rPr>
              <w:t>Total greenhouse gas emissions (not including commercial flights and waste)—Kingston offices, labs, workshops, warehouse, outbuildings and cargo facility</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982</w:t>
            </w:r>
          </w:p>
        </w:tc>
        <w:tc>
          <w:tcPr>
            <w:tcW w:w="767" w:type="pct"/>
            <w:tcBorders>
              <w:top w:val="single" w:sz="2"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880</w:t>
            </w:r>
          </w:p>
        </w:tc>
        <w:tc>
          <w:tcPr>
            <w:tcW w:w="768" w:type="pct"/>
            <w:tcBorders>
              <w:top w:val="single" w:sz="2"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931</w:t>
            </w:r>
          </w:p>
        </w:tc>
        <w:tc>
          <w:tcPr>
            <w:tcW w:w="533" w:type="pct"/>
            <w:tcBorders>
              <w:top w:val="single" w:sz="2" w:space="0" w:color="auto"/>
              <w:left w:val="single" w:sz="4" w:space="0" w:color="auto"/>
              <w:bottom w:val="single" w:sz="4" w:space="0" w:color="auto"/>
              <w:right w:val="single" w:sz="4" w:space="0" w:color="auto"/>
            </w:tcBorders>
          </w:tcPr>
          <w:p w:rsidR="005E5B15" w:rsidRPr="00CD46CC" w:rsidRDefault="00FF2514" w:rsidP="005E5B15">
            <w:pPr>
              <w:spacing w:after="0" w:line="240" w:lineRule="auto"/>
              <w:ind w:right="-2"/>
              <w:jc w:val="right"/>
              <w:rPr>
                <w:rFonts w:cs="Arial"/>
                <w:color w:val="000000"/>
                <w:sz w:val="20"/>
                <w:szCs w:val="20"/>
              </w:rPr>
            </w:pPr>
            <w:r w:rsidRPr="00CD46CC">
              <w:rPr>
                <w:rFonts w:cs="Arial"/>
                <w:color w:val="000000"/>
                <w:sz w:val="20"/>
                <w:szCs w:val="20"/>
              </w:rPr>
              <w:t>5.8</w:t>
            </w:r>
            <w:r w:rsidR="005E5B15" w:rsidRPr="00CD46CC">
              <w:rPr>
                <w:rFonts w:cs="Arial"/>
                <w:color w:val="000000"/>
                <w:sz w:val="20"/>
                <w:szCs w:val="20"/>
              </w:rPr>
              <w:t>%</w:t>
            </w:r>
          </w:p>
        </w:tc>
      </w:tr>
      <w:tr w:rsidR="005E5B15" w:rsidTr="006D1816">
        <w:trPr>
          <w:trHeight w:val="324"/>
        </w:trPr>
        <w:tc>
          <w:tcPr>
            <w:tcW w:w="1496" w:type="pct"/>
            <w:tcBorders>
              <w:top w:val="nil"/>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color w:val="000000"/>
                <w:sz w:val="20"/>
                <w:szCs w:val="20"/>
                <w:highlight w:val="magenta"/>
                <w:lang w:eastAsia="en-AU"/>
              </w:rPr>
            </w:pPr>
            <w:r>
              <w:rPr>
                <w:rFonts w:eastAsia="Times New Roman" w:cs="Arial"/>
                <w:color w:val="000000"/>
                <w:sz w:val="20"/>
                <w:szCs w:val="20"/>
                <w:lang w:eastAsia="en-AU"/>
              </w:rPr>
              <w:t>Total greenhouse gas emissions for Antarctic operations.</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color w:val="000000"/>
                <w:sz w:val="20"/>
                <w:szCs w:val="20"/>
                <w:lang w:eastAsia="en-AU"/>
              </w:rPr>
            </w:pPr>
            <w:r>
              <w:rPr>
                <w:rFonts w:eastAsia="Times New Roman" w:cs="Arial"/>
                <w:color w:val="000000"/>
                <w:sz w:val="20"/>
                <w:szCs w:val="20"/>
                <w:lang w:eastAsia="en-AU"/>
              </w:rPr>
              <w:t>t CO</w:t>
            </w:r>
            <w:r>
              <w:rPr>
                <w:rFonts w:eastAsia="Times New Roman" w:cs="Arial"/>
                <w:color w:val="000000"/>
                <w:sz w:val="20"/>
                <w:szCs w:val="20"/>
                <w:vertAlign w:val="subscript"/>
                <w:lang w:eastAsia="en-AU"/>
              </w:rPr>
              <w:t>2</w:t>
            </w:r>
            <w:r>
              <w:rPr>
                <w:rFonts w:eastAsia="Times New Roman" w:cs="Arial"/>
                <w:color w:val="000000"/>
                <w:sz w:val="20"/>
                <w:szCs w:val="20"/>
                <w:lang w:eastAsia="en-AU"/>
              </w:rPr>
              <w:t>-e</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16,555</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14,958</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color w:val="000000"/>
                <w:sz w:val="20"/>
                <w:szCs w:val="20"/>
              </w:rPr>
            </w:pPr>
            <w:r>
              <w:rPr>
                <w:rFonts w:cs="Arial"/>
                <w:color w:val="000000"/>
                <w:sz w:val="20"/>
                <w:szCs w:val="20"/>
              </w:rPr>
              <w:t>19,894</w:t>
            </w:r>
          </w:p>
        </w:tc>
        <w:tc>
          <w:tcPr>
            <w:tcW w:w="533" w:type="pct"/>
            <w:tcBorders>
              <w:top w:val="nil"/>
              <w:left w:val="single" w:sz="4" w:space="0" w:color="auto"/>
              <w:bottom w:val="single" w:sz="4" w:space="0" w:color="auto"/>
              <w:right w:val="single" w:sz="4" w:space="0" w:color="auto"/>
            </w:tcBorders>
          </w:tcPr>
          <w:p w:rsidR="005E5B15" w:rsidRPr="00CD46CC" w:rsidRDefault="005E5B15" w:rsidP="005E5B15">
            <w:pPr>
              <w:spacing w:after="0" w:line="240" w:lineRule="auto"/>
              <w:ind w:right="-2"/>
              <w:jc w:val="right"/>
              <w:rPr>
                <w:rFonts w:cs="Arial"/>
                <w:color w:val="000000"/>
                <w:sz w:val="20"/>
                <w:szCs w:val="20"/>
              </w:rPr>
            </w:pPr>
            <w:r w:rsidRPr="00CD46CC">
              <w:rPr>
                <w:rFonts w:cs="Arial"/>
                <w:color w:val="000000"/>
                <w:sz w:val="20"/>
                <w:szCs w:val="20"/>
              </w:rPr>
              <w:t>33.0%</w:t>
            </w:r>
          </w:p>
        </w:tc>
      </w:tr>
      <w:tr w:rsidR="005E5B15" w:rsidTr="006D1816">
        <w:trPr>
          <w:trHeight w:val="324"/>
        </w:trPr>
        <w:tc>
          <w:tcPr>
            <w:tcW w:w="1496" w:type="pct"/>
            <w:tcBorders>
              <w:top w:val="nil"/>
              <w:left w:val="single" w:sz="4" w:space="0" w:color="auto"/>
              <w:bottom w:val="single" w:sz="4" w:space="0" w:color="auto"/>
              <w:right w:val="single" w:sz="2" w:space="0" w:color="auto"/>
            </w:tcBorders>
            <w:hideMark/>
          </w:tcPr>
          <w:p w:rsidR="005E5B15" w:rsidRDefault="005E5B15" w:rsidP="005E5B15">
            <w:pPr>
              <w:spacing w:after="0" w:line="240" w:lineRule="auto"/>
              <w:ind w:right="-2"/>
              <w:rPr>
                <w:rFonts w:eastAsia="Times New Roman" w:cs="Arial"/>
                <w:b/>
                <w:bCs/>
                <w:color w:val="000000"/>
                <w:sz w:val="20"/>
                <w:szCs w:val="20"/>
                <w:lang w:eastAsia="en-AU"/>
              </w:rPr>
            </w:pPr>
            <w:r>
              <w:rPr>
                <w:rFonts w:eastAsia="Times New Roman" w:cs="Arial"/>
                <w:b/>
                <w:bCs/>
                <w:color w:val="000000"/>
                <w:sz w:val="20"/>
                <w:szCs w:val="20"/>
                <w:lang w:eastAsia="en-AU"/>
              </w:rPr>
              <w:t>Total AAD greenhouse gas emissions</w:t>
            </w:r>
          </w:p>
        </w:tc>
        <w:tc>
          <w:tcPr>
            <w:tcW w:w="745" w:type="pct"/>
            <w:tcBorders>
              <w:top w:val="single" w:sz="2" w:space="0" w:color="auto"/>
              <w:left w:val="single" w:sz="2" w:space="0" w:color="auto"/>
              <w:bottom w:val="single" w:sz="2" w:space="0" w:color="auto"/>
              <w:right w:val="single" w:sz="4" w:space="0" w:color="auto"/>
            </w:tcBorders>
            <w:hideMark/>
          </w:tcPr>
          <w:p w:rsidR="005E5B15" w:rsidRDefault="005E5B15" w:rsidP="005E5B15">
            <w:pPr>
              <w:spacing w:after="0" w:line="240" w:lineRule="auto"/>
              <w:ind w:right="-2"/>
              <w:jc w:val="center"/>
              <w:rPr>
                <w:rFonts w:eastAsia="Times New Roman" w:cs="Arial"/>
                <w:b/>
                <w:bCs/>
                <w:color w:val="000000"/>
                <w:sz w:val="20"/>
                <w:szCs w:val="20"/>
                <w:lang w:eastAsia="en-AU"/>
              </w:rPr>
            </w:pPr>
            <w:r>
              <w:rPr>
                <w:rFonts w:eastAsia="Times New Roman" w:cs="Arial"/>
                <w:b/>
                <w:bCs/>
                <w:color w:val="000000"/>
                <w:sz w:val="20"/>
                <w:szCs w:val="20"/>
                <w:lang w:eastAsia="en-AU"/>
              </w:rPr>
              <w:t>t CO</w:t>
            </w:r>
            <w:r>
              <w:rPr>
                <w:rFonts w:eastAsia="Times New Roman" w:cs="Arial"/>
                <w:b/>
                <w:bCs/>
                <w:color w:val="000000"/>
                <w:sz w:val="20"/>
                <w:szCs w:val="20"/>
                <w:vertAlign w:val="subscript"/>
                <w:lang w:eastAsia="en-AU"/>
              </w:rPr>
              <w:t>2</w:t>
            </w:r>
            <w:r>
              <w:rPr>
                <w:rFonts w:eastAsia="Times New Roman" w:cs="Arial"/>
                <w:b/>
                <w:bCs/>
                <w:color w:val="000000"/>
                <w:sz w:val="20"/>
                <w:szCs w:val="20"/>
                <w:lang w:eastAsia="en-AU"/>
              </w:rPr>
              <w:t>-e</w:t>
            </w:r>
          </w:p>
        </w:tc>
        <w:tc>
          <w:tcPr>
            <w:tcW w:w="691" w:type="pct"/>
            <w:tcBorders>
              <w:top w:val="single" w:sz="4" w:space="0" w:color="auto"/>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b/>
                <w:bCs/>
                <w:color w:val="000000"/>
                <w:sz w:val="20"/>
                <w:szCs w:val="20"/>
              </w:rPr>
            </w:pPr>
            <w:r>
              <w:rPr>
                <w:rFonts w:cs="Arial"/>
                <w:b/>
                <w:bCs/>
                <w:color w:val="000000"/>
                <w:sz w:val="20"/>
                <w:szCs w:val="20"/>
              </w:rPr>
              <w:t>17,537</w:t>
            </w:r>
          </w:p>
        </w:tc>
        <w:tc>
          <w:tcPr>
            <w:tcW w:w="767" w:type="pct"/>
            <w:tcBorders>
              <w:top w:val="nil"/>
              <w:left w:val="single" w:sz="4" w:space="0" w:color="auto"/>
              <w:bottom w:val="single" w:sz="4" w:space="0" w:color="auto"/>
              <w:right w:val="single" w:sz="4" w:space="0" w:color="auto"/>
            </w:tcBorders>
          </w:tcPr>
          <w:p w:rsidR="005E5B15" w:rsidRDefault="005E5B15" w:rsidP="005E5B15">
            <w:pPr>
              <w:spacing w:after="0" w:line="240" w:lineRule="auto"/>
              <w:ind w:right="-2"/>
              <w:jc w:val="right"/>
              <w:rPr>
                <w:rFonts w:cs="Arial"/>
                <w:b/>
                <w:bCs/>
                <w:color w:val="000000"/>
                <w:sz w:val="20"/>
                <w:szCs w:val="20"/>
              </w:rPr>
            </w:pPr>
            <w:r>
              <w:rPr>
                <w:rFonts w:cs="Arial"/>
                <w:b/>
                <w:bCs/>
                <w:color w:val="000000"/>
                <w:sz w:val="20"/>
                <w:szCs w:val="20"/>
              </w:rPr>
              <w:t>15,838</w:t>
            </w:r>
          </w:p>
        </w:tc>
        <w:tc>
          <w:tcPr>
            <w:tcW w:w="768" w:type="pct"/>
            <w:tcBorders>
              <w:top w:val="single" w:sz="4" w:space="0" w:color="auto"/>
              <w:left w:val="nil"/>
              <w:bottom w:val="single" w:sz="4" w:space="0" w:color="auto"/>
              <w:right w:val="single" w:sz="4" w:space="0" w:color="auto"/>
            </w:tcBorders>
          </w:tcPr>
          <w:p w:rsidR="005E5B15" w:rsidRDefault="005E5B15" w:rsidP="005E5B15">
            <w:pPr>
              <w:spacing w:after="0" w:line="240" w:lineRule="auto"/>
              <w:ind w:right="-2"/>
              <w:jc w:val="right"/>
              <w:rPr>
                <w:rFonts w:cs="Arial"/>
                <w:b/>
                <w:bCs/>
                <w:color w:val="000000"/>
                <w:sz w:val="20"/>
                <w:szCs w:val="20"/>
              </w:rPr>
            </w:pPr>
            <w:r>
              <w:rPr>
                <w:rFonts w:cs="Arial"/>
                <w:b/>
                <w:bCs/>
                <w:color w:val="000000"/>
                <w:sz w:val="20"/>
                <w:szCs w:val="20"/>
              </w:rPr>
              <w:t>20,825</w:t>
            </w:r>
          </w:p>
        </w:tc>
        <w:tc>
          <w:tcPr>
            <w:tcW w:w="533" w:type="pct"/>
            <w:tcBorders>
              <w:top w:val="nil"/>
              <w:left w:val="single" w:sz="4" w:space="0" w:color="auto"/>
              <w:bottom w:val="single" w:sz="4" w:space="0" w:color="auto"/>
              <w:right w:val="single" w:sz="4" w:space="0" w:color="auto"/>
            </w:tcBorders>
          </w:tcPr>
          <w:p w:rsidR="005E5B15" w:rsidRPr="00CD46CC" w:rsidRDefault="005E5B15" w:rsidP="00FF2514">
            <w:pPr>
              <w:spacing w:after="0" w:line="240" w:lineRule="auto"/>
              <w:ind w:right="-2"/>
              <w:jc w:val="right"/>
              <w:rPr>
                <w:rFonts w:cs="Arial"/>
                <w:b/>
                <w:bCs/>
                <w:color w:val="000000"/>
                <w:sz w:val="20"/>
                <w:szCs w:val="20"/>
              </w:rPr>
            </w:pPr>
            <w:r w:rsidRPr="00CD46CC">
              <w:rPr>
                <w:rFonts w:cs="Arial"/>
                <w:b/>
                <w:bCs/>
                <w:color w:val="000000"/>
                <w:sz w:val="20"/>
                <w:szCs w:val="20"/>
              </w:rPr>
              <w:t>31.</w:t>
            </w:r>
            <w:r w:rsidR="00FF2514" w:rsidRPr="00CD46CC">
              <w:rPr>
                <w:rFonts w:cs="Arial"/>
                <w:b/>
                <w:bCs/>
                <w:color w:val="000000"/>
                <w:sz w:val="20"/>
                <w:szCs w:val="20"/>
              </w:rPr>
              <w:t>5</w:t>
            </w:r>
            <w:r w:rsidRPr="00CD46CC">
              <w:rPr>
                <w:rFonts w:cs="Arial"/>
                <w:b/>
                <w:bCs/>
                <w:color w:val="000000"/>
                <w:sz w:val="20"/>
                <w:szCs w:val="20"/>
              </w:rPr>
              <w:t>%</w:t>
            </w:r>
          </w:p>
        </w:tc>
      </w:tr>
    </w:tbl>
    <w:p w:rsidR="005E5B15" w:rsidRPr="00D23E11" w:rsidRDefault="005E5B15" w:rsidP="005E5B15">
      <w:pPr>
        <w:pStyle w:val="Heading2"/>
        <w:spacing w:after="0"/>
      </w:pPr>
    </w:p>
    <w:p w:rsidR="0068274A" w:rsidRPr="005D3D19" w:rsidRDefault="0068274A" w:rsidP="0068274A">
      <w:pPr>
        <w:ind w:right="-2"/>
        <w:rPr>
          <w:rFonts w:cs="Arial"/>
          <w:b/>
          <w:sz w:val="20"/>
          <w:szCs w:val="20"/>
        </w:rPr>
      </w:pPr>
      <w:r w:rsidRPr="005D3D19">
        <w:rPr>
          <w:rFonts w:cs="Arial"/>
          <w:b/>
          <w:sz w:val="20"/>
          <w:szCs w:val="20"/>
        </w:rPr>
        <w:t>Supervising Scientist Branch and Joint Management Branch (Parks Australia)</w:t>
      </w:r>
    </w:p>
    <w:p w:rsidR="0068274A" w:rsidRPr="00296473" w:rsidRDefault="0068274A" w:rsidP="0068274A">
      <w:pPr>
        <w:pStyle w:val="Heading4"/>
        <w:ind w:right="-2"/>
        <w:rPr>
          <w:b/>
          <w:i w:val="0"/>
          <w:sz w:val="20"/>
          <w:szCs w:val="20"/>
          <w:u w:val="single"/>
        </w:rPr>
      </w:pPr>
      <w:r w:rsidRPr="00296473">
        <w:rPr>
          <w:i w:val="0"/>
          <w:sz w:val="20"/>
          <w:szCs w:val="20"/>
          <w:u w:val="single"/>
        </w:rPr>
        <w:t>Sites &amp; staffing</w:t>
      </w:r>
    </w:p>
    <w:p w:rsidR="0068274A" w:rsidRPr="005D3D19" w:rsidRDefault="0068274A" w:rsidP="0068274A">
      <w:pPr>
        <w:ind w:right="-2"/>
        <w:rPr>
          <w:rFonts w:cs="Arial"/>
          <w:b/>
          <w:sz w:val="20"/>
          <w:szCs w:val="20"/>
        </w:rPr>
      </w:pPr>
      <w:r w:rsidRPr="00296473">
        <w:rPr>
          <w:rFonts w:cs="Arial"/>
          <w:sz w:val="20"/>
          <w:szCs w:val="20"/>
        </w:rPr>
        <w:t>The Supervising Scientist Branch</w:t>
      </w:r>
      <w:r w:rsidR="00E622AC">
        <w:rPr>
          <w:rFonts w:cs="Arial"/>
          <w:sz w:val="20"/>
          <w:szCs w:val="20"/>
        </w:rPr>
        <w:t xml:space="preserve"> (SSB)</w:t>
      </w:r>
      <w:r w:rsidRPr="00296473">
        <w:rPr>
          <w:rFonts w:cs="Arial"/>
          <w:sz w:val="20"/>
          <w:szCs w:val="20"/>
        </w:rPr>
        <w:t xml:space="preserve"> and Joint Management Branch</w:t>
      </w:r>
      <w:r w:rsidR="00E622AC">
        <w:rPr>
          <w:rFonts w:cs="Arial"/>
          <w:sz w:val="20"/>
          <w:szCs w:val="20"/>
        </w:rPr>
        <w:t xml:space="preserve"> (JMB)</w:t>
      </w:r>
      <w:r w:rsidRPr="00296473">
        <w:rPr>
          <w:rFonts w:cs="Arial"/>
          <w:sz w:val="20"/>
          <w:szCs w:val="20"/>
        </w:rPr>
        <w:t xml:space="preserve"> (Parks Australia)</w:t>
      </w:r>
      <w:r w:rsidRPr="00296473">
        <w:rPr>
          <w:rFonts w:cs="Arial"/>
          <w:b/>
          <w:sz w:val="20"/>
          <w:szCs w:val="20"/>
        </w:rPr>
        <w:t xml:space="preserve"> </w:t>
      </w:r>
      <w:r w:rsidRPr="00296473">
        <w:rPr>
          <w:rFonts w:cs="Arial"/>
          <w:sz w:val="20"/>
          <w:szCs w:val="20"/>
        </w:rPr>
        <w:t>operates from two premises – the Darwin office and the Jabiru Field Station. The Darwin office is shared by SSB and JMB while office space at Jabiru is only used by SSB.  Both sites are used by SSB for office and laboratory operations as well as storage of plant and equipment.  The Jabiru facility is also shared with a commercial tenant.</w:t>
      </w:r>
      <w:r w:rsidRPr="005D3D19">
        <w:rPr>
          <w:rFonts w:cs="Arial"/>
          <w:sz w:val="20"/>
          <w:szCs w:val="20"/>
        </w:rPr>
        <w:t xml:space="preserve">  It should be noted that calculations reported per person for electricity and water use at the Jabiru site will be inflated as the electricity and water totals are for both staff and commercial tenants but only departmental staff numbers have been used to calculate the per person figures.</w:t>
      </w:r>
    </w:p>
    <w:p w:rsidR="0068274A" w:rsidRPr="005D3D19" w:rsidRDefault="0068274A" w:rsidP="0068274A">
      <w:pPr>
        <w:pStyle w:val="Heading4"/>
        <w:ind w:right="-2"/>
        <w:rPr>
          <w:rFonts w:cs="Times New Roman"/>
          <w:bCs/>
          <w:i w:val="0"/>
          <w:sz w:val="20"/>
          <w:szCs w:val="20"/>
          <w:u w:val="single"/>
        </w:rPr>
      </w:pPr>
      <w:r w:rsidRPr="005D3D19">
        <w:rPr>
          <w:i w:val="0"/>
          <w:sz w:val="20"/>
          <w:szCs w:val="20"/>
          <w:u w:val="single"/>
        </w:rPr>
        <w:t>Environmental management framework</w:t>
      </w:r>
    </w:p>
    <w:p w:rsidR="0068274A" w:rsidRPr="005D3D19" w:rsidRDefault="0068274A" w:rsidP="0068274A">
      <w:pPr>
        <w:ind w:right="-2"/>
        <w:rPr>
          <w:rFonts w:cs="Arial"/>
          <w:sz w:val="20"/>
          <w:szCs w:val="20"/>
        </w:rPr>
      </w:pPr>
      <w:r w:rsidRPr="005D3D19">
        <w:rPr>
          <w:rFonts w:cs="Arial"/>
          <w:sz w:val="20"/>
          <w:szCs w:val="20"/>
        </w:rPr>
        <w:t xml:space="preserve">Darwin and Jabiru contributes to the department’s sustainability objectives through a range of measures aimed at continuously improving the environmental performance of business operations and minimising any associated environmental impacts. </w:t>
      </w:r>
    </w:p>
    <w:p w:rsidR="0068274A" w:rsidRPr="005D3D19" w:rsidRDefault="0068274A" w:rsidP="0068274A">
      <w:pPr>
        <w:ind w:right="-2"/>
        <w:rPr>
          <w:rFonts w:cs="Arial"/>
          <w:sz w:val="20"/>
          <w:szCs w:val="20"/>
        </w:rPr>
      </w:pPr>
      <w:r w:rsidRPr="005D3D19">
        <w:rPr>
          <w:rFonts w:cs="Arial"/>
          <w:sz w:val="20"/>
          <w:szCs w:val="20"/>
        </w:rPr>
        <w:t>Although there is no formal environmental management system in place, the Darwin and Jabiru operations are conducted in a manner consistent with the department’s aim to minimise the ecological footprint on the environment. This involves a range of strategies including complying with legal and other agreements, actively promoting sustainable work practices, preventing pollution as a result of work practices, focusing on continuous improvement, public reporting of environmental performance as part of the department’s annual report, and procurement and use of sustainable goods and services.</w:t>
      </w:r>
    </w:p>
    <w:p w:rsidR="0068274A" w:rsidRPr="005D3D19" w:rsidRDefault="0068274A" w:rsidP="0068274A">
      <w:pPr>
        <w:pStyle w:val="Heading4"/>
        <w:ind w:right="-2"/>
        <w:rPr>
          <w:rFonts w:cs="Times New Roman"/>
          <w:bCs/>
          <w:i w:val="0"/>
          <w:sz w:val="20"/>
          <w:szCs w:val="20"/>
          <w:u w:val="single"/>
        </w:rPr>
      </w:pPr>
      <w:r w:rsidRPr="005D3D19">
        <w:rPr>
          <w:i w:val="0"/>
          <w:sz w:val="20"/>
          <w:szCs w:val="20"/>
          <w:u w:val="single"/>
        </w:rPr>
        <w:lastRenderedPageBreak/>
        <w:t>Energy</w:t>
      </w:r>
    </w:p>
    <w:p w:rsidR="0068274A" w:rsidRDefault="0068274A" w:rsidP="0068274A">
      <w:pPr>
        <w:ind w:right="-2"/>
        <w:rPr>
          <w:rFonts w:cs="Arial"/>
          <w:sz w:val="20"/>
          <w:szCs w:val="20"/>
        </w:rPr>
      </w:pPr>
      <w:r w:rsidRPr="005D3D19">
        <w:rPr>
          <w:rFonts w:cs="Arial"/>
          <w:sz w:val="20"/>
          <w:szCs w:val="20"/>
        </w:rPr>
        <w:t>During 201</w:t>
      </w:r>
      <w:r>
        <w:rPr>
          <w:rFonts w:cs="Arial"/>
          <w:sz w:val="20"/>
          <w:szCs w:val="20"/>
        </w:rPr>
        <w:t>5</w:t>
      </w:r>
      <w:r w:rsidRPr="005D3D19">
        <w:rPr>
          <w:rFonts w:cs="Arial"/>
          <w:sz w:val="20"/>
          <w:szCs w:val="20"/>
        </w:rPr>
        <w:t>-1</w:t>
      </w:r>
      <w:r>
        <w:rPr>
          <w:rFonts w:cs="Arial"/>
          <w:sz w:val="20"/>
          <w:szCs w:val="20"/>
        </w:rPr>
        <w:t>6</w:t>
      </w:r>
      <w:r w:rsidRPr="005D3D19">
        <w:rPr>
          <w:rFonts w:cs="Arial"/>
          <w:sz w:val="20"/>
          <w:szCs w:val="20"/>
        </w:rPr>
        <w:t xml:space="preserve"> there was </w:t>
      </w:r>
      <w:r>
        <w:rPr>
          <w:rFonts w:cs="Arial"/>
          <w:sz w:val="20"/>
          <w:szCs w:val="20"/>
        </w:rPr>
        <w:t>only minimal</w:t>
      </w:r>
      <w:r w:rsidRPr="005D3D19">
        <w:rPr>
          <w:rFonts w:cs="Arial"/>
          <w:sz w:val="20"/>
          <w:szCs w:val="20"/>
        </w:rPr>
        <w:t xml:space="preserve"> </w:t>
      </w:r>
      <w:r>
        <w:rPr>
          <w:rFonts w:cs="Arial"/>
          <w:sz w:val="20"/>
          <w:szCs w:val="20"/>
        </w:rPr>
        <w:t>increase</w:t>
      </w:r>
      <w:r w:rsidRPr="005D3D19">
        <w:rPr>
          <w:rFonts w:cs="Arial"/>
          <w:sz w:val="20"/>
          <w:szCs w:val="20"/>
        </w:rPr>
        <w:t xml:space="preserve"> in total power consumption for all sites combined, from the previous year. Continued routine maintenance of electrical items, including testing and tagging electrical items and replacing faulty and aged equipment, assists with the more efficient use of electricity. Due to its remote location Jabiru often has power blackouts. The office uses a generator for electricity during these times. Accordingly there are fluctuations every year in the amounts of electricity bought and electricity generated. It is important to note that both sites do not have separate metering, so individual components of the electricity reporting are estimates only, based on area. </w:t>
      </w:r>
      <w:r>
        <w:rPr>
          <w:rFonts w:cs="Arial"/>
          <w:sz w:val="20"/>
          <w:szCs w:val="20"/>
        </w:rPr>
        <w:t>The combined building energy usage is 883</w:t>
      </w:r>
      <w:r w:rsidR="00F5423D">
        <w:rPr>
          <w:rFonts w:cs="Arial"/>
          <w:sz w:val="20"/>
          <w:szCs w:val="20"/>
        </w:rPr>
        <w:t>,</w:t>
      </w:r>
      <w:r>
        <w:rPr>
          <w:rFonts w:cs="Arial"/>
          <w:sz w:val="20"/>
          <w:szCs w:val="20"/>
        </w:rPr>
        <w:t>141 M</w:t>
      </w:r>
      <w:r w:rsidR="00F5423D">
        <w:rPr>
          <w:rFonts w:cs="Arial"/>
          <w:sz w:val="20"/>
          <w:szCs w:val="20"/>
        </w:rPr>
        <w:t>J</w:t>
      </w:r>
      <w:r>
        <w:rPr>
          <w:rFonts w:cs="Arial"/>
          <w:sz w:val="20"/>
          <w:szCs w:val="20"/>
        </w:rPr>
        <w:t xml:space="preserve"> but does not include the hangar as data was not available.</w:t>
      </w:r>
    </w:p>
    <w:p w:rsidR="0068274A" w:rsidRPr="005D3D19" w:rsidRDefault="0068274A" w:rsidP="0068274A">
      <w:pPr>
        <w:pStyle w:val="Heading4"/>
        <w:ind w:right="-2"/>
        <w:rPr>
          <w:rFonts w:cs="Times New Roman"/>
          <w:bCs/>
          <w:i w:val="0"/>
          <w:sz w:val="20"/>
          <w:szCs w:val="20"/>
          <w:u w:val="single"/>
        </w:rPr>
      </w:pPr>
      <w:r w:rsidRPr="005D3D19">
        <w:rPr>
          <w:i w:val="0"/>
          <w:sz w:val="20"/>
          <w:szCs w:val="20"/>
          <w:u w:val="single"/>
        </w:rPr>
        <w:t>Resource efficiency and waste</w:t>
      </w:r>
    </w:p>
    <w:p w:rsidR="0068274A" w:rsidRPr="005D3D19" w:rsidRDefault="0068274A" w:rsidP="0068274A">
      <w:pPr>
        <w:ind w:right="-2"/>
        <w:rPr>
          <w:rFonts w:cs="Arial"/>
          <w:sz w:val="20"/>
          <w:szCs w:val="20"/>
        </w:rPr>
      </w:pPr>
      <w:r w:rsidRPr="005D3D19">
        <w:rPr>
          <w:rFonts w:cs="Arial"/>
          <w:sz w:val="20"/>
          <w:szCs w:val="20"/>
        </w:rPr>
        <w:t xml:space="preserve">The waste figures reported are for Darwin only. The Jabiru Field Station does not collect data on waste, although it continues to sort waste to be recycled at the local waste repository. There was an overall </w:t>
      </w:r>
      <w:r w:rsidRPr="00445316">
        <w:rPr>
          <w:rFonts w:cs="Arial"/>
          <w:sz w:val="20"/>
          <w:szCs w:val="20"/>
        </w:rPr>
        <w:t>decrease</w:t>
      </w:r>
      <w:r w:rsidRPr="005D3D19">
        <w:rPr>
          <w:rFonts w:cs="Arial"/>
          <w:sz w:val="20"/>
          <w:szCs w:val="20"/>
        </w:rPr>
        <w:t xml:space="preserve"> in total waste produced between </w:t>
      </w:r>
      <w:r w:rsidRPr="00445316">
        <w:rPr>
          <w:rFonts w:cs="Arial"/>
          <w:sz w:val="20"/>
          <w:szCs w:val="20"/>
        </w:rPr>
        <w:t>2014-15 and 2015-1</w:t>
      </w:r>
      <w:r>
        <w:rPr>
          <w:rFonts w:cs="Arial"/>
          <w:sz w:val="20"/>
          <w:szCs w:val="20"/>
        </w:rPr>
        <w:t>6</w:t>
      </w:r>
      <w:r w:rsidRPr="005D3D19">
        <w:rPr>
          <w:rFonts w:cs="Arial"/>
          <w:sz w:val="20"/>
          <w:szCs w:val="20"/>
        </w:rPr>
        <w:t xml:space="preserve"> </w:t>
      </w:r>
      <w:r>
        <w:rPr>
          <w:rFonts w:cs="Arial"/>
          <w:sz w:val="20"/>
          <w:szCs w:val="20"/>
        </w:rPr>
        <w:t xml:space="preserve">from </w:t>
      </w:r>
      <w:r w:rsidRPr="005D3D19">
        <w:rPr>
          <w:rFonts w:cs="Arial"/>
          <w:sz w:val="20"/>
          <w:szCs w:val="20"/>
        </w:rPr>
        <w:t>20.43</w:t>
      </w:r>
      <w:r w:rsidR="00FF2514">
        <w:rPr>
          <w:rFonts w:cs="Arial"/>
          <w:sz w:val="20"/>
          <w:szCs w:val="20"/>
        </w:rPr>
        <w:t xml:space="preserve"> </w:t>
      </w:r>
      <w:r w:rsidR="00E622AC">
        <w:rPr>
          <w:rFonts w:cs="Arial"/>
          <w:sz w:val="20"/>
          <w:szCs w:val="20"/>
        </w:rPr>
        <w:t>t in 2014-2015 to 10.23</w:t>
      </w:r>
      <w:r w:rsidR="00FF2514">
        <w:rPr>
          <w:rFonts w:cs="Arial"/>
          <w:sz w:val="20"/>
          <w:szCs w:val="20"/>
        </w:rPr>
        <w:t xml:space="preserve"> </w:t>
      </w:r>
      <w:r w:rsidR="00E622AC">
        <w:rPr>
          <w:rFonts w:cs="Arial"/>
          <w:sz w:val="20"/>
          <w:szCs w:val="20"/>
        </w:rPr>
        <w:t>t in 2015-</w:t>
      </w:r>
      <w:r>
        <w:rPr>
          <w:rFonts w:cs="Arial"/>
          <w:sz w:val="20"/>
          <w:szCs w:val="20"/>
        </w:rPr>
        <w:t xml:space="preserve">16, </w:t>
      </w:r>
      <w:r w:rsidRPr="005D3D19">
        <w:rPr>
          <w:rFonts w:cs="Arial"/>
          <w:sz w:val="20"/>
          <w:szCs w:val="20"/>
        </w:rPr>
        <w:t xml:space="preserve">a reduction </w:t>
      </w:r>
      <w:r w:rsidRPr="00445316">
        <w:rPr>
          <w:rFonts w:cs="Arial"/>
          <w:sz w:val="20"/>
          <w:szCs w:val="20"/>
        </w:rPr>
        <w:t xml:space="preserve">of </w:t>
      </w:r>
      <w:r w:rsidR="00E622AC">
        <w:rPr>
          <w:rFonts w:cs="Arial"/>
          <w:sz w:val="20"/>
          <w:szCs w:val="20"/>
        </w:rPr>
        <w:t>50</w:t>
      </w:r>
      <w:r w:rsidRPr="00445316">
        <w:rPr>
          <w:rFonts w:cs="Arial"/>
          <w:sz w:val="20"/>
          <w:szCs w:val="20"/>
        </w:rPr>
        <w:t>% (10.21 tonnes).</w:t>
      </w:r>
      <w:r w:rsidRPr="005D3D19">
        <w:rPr>
          <w:rFonts w:cs="Arial"/>
          <w:sz w:val="20"/>
          <w:szCs w:val="20"/>
        </w:rPr>
        <w:t xml:space="preserve"> </w:t>
      </w:r>
      <w:r>
        <w:rPr>
          <w:rFonts w:cs="Arial"/>
          <w:sz w:val="20"/>
          <w:szCs w:val="20"/>
        </w:rPr>
        <w:t>Whilst SSB had reduced resources over the reporting period through staff reductions, SSB are unable to explain the large reduction in reported waste generation.</w:t>
      </w:r>
    </w:p>
    <w:p w:rsidR="0068274A" w:rsidRPr="005D3D19" w:rsidRDefault="0068274A" w:rsidP="0068274A">
      <w:pPr>
        <w:pStyle w:val="Heading4"/>
        <w:ind w:right="-2"/>
        <w:rPr>
          <w:rFonts w:cs="Times New Roman"/>
          <w:bCs/>
          <w:i w:val="0"/>
          <w:sz w:val="20"/>
          <w:szCs w:val="20"/>
          <w:u w:val="single"/>
        </w:rPr>
      </w:pPr>
      <w:r w:rsidRPr="005D3D19">
        <w:rPr>
          <w:i w:val="0"/>
          <w:sz w:val="20"/>
          <w:szCs w:val="20"/>
          <w:u w:val="single"/>
        </w:rPr>
        <w:t>Water</w:t>
      </w:r>
    </w:p>
    <w:p w:rsidR="0068274A" w:rsidRPr="005D3D19" w:rsidRDefault="0068274A" w:rsidP="0068274A">
      <w:pPr>
        <w:ind w:right="-2"/>
        <w:rPr>
          <w:rFonts w:cs="Arial"/>
          <w:sz w:val="20"/>
          <w:szCs w:val="20"/>
        </w:rPr>
      </w:pPr>
      <w:r w:rsidRPr="005D3D19">
        <w:rPr>
          <w:rFonts w:cs="Arial"/>
          <w:sz w:val="20"/>
          <w:szCs w:val="20"/>
        </w:rPr>
        <w:t xml:space="preserve">Water consumption at the Darwin facility </w:t>
      </w:r>
      <w:r>
        <w:rPr>
          <w:rFonts w:cs="Arial"/>
          <w:sz w:val="20"/>
          <w:szCs w:val="20"/>
        </w:rPr>
        <w:t>increased</w:t>
      </w:r>
      <w:r w:rsidRPr="005D3D19">
        <w:rPr>
          <w:rFonts w:cs="Arial"/>
          <w:sz w:val="20"/>
          <w:szCs w:val="20"/>
        </w:rPr>
        <w:t xml:space="preserve"> by </w:t>
      </w:r>
      <w:r>
        <w:rPr>
          <w:rFonts w:cs="Arial"/>
          <w:sz w:val="20"/>
          <w:szCs w:val="20"/>
        </w:rPr>
        <w:t>1</w:t>
      </w:r>
      <w:r w:rsidR="00E622AC">
        <w:rPr>
          <w:rFonts w:cs="Arial"/>
          <w:sz w:val="20"/>
          <w:szCs w:val="20"/>
        </w:rPr>
        <w:t>9</w:t>
      </w:r>
      <w:r w:rsidRPr="005D3D19">
        <w:rPr>
          <w:rFonts w:cs="Arial"/>
          <w:sz w:val="20"/>
          <w:szCs w:val="20"/>
        </w:rPr>
        <w:t>% from </w:t>
      </w:r>
      <w:r>
        <w:rPr>
          <w:rFonts w:cs="Arial"/>
          <w:sz w:val="20"/>
          <w:szCs w:val="20"/>
        </w:rPr>
        <w:t>4,909</w:t>
      </w:r>
      <w:r w:rsidRPr="005D3D19">
        <w:rPr>
          <w:rFonts w:cs="Arial"/>
          <w:sz w:val="20"/>
          <w:szCs w:val="20"/>
        </w:rPr>
        <w:t xml:space="preserve"> kilolitres in 201</w:t>
      </w:r>
      <w:r>
        <w:rPr>
          <w:rFonts w:cs="Arial"/>
          <w:sz w:val="20"/>
          <w:szCs w:val="20"/>
        </w:rPr>
        <w:t>4</w:t>
      </w:r>
      <w:r w:rsidRPr="005D3D19">
        <w:rPr>
          <w:rFonts w:cs="Arial"/>
          <w:sz w:val="20"/>
          <w:szCs w:val="20"/>
        </w:rPr>
        <w:t>-1</w:t>
      </w:r>
      <w:r>
        <w:rPr>
          <w:rFonts w:cs="Arial"/>
          <w:sz w:val="20"/>
          <w:szCs w:val="20"/>
        </w:rPr>
        <w:t>5</w:t>
      </w:r>
      <w:r w:rsidRPr="005D3D19">
        <w:rPr>
          <w:rFonts w:cs="Arial"/>
          <w:sz w:val="20"/>
          <w:szCs w:val="20"/>
        </w:rPr>
        <w:t xml:space="preserve"> to </w:t>
      </w:r>
      <w:r w:rsidR="00FF2514">
        <w:rPr>
          <w:rFonts w:cs="Arial"/>
          <w:sz w:val="20"/>
          <w:szCs w:val="20"/>
        </w:rPr>
        <w:br/>
      </w:r>
      <w:r>
        <w:rPr>
          <w:rFonts w:cs="Arial"/>
          <w:sz w:val="20"/>
          <w:szCs w:val="20"/>
        </w:rPr>
        <w:t>5,857</w:t>
      </w:r>
      <w:r w:rsidRPr="005D3D19">
        <w:rPr>
          <w:rFonts w:cs="Arial"/>
          <w:sz w:val="20"/>
          <w:szCs w:val="20"/>
        </w:rPr>
        <w:t xml:space="preserve"> kilolitres in 201</w:t>
      </w:r>
      <w:r w:rsidR="00E622AC">
        <w:rPr>
          <w:rFonts w:cs="Arial"/>
          <w:sz w:val="20"/>
          <w:szCs w:val="20"/>
        </w:rPr>
        <w:t>5</w:t>
      </w:r>
      <w:r w:rsidRPr="005D3D19">
        <w:rPr>
          <w:rFonts w:cs="Arial"/>
          <w:sz w:val="20"/>
          <w:szCs w:val="20"/>
        </w:rPr>
        <w:t>-1</w:t>
      </w:r>
      <w:r w:rsidR="00E622AC">
        <w:rPr>
          <w:rFonts w:cs="Arial"/>
          <w:sz w:val="20"/>
          <w:szCs w:val="20"/>
        </w:rPr>
        <w:t>6</w:t>
      </w:r>
      <w:r w:rsidRPr="005D3D19">
        <w:rPr>
          <w:rFonts w:cs="Arial"/>
          <w:sz w:val="20"/>
          <w:szCs w:val="20"/>
        </w:rPr>
        <w:t xml:space="preserve">. Water consumption at the Jabiru Field Station has </w:t>
      </w:r>
      <w:r>
        <w:rPr>
          <w:rFonts w:cs="Arial"/>
          <w:sz w:val="20"/>
          <w:szCs w:val="20"/>
        </w:rPr>
        <w:t>decreased</w:t>
      </w:r>
      <w:r w:rsidRPr="005D3D19">
        <w:rPr>
          <w:rFonts w:cs="Arial"/>
          <w:sz w:val="20"/>
          <w:szCs w:val="20"/>
        </w:rPr>
        <w:t xml:space="preserve"> by </w:t>
      </w:r>
      <w:r w:rsidR="00E622AC">
        <w:rPr>
          <w:rFonts w:cs="Arial"/>
          <w:sz w:val="20"/>
          <w:szCs w:val="20"/>
        </w:rPr>
        <w:t>65</w:t>
      </w:r>
      <w:r>
        <w:rPr>
          <w:rFonts w:cs="Arial"/>
          <w:sz w:val="20"/>
          <w:szCs w:val="20"/>
        </w:rPr>
        <w:t>%</w:t>
      </w:r>
      <w:r w:rsidRPr="005D3D19">
        <w:rPr>
          <w:rFonts w:cs="Arial"/>
          <w:sz w:val="20"/>
          <w:szCs w:val="20"/>
        </w:rPr>
        <w:t xml:space="preserve"> from </w:t>
      </w:r>
      <w:r>
        <w:rPr>
          <w:rFonts w:cs="Arial"/>
          <w:sz w:val="20"/>
          <w:szCs w:val="20"/>
        </w:rPr>
        <w:t>10,196</w:t>
      </w:r>
      <w:r w:rsidRPr="005D3D19">
        <w:rPr>
          <w:rFonts w:cs="Arial"/>
          <w:sz w:val="20"/>
          <w:szCs w:val="20"/>
        </w:rPr>
        <w:t xml:space="preserve"> kilolitres in 201</w:t>
      </w:r>
      <w:r>
        <w:rPr>
          <w:rFonts w:cs="Arial"/>
          <w:sz w:val="20"/>
          <w:szCs w:val="20"/>
        </w:rPr>
        <w:t>4</w:t>
      </w:r>
      <w:r w:rsidRPr="005D3D19">
        <w:rPr>
          <w:rFonts w:cs="Arial"/>
          <w:sz w:val="20"/>
          <w:szCs w:val="20"/>
        </w:rPr>
        <w:t>-1</w:t>
      </w:r>
      <w:r>
        <w:rPr>
          <w:rFonts w:cs="Arial"/>
          <w:sz w:val="20"/>
          <w:szCs w:val="20"/>
        </w:rPr>
        <w:t>5</w:t>
      </w:r>
      <w:r w:rsidRPr="005D3D19">
        <w:rPr>
          <w:rFonts w:cs="Arial"/>
          <w:sz w:val="20"/>
          <w:szCs w:val="20"/>
        </w:rPr>
        <w:t xml:space="preserve"> to </w:t>
      </w:r>
      <w:r>
        <w:rPr>
          <w:rFonts w:cs="Arial"/>
          <w:sz w:val="20"/>
          <w:szCs w:val="20"/>
        </w:rPr>
        <w:t>2,615 kilolitres in 2015-16</w:t>
      </w:r>
      <w:r w:rsidRPr="005D3D19">
        <w:rPr>
          <w:rFonts w:cs="Arial"/>
          <w:sz w:val="20"/>
          <w:szCs w:val="20"/>
        </w:rPr>
        <w:t xml:space="preserve">.  </w:t>
      </w:r>
      <w:r>
        <w:rPr>
          <w:rFonts w:cs="Arial"/>
          <w:sz w:val="20"/>
          <w:szCs w:val="20"/>
        </w:rPr>
        <w:t>The repair of a</w:t>
      </w:r>
      <w:r w:rsidRPr="005D3D19">
        <w:rPr>
          <w:rFonts w:cs="Arial"/>
          <w:sz w:val="20"/>
          <w:szCs w:val="20"/>
        </w:rPr>
        <w:t xml:space="preserve"> water leak under an unused building at the Field Station</w:t>
      </w:r>
      <w:r>
        <w:rPr>
          <w:rFonts w:cs="Arial"/>
          <w:sz w:val="20"/>
          <w:szCs w:val="20"/>
        </w:rPr>
        <w:t xml:space="preserve"> would account for the decrease to a usage rate and usage is now </w:t>
      </w:r>
      <w:r w:rsidR="00F5423D">
        <w:rPr>
          <w:rFonts w:cs="Arial"/>
          <w:sz w:val="20"/>
          <w:szCs w:val="20"/>
        </w:rPr>
        <w:t>consistent</w:t>
      </w:r>
      <w:r>
        <w:rPr>
          <w:rFonts w:cs="Arial"/>
          <w:sz w:val="20"/>
          <w:szCs w:val="20"/>
        </w:rPr>
        <w:t xml:space="preserve"> with previous years.</w:t>
      </w:r>
    </w:p>
    <w:p w:rsidR="0068274A" w:rsidRPr="005D3D19" w:rsidRDefault="0068274A" w:rsidP="0068274A">
      <w:pPr>
        <w:ind w:right="-2"/>
        <w:rPr>
          <w:rFonts w:cs="Arial"/>
          <w:sz w:val="20"/>
          <w:szCs w:val="20"/>
        </w:rPr>
      </w:pPr>
      <w:r w:rsidRPr="005D3D19">
        <w:rPr>
          <w:rFonts w:cs="Arial"/>
          <w:sz w:val="20"/>
          <w:szCs w:val="20"/>
        </w:rPr>
        <w:t xml:space="preserve">It is estimated that SSB is responsible for about 50% of total water used by staff at the Jabiru </w:t>
      </w:r>
      <w:r w:rsidR="00F5423D" w:rsidRPr="005D3D19">
        <w:rPr>
          <w:rFonts w:cs="Arial"/>
          <w:sz w:val="20"/>
          <w:szCs w:val="20"/>
        </w:rPr>
        <w:t>facility,</w:t>
      </w:r>
      <w:r w:rsidR="00F5423D">
        <w:rPr>
          <w:rFonts w:cs="Arial"/>
          <w:sz w:val="20"/>
          <w:szCs w:val="20"/>
        </w:rPr>
        <w:t xml:space="preserve"> largely</w:t>
      </w:r>
      <w:r w:rsidRPr="005D3D19">
        <w:rPr>
          <w:rFonts w:cs="Arial"/>
          <w:sz w:val="20"/>
          <w:szCs w:val="20"/>
        </w:rPr>
        <w:t xml:space="preserve"> aquaculture activities and grounds maintenance</w:t>
      </w:r>
      <w:r>
        <w:rPr>
          <w:rFonts w:cs="Arial"/>
          <w:sz w:val="20"/>
          <w:szCs w:val="20"/>
        </w:rPr>
        <w:t>,</w:t>
      </w:r>
      <w:r w:rsidRPr="005D3D19">
        <w:rPr>
          <w:rFonts w:cs="Arial"/>
          <w:sz w:val="20"/>
          <w:szCs w:val="20"/>
        </w:rPr>
        <w:t xml:space="preserve"> and tha</w:t>
      </w:r>
      <w:r w:rsidR="001C065E">
        <w:rPr>
          <w:rFonts w:cs="Arial"/>
          <w:sz w:val="20"/>
          <w:szCs w:val="20"/>
        </w:rPr>
        <w:t>t 50</w:t>
      </w:r>
      <w:r w:rsidRPr="005D3D19">
        <w:rPr>
          <w:rFonts w:cs="Arial"/>
          <w:sz w:val="20"/>
          <w:szCs w:val="20"/>
        </w:rPr>
        <w:t>% of water is used by a local Indigenous business that operates a native plant nursery on the site.</w:t>
      </w:r>
    </w:p>
    <w:p w:rsidR="0068274A" w:rsidRDefault="0068274A" w:rsidP="0068274A">
      <w:pPr>
        <w:spacing w:after="0" w:line="240" w:lineRule="auto"/>
        <w:ind w:left="-142" w:right="-2"/>
        <w:rPr>
          <w:rFonts w:cs="Arial"/>
          <w:sz w:val="20"/>
          <w:szCs w:val="20"/>
          <w:u w:val="single"/>
        </w:rPr>
      </w:pPr>
      <w:r w:rsidRPr="0068274A">
        <w:rPr>
          <w:rFonts w:cs="Arial"/>
          <w:sz w:val="20"/>
          <w:szCs w:val="20"/>
          <w:u w:val="single"/>
        </w:rPr>
        <w:t xml:space="preserve">Table </w:t>
      </w:r>
      <w:r w:rsidR="00B80AEB">
        <w:rPr>
          <w:rFonts w:cs="Arial"/>
          <w:sz w:val="20"/>
          <w:szCs w:val="20"/>
          <w:u w:val="single"/>
        </w:rPr>
        <w:t>4</w:t>
      </w:r>
      <w:r w:rsidRPr="0068274A">
        <w:rPr>
          <w:rFonts w:cs="Arial"/>
          <w:sz w:val="20"/>
          <w:szCs w:val="20"/>
          <w:u w:val="single"/>
        </w:rPr>
        <w:t>: Environmental indicators – Darwin and Jabiru</w:t>
      </w:r>
    </w:p>
    <w:p w:rsidR="0068274A" w:rsidRPr="0068274A" w:rsidRDefault="0068274A" w:rsidP="0068274A">
      <w:pPr>
        <w:spacing w:after="0" w:line="240" w:lineRule="auto"/>
        <w:ind w:left="-142" w:right="-2"/>
        <w:rPr>
          <w:rFonts w:cs="Arial"/>
          <w:sz w:val="20"/>
          <w:szCs w:val="20"/>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701"/>
        <w:gridCol w:w="1701"/>
        <w:gridCol w:w="1276"/>
      </w:tblGrid>
      <w:tr w:rsidR="0068274A" w:rsidRPr="005D3D19" w:rsidTr="00DA426A">
        <w:trPr>
          <w:trHeight w:val="141"/>
        </w:trPr>
        <w:tc>
          <w:tcPr>
            <w:tcW w:w="2977"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rPr>
                <w:rFonts w:cs="Arial"/>
                <w:b/>
                <w:sz w:val="20"/>
                <w:szCs w:val="20"/>
              </w:rPr>
            </w:pPr>
            <w:r w:rsidRPr="005D3D19">
              <w:rPr>
                <w:rFonts w:cs="Arial"/>
                <w:b/>
                <w:sz w:val="20"/>
                <w:szCs w:val="20"/>
              </w:rPr>
              <w:t>Indicator</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b/>
                <w:sz w:val="20"/>
                <w:szCs w:val="20"/>
              </w:rPr>
            </w:pPr>
            <w:r w:rsidRPr="005D3D19">
              <w:rPr>
                <w:rFonts w:cs="Arial"/>
                <w:b/>
                <w:sz w:val="20"/>
                <w:szCs w:val="20"/>
              </w:rPr>
              <w:t>2013–14 Result</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b/>
                <w:sz w:val="20"/>
                <w:szCs w:val="20"/>
              </w:rPr>
            </w:pPr>
            <w:r w:rsidRPr="005D3D19">
              <w:rPr>
                <w:rFonts w:cs="Arial"/>
                <w:b/>
                <w:sz w:val="20"/>
                <w:szCs w:val="20"/>
              </w:rPr>
              <w:t>2014-15 Result</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b/>
                <w:sz w:val="20"/>
                <w:szCs w:val="20"/>
              </w:rPr>
            </w:pPr>
            <w:r>
              <w:rPr>
                <w:rFonts w:cs="Arial"/>
                <w:b/>
                <w:sz w:val="20"/>
                <w:szCs w:val="20"/>
              </w:rPr>
              <w:t>2015</w:t>
            </w:r>
            <w:r w:rsidRPr="005D3D19">
              <w:rPr>
                <w:rFonts w:cs="Arial"/>
                <w:b/>
                <w:sz w:val="20"/>
                <w:szCs w:val="20"/>
              </w:rPr>
              <w:t>-1</w:t>
            </w:r>
            <w:r>
              <w:rPr>
                <w:rFonts w:cs="Arial"/>
                <w:b/>
                <w:sz w:val="20"/>
                <w:szCs w:val="20"/>
              </w:rPr>
              <w:t>6</w:t>
            </w:r>
            <w:r w:rsidRPr="005D3D19">
              <w:rPr>
                <w:rFonts w:cs="Arial"/>
                <w:b/>
                <w:sz w:val="20"/>
                <w:szCs w:val="20"/>
              </w:rPr>
              <w:t xml:space="preserve"> Result</w:t>
            </w:r>
          </w:p>
        </w:tc>
        <w:tc>
          <w:tcPr>
            <w:tcW w:w="1276"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b/>
                <w:sz w:val="20"/>
                <w:szCs w:val="20"/>
              </w:rPr>
            </w:pPr>
            <w:r w:rsidRPr="005D3D19">
              <w:rPr>
                <w:rFonts w:cs="Arial"/>
                <w:b/>
                <w:sz w:val="20"/>
                <w:szCs w:val="20"/>
              </w:rPr>
              <w:t>% Change</w:t>
            </w:r>
          </w:p>
        </w:tc>
      </w:tr>
      <w:tr w:rsidR="0068274A" w:rsidRPr="005D3D19" w:rsidTr="00DA426A">
        <w:trPr>
          <w:trHeight w:val="187"/>
        </w:trPr>
        <w:tc>
          <w:tcPr>
            <w:tcW w:w="9356" w:type="dxa"/>
            <w:gridSpan w:val="5"/>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ind w:right="-2"/>
              <w:rPr>
                <w:rFonts w:cs="Arial"/>
                <w:sz w:val="20"/>
                <w:szCs w:val="20"/>
              </w:rPr>
            </w:pPr>
            <w:r w:rsidRPr="005D3D19">
              <w:rPr>
                <w:rFonts w:cs="Arial"/>
                <w:b/>
                <w:sz w:val="20"/>
                <w:szCs w:val="20"/>
              </w:rPr>
              <w:t>Staffing</w:t>
            </w:r>
          </w:p>
        </w:tc>
      </w:tr>
      <w:tr w:rsidR="0068274A" w:rsidRPr="005D3D19" w:rsidTr="00DA426A">
        <w:trPr>
          <w:trHeight w:val="301"/>
        </w:trPr>
        <w:tc>
          <w:tcPr>
            <w:tcW w:w="2977"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rPr>
                <w:rFonts w:cs="Arial"/>
                <w:sz w:val="20"/>
                <w:szCs w:val="20"/>
              </w:rPr>
            </w:pPr>
            <w:r w:rsidRPr="005D3D19">
              <w:rPr>
                <w:rFonts w:cs="Arial"/>
                <w:sz w:val="20"/>
                <w:szCs w:val="20"/>
              </w:rPr>
              <w:t>Average Staffing Levels (Full Time Equivalent)</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sz w:val="20"/>
                <w:szCs w:val="20"/>
              </w:rPr>
            </w:pPr>
            <w:r>
              <w:rPr>
                <w:rFonts w:cs="Arial"/>
                <w:sz w:val="20"/>
                <w:szCs w:val="20"/>
              </w:rPr>
              <w:t>60</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sz w:val="20"/>
                <w:szCs w:val="20"/>
              </w:rPr>
            </w:pPr>
            <w:r>
              <w:rPr>
                <w:rFonts w:cs="Arial"/>
                <w:sz w:val="20"/>
                <w:szCs w:val="20"/>
              </w:rPr>
              <w:t>59</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ind w:right="-2"/>
              <w:jc w:val="right"/>
              <w:rPr>
                <w:rFonts w:cs="Arial"/>
                <w:sz w:val="20"/>
                <w:szCs w:val="20"/>
              </w:rPr>
            </w:pPr>
            <w:r>
              <w:rPr>
                <w:rFonts w:cs="Arial"/>
                <w:sz w:val="20"/>
                <w:szCs w:val="20"/>
              </w:rPr>
              <w:t>48</w:t>
            </w:r>
          </w:p>
        </w:tc>
        <w:tc>
          <w:tcPr>
            <w:tcW w:w="1276" w:type="dxa"/>
            <w:tcBorders>
              <w:top w:val="single" w:sz="4" w:space="0" w:color="auto"/>
              <w:left w:val="single" w:sz="4" w:space="0" w:color="auto"/>
              <w:bottom w:val="single" w:sz="4" w:space="0" w:color="auto"/>
              <w:right w:val="single" w:sz="4" w:space="0" w:color="auto"/>
            </w:tcBorders>
            <w:hideMark/>
          </w:tcPr>
          <w:p w:rsidR="0068274A" w:rsidRPr="005D3D19" w:rsidRDefault="001C065E" w:rsidP="001C065E">
            <w:pPr>
              <w:spacing w:after="0"/>
              <w:ind w:right="-2"/>
              <w:jc w:val="right"/>
              <w:rPr>
                <w:rFonts w:cs="Arial"/>
                <w:sz w:val="20"/>
                <w:szCs w:val="20"/>
              </w:rPr>
            </w:pPr>
            <w:r>
              <w:rPr>
                <w:rFonts w:cs="Arial"/>
                <w:sz w:val="20"/>
                <w:szCs w:val="20"/>
              </w:rPr>
              <w:t>-18.6%</w:t>
            </w:r>
          </w:p>
        </w:tc>
      </w:tr>
      <w:tr w:rsidR="0068274A" w:rsidRPr="005D3D19" w:rsidTr="00DA426A">
        <w:tc>
          <w:tcPr>
            <w:tcW w:w="9356" w:type="dxa"/>
            <w:gridSpan w:val="5"/>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ind w:right="-2"/>
              <w:rPr>
                <w:rFonts w:cs="Arial"/>
                <w:sz w:val="20"/>
                <w:szCs w:val="20"/>
              </w:rPr>
            </w:pPr>
            <w:r w:rsidRPr="005D3D19">
              <w:rPr>
                <w:rFonts w:cs="Arial"/>
                <w:b/>
                <w:sz w:val="20"/>
                <w:szCs w:val="20"/>
              </w:rPr>
              <w:t>Office/building energy use</w:t>
            </w:r>
          </w:p>
        </w:tc>
      </w:tr>
      <w:tr w:rsidR="0068274A" w:rsidRPr="005D3D19" w:rsidTr="00DA426A">
        <w:trPr>
          <w:trHeight w:val="160"/>
        </w:trPr>
        <w:tc>
          <w:tcPr>
            <w:tcW w:w="2977"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rPr>
                <w:rFonts w:cs="Arial"/>
                <w:sz w:val="20"/>
                <w:szCs w:val="20"/>
              </w:rPr>
            </w:pPr>
            <w:r w:rsidRPr="005D3D19">
              <w:rPr>
                <w:rFonts w:cs="Arial"/>
                <w:sz w:val="20"/>
                <w:szCs w:val="20"/>
              </w:rPr>
              <w:t>Total office tenant light and power</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line="240" w:lineRule="auto"/>
              <w:ind w:right="-2"/>
              <w:jc w:val="right"/>
              <w:rPr>
                <w:rFonts w:cs="Arial"/>
                <w:sz w:val="20"/>
                <w:szCs w:val="20"/>
              </w:rPr>
            </w:pPr>
            <w:r w:rsidRPr="005D3D19">
              <w:rPr>
                <w:rFonts w:cs="Arial"/>
                <w:sz w:val="20"/>
                <w:szCs w:val="20"/>
              </w:rPr>
              <w:t xml:space="preserve">982,130 MJ </w:t>
            </w:r>
          </w:p>
        </w:tc>
        <w:tc>
          <w:tcPr>
            <w:tcW w:w="1701" w:type="dxa"/>
            <w:tcBorders>
              <w:top w:val="single" w:sz="4" w:space="0" w:color="auto"/>
              <w:left w:val="single" w:sz="4" w:space="0" w:color="auto"/>
              <w:bottom w:val="single" w:sz="4" w:space="0" w:color="auto"/>
              <w:right w:val="single" w:sz="4" w:space="0" w:color="auto"/>
            </w:tcBorders>
            <w:hideMark/>
          </w:tcPr>
          <w:p w:rsidR="0068274A" w:rsidRPr="005D3D19" w:rsidRDefault="0068274A" w:rsidP="00DA426A">
            <w:pPr>
              <w:spacing w:after="0"/>
              <w:ind w:right="-2"/>
              <w:jc w:val="right"/>
              <w:rPr>
                <w:rFonts w:cs="Arial"/>
                <w:sz w:val="20"/>
                <w:szCs w:val="20"/>
              </w:rPr>
            </w:pPr>
            <w:r w:rsidRPr="005D3D19">
              <w:rPr>
                <w:rFonts w:cs="Arial"/>
                <w:sz w:val="20"/>
                <w:szCs w:val="20"/>
              </w:rPr>
              <w:t>986,258 MJ</w:t>
            </w:r>
          </w:p>
        </w:tc>
        <w:tc>
          <w:tcPr>
            <w:tcW w:w="1701" w:type="dxa"/>
            <w:tcBorders>
              <w:top w:val="single" w:sz="4" w:space="0" w:color="auto"/>
              <w:left w:val="single" w:sz="4" w:space="0" w:color="auto"/>
              <w:bottom w:val="single" w:sz="4" w:space="0" w:color="auto"/>
              <w:right w:val="single" w:sz="4" w:space="0" w:color="auto"/>
            </w:tcBorders>
          </w:tcPr>
          <w:p w:rsidR="0068274A" w:rsidRPr="005D3D19" w:rsidRDefault="0068274A" w:rsidP="00600CE1">
            <w:pPr>
              <w:spacing w:after="0"/>
              <w:ind w:right="-2"/>
              <w:jc w:val="right"/>
              <w:rPr>
                <w:rFonts w:cs="Arial"/>
                <w:sz w:val="20"/>
                <w:szCs w:val="20"/>
              </w:rPr>
            </w:pPr>
            <w:r>
              <w:rPr>
                <w:rFonts w:cs="Arial"/>
                <w:sz w:val="20"/>
                <w:szCs w:val="20"/>
              </w:rPr>
              <w:t>883</w:t>
            </w:r>
            <w:r w:rsidR="001C065E">
              <w:rPr>
                <w:rFonts w:cs="Arial"/>
                <w:sz w:val="20"/>
                <w:szCs w:val="20"/>
              </w:rPr>
              <w:t>,</w:t>
            </w:r>
            <w:r>
              <w:rPr>
                <w:rFonts w:cs="Arial"/>
                <w:sz w:val="20"/>
                <w:szCs w:val="20"/>
              </w:rPr>
              <w:t>141 M</w:t>
            </w:r>
            <w:r w:rsidR="00600CE1">
              <w:rPr>
                <w:rFonts w:cs="Arial"/>
                <w:sz w:val="20"/>
                <w:szCs w:val="20"/>
              </w:rPr>
              <w:t>J</w:t>
            </w:r>
          </w:p>
        </w:tc>
        <w:tc>
          <w:tcPr>
            <w:tcW w:w="1276" w:type="dxa"/>
            <w:tcBorders>
              <w:top w:val="single" w:sz="4" w:space="0" w:color="auto"/>
              <w:left w:val="single" w:sz="4" w:space="0" w:color="auto"/>
              <w:bottom w:val="single" w:sz="4" w:space="0" w:color="auto"/>
              <w:right w:val="single" w:sz="4" w:space="0" w:color="auto"/>
            </w:tcBorders>
          </w:tcPr>
          <w:p w:rsidR="0068274A" w:rsidRPr="005D3D19" w:rsidRDefault="001C065E" w:rsidP="00FF2514">
            <w:pPr>
              <w:spacing w:after="0"/>
              <w:ind w:right="-2"/>
              <w:jc w:val="right"/>
              <w:rPr>
                <w:rFonts w:cs="Arial"/>
                <w:sz w:val="20"/>
                <w:szCs w:val="20"/>
              </w:rPr>
            </w:pPr>
            <w:r>
              <w:rPr>
                <w:rFonts w:cs="Arial"/>
                <w:sz w:val="20"/>
                <w:szCs w:val="20"/>
              </w:rPr>
              <w:t>-10.</w:t>
            </w:r>
            <w:r w:rsidR="00FF2514">
              <w:rPr>
                <w:rFonts w:cs="Arial"/>
                <w:sz w:val="20"/>
                <w:szCs w:val="20"/>
              </w:rPr>
              <w:t>5</w:t>
            </w:r>
            <w:r>
              <w:rPr>
                <w:rFonts w:cs="Arial"/>
                <w:sz w:val="20"/>
                <w:szCs w:val="20"/>
              </w:rPr>
              <w:t>%</w:t>
            </w:r>
          </w:p>
        </w:tc>
      </w:tr>
      <w:tr w:rsidR="00F5423D" w:rsidRPr="005D3D19" w:rsidTr="00DA426A">
        <w:trPr>
          <w:trHeight w:val="163"/>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Tenant light and power per person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16,479 MJ</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16,632 MJ</w:t>
            </w:r>
          </w:p>
        </w:tc>
        <w:tc>
          <w:tcPr>
            <w:tcW w:w="1701" w:type="dxa"/>
            <w:tcBorders>
              <w:top w:val="single" w:sz="4" w:space="0" w:color="auto"/>
              <w:left w:val="single" w:sz="4" w:space="0" w:color="auto"/>
              <w:bottom w:val="single" w:sz="4" w:space="0" w:color="auto"/>
              <w:right w:val="single" w:sz="4" w:space="0" w:color="auto"/>
            </w:tcBorders>
          </w:tcPr>
          <w:p w:rsidR="00F5423D" w:rsidRPr="008B76F8" w:rsidRDefault="003E13A0" w:rsidP="00F5423D">
            <w:pPr>
              <w:spacing w:after="0"/>
              <w:ind w:right="-2"/>
              <w:jc w:val="right"/>
              <w:rPr>
                <w:rFonts w:cs="Arial"/>
                <w:sz w:val="20"/>
                <w:szCs w:val="20"/>
              </w:rPr>
            </w:pPr>
            <w:r w:rsidRPr="008B76F8">
              <w:rPr>
                <w:rFonts w:cs="Arial"/>
                <w:sz w:val="20"/>
                <w:szCs w:val="20"/>
              </w:rPr>
              <w:t>18,398 MJ</w:t>
            </w:r>
          </w:p>
        </w:tc>
        <w:tc>
          <w:tcPr>
            <w:tcW w:w="1276" w:type="dxa"/>
            <w:tcBorders>
              <w:top w:val="single" w:sz="4" w:space="0" w:color="auto"/>
              <w:left w:val="single" w:sz="4" w:space="0" w:color="auto"/>
              <w:bottom w:val="single" w:sz="4" w:space="0" w:color="auto"/>
              <w:right w:val="single" w:sz="4" w:space="0" w:color="auto"/>
            </w:tcBorders>
          </w:tcPr>
          <w:p w:rsidR="00F5423D" w:rsidRPr="008B76F8" w:rsidRDefault="003E13A0" w:rsidP="00F5423D">
            <w:pPr>
              <w:spacing w:after="0"/>
              <w:ind w:right="-2"/>
              <w:jc w:val="right"/>
              <w:rPr>
                <w:rFonts w:cs="Arial"/>
                <w:sz w:val="20"/>
                <w:szCs w:val="20"/>
              </w:rPr>
            </w:pPr>
            <w:r w:rsidRPr="008B76F8">
              <w:rPr>
                <w:rFonts w:cs="Arial"/>
                <w:sz w:val="20"/>
                <w:szCs w:val="20"/>
              </w:rPr>
              <w:t>10.6%</w:t>
            </w:r>
          </w:p>
        </w:tc>
      </w:tr>
      <w:tr w:rsidR="00F5423D" w:rsidRPr="005D3D19" w:rsidTr="00DA426A">
        <w:trPr>
          <w:trHeight w:val="284"/>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Tenant light and power per square metre</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tcPr>
          <w:p w:rsidR="00F5423D" w:rsidRPr="008B76F8" w:rsidRDefault="003E13A0" w:rsidP="00F5423D">
            <w:pPr>
              <w:spacing w:after="0"/>
              <w:ind w:right="-2"/>
              <w:jc w:val="right"/>
              <w:rPr>
                <w:rFonts w:cs="Arial"/>
                <w:sz w:val="20"/>
                <w:szCs w:val="20"/>
              </w:rPr>
            </w:pPr>
            <w:r w:rsidRPr="008B76F8">
              <w:rPr>
                <w:rFonts w:cs="Arial"/>
                <w:sz w:val="20"/>
                <w:szCs w:val="20"/>
              </w:rPr>
              <w:t>951 MJ/m</w:t>
            </w:r>
            <w:r w:rsidRPr="008B76F8">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Pr>
          <w:p w:rsidR="00F5423D" w:rsidRPr="008B76F8" w:rsidRDefault="00B80AEB" w:rsidP="00F5423D">
            <w:pPr>
              <w:spacing w:after="0"/>
              <w:ind w:right="-2"/>
              <w:jc w:val="right"/>
              <w:rPr>
                <w:rFonts w:cs="Arial"/>
                <w:sz w:val="20"/>
                <w:szCs w:val="20"/>
              </w:rPr>
            </w:pPr>
            <w:r w:rsidRPr="008B76F8">
              <w:rPr>
                <w:rFonts w:cs="Arial"/>
                <w:sz w:val="20"/>
                <w:szCs w:val="20"/>
              </w:rPr>
              <w:t>85.38%</w:t>
            </w:r>
          </w:p>
        </w:tc>
      </w:tr>
      <w:tr w:rsidR="00F5423D" w:rsidRPr="005D3D19" w:rsidTr="00DA426A">
        <w:trPr>
          <w:trHeight w:val="132"/>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Total base building energy use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 xml:space="preserve">982,130 MJ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986,258 MJ</w:t>
            </w:r>
          </w:p>
        </w:tc>
        <w:tc>
          <w:tcPr>
            <w:tcW w:w="1701" w:type="dxa"/>
            <w:tcBorders>
              <w:top w:val="single" w:sz="4" w:space="0" w:color="auto"/>
              <w:left w:val="single" w:sz="4" w:space="0" w:color="auto"/>
              <w:bottom w:val="single" w:sz="4" w:space="0" w:color="auto"/>
              <w:right w:val="single" w:sz="4" w:space="0" w:color="auto"/>
            </w:tcBorders>
          </w:tcPr>
          <w:p w:rsidR="00F5423D" w:rsidRPr="008B76F8" w:rsidRDefault="008B76F8" w:rsidP="00F5423D">
            <w:pPr>
              <w:spacing w:after="0"/>
              <w:ind w:right="-2"/>
              <w:jc w:val="right"/>
              <w:rPr>
                <w:rFonts w:cs="Arial"/>
                <w:sz w:val="20"/>
                <w:szCs w:val="20"/>
              </w:rPr>
            </w:pPr>
            <w:r>
              <w:rPr>
                <w:rFonts w:cs="Arial"/>
                <w:sz w:val="20"/>
                <w:szCs w:val="20"/>
              </w:rPr>
              <w:t>0 MJ*</w:t>
            </w:r>
          </w:p>
        </w:tc>
        <w:tc>
          <w:tcPr>
            <w:tcW w:w="1276" w:type="dxa"/>
            <w:tcBorders>
              <w:top w:val="single" w:sz="4" w:space="0" w:color="auto"/>
              <w:left w:val="single" w:sz="4" w:space="0" w:color="auto"/>
              <w:bottom w:val="single" w:sz="4" w:space="0" w:color="auto"/>
              <w:right w:val="single" w:sz="4" w:space="0" w:color="auto"/>
            </w:tcBorders>
          </w:tcPr>
          <w:p w:rsidR="00F5423D" w:rsidRPr="008B76F8" w:rsidRDefault="008B76F8" w:rsidP="00F5423D">
            <w:pPr>
              <w:spacing w:after="0"/>
              <w:ind w:right="-2"/>
              <w:jc w:val="right"/>
              <w:rPr>
                <w:rFonts w:cs="Arial"/>
                <w:sz w:val="20"/>
                <w:szCs w:val="20"/>
              </w:rPr>
            </w:pPr>
            <w:r>
              <w:rPr>
                <w:rFonts w:cs="Arial"/>
                <w:sz w:val="20"/>
                <w:szCs w:val="20"/>
              </w:rPr>
              <w:t>n/a</w:t>
            </w:r>
          </w:p>
        </w:tc>
      </w:tr>
      <w:tr w:rsidR="00F5423D" w:rsidRPr="005D3D19" w:rsidTr="00DA426A">
        <w:trPr>
          <w:trHeight w:val="135"/>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Base building energy use by area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513 MJ/m</w:t>
            </w:r>
            <w:r w:rsidRPr="005D3D19">
              <w:rPr>
                <w:rFonts w:cs="Arial"/>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tcPr>
          <w:p w:rsidR="00F5423D" w:rsidRPr="008B76F8" w:rsidRDefault="008B76F8" w:rsidP="00F5423D">
            <w:pPr>
              <w:spacing w:after="0"/>
              <w:ind w:right="-2"/>
              <w:jc w:val="right"/>
              <w:rPr>
                <w:rFonts w:cs="Arial"/>
                <w:sz w:val="20"/>
                <w:szCs w:val="20"/>
              </w:rPr>
            </w:pPr>
            <w:r>
              <w:rPr>
                <w:rFonts w:cs="Arial"/>
                <w:sz w:val="20"/>
                <w:szCs w:val="20"/>
              </w:rPr>
              <w:t>0 MJ/m</w:t>
            </w:r>
            <w:r w:rsidRPr="008B76F8">
              <w:rPr>
                <w:rFonts w:cs="Arial"/>
                <w:sz w:val="20"/>
                <w:szCs w:val="20"/>
                <w:vertAlign w:val="superscript"/>
              </w:rPr>
              <w:t>2</w:t>
            </w:r>
            <w:r>
              <w:rPr>
                <w:rFonts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5423D" w:rsidRPr="008B76F8" w:rsidRDefault="008B76F8" w:rsidP="00F5423D">
            <w:pPr>
              <w:spacing w:after="0"/>
              <w:ind w:right="-2"/>
              <w:jc w:val="right"/>
              <w:rPr>
                <w:rFonts w:cs="Arial"/>
                <w:sz w:val="20"/>
                <w:szCs w:val="20"/>
              </w:rPr>
            </w:pPr>
            <w:r>
              <w:rPr>
                <w:rFonts w:cs="Arial"/>
                <w:sz w:val="20"/>
                <w:szCs w:val="20"/>
              </w:rPr>
              <w:t>n/a</w:t>
            </w:r>
          </w:p>
        </w:tc>
      </w:tr>
      <w:tr w:rsidR="00F5423D" w:rsidRPr="005D3D19" w:rsidTr="00DA426A">
        <w:trPr>
          <w:trHeight w:val="342"/>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Building energy use (electricity and gas):</w:t>
            </w:r>
          </w:p>
          <w:p w:rsidR="00F5423D" w:rsidRPr="005D3D19" w:rsidRDefault="00F5423D" w:rsidP="00F5423D">
            <w:pPr>
              <w:numPr>
                <w:ilvl w:val="0"/>
                <w:numId w:val="39"/>
              </w:numPr>
              <w:spacing w:after="0" w:line="240" w:lineRule="auto"/>
              <w:ind w:left="0" w:right="-2"/>
              <w:contextualSpacing/>
              <w:rPr>
                <w:rFonts w:cs="Arial"/>
                <w:sz w:val="20"/>
                <w:szCs w:val="20"/>
              </w:rPr>
            </w:pPr>
            <w:r w:rsidRPr="005D3D19">
              <w:rPr>
                <w:rFonts w:cs="Arial"/>
                <w:sz w:val="20"/>
                <w:szCs w:val="20"/>
              </w:rPr>
              <w:t>Laboratories</w:t>
            </w:r>
          </w:p>
          <w:p w:rsidR="00F5423D" w:rsidRPr="005D3D19" w:rsidRDefault="00F5423D" w:rsidP="00F5423D">
            <w:pPr>
              <w:numPr>
                <w:ilvl w:val="0"/>
                <w:numId w:val="39"/>
              </w:numPr>
              <w:spacing w:after="0" w:line="240" w:lineRule="auto"/>
              <w:ind w:left="0" w:right="-2"/>
              <w:contextualSpacing/>
              <w:rPr>
                <w:rFonts w:cs="Arial"/>
                <w:sz w:val="20"/>
                <w:szCs w:val="20"/>
              </w:rPr>
            </w:pPr>
            <w:r w:rsidRPr="005D3D19">
              <w:rPr>
                <w:rFonts w:cs="Arial"/>
                <w:sz w:val="20"/>
                <w:szCs w:val="20"/>
              </w:rPr>
              <w:t>Public buildings</w:t>
            </w:r>
          </w:p>
          <w:p w:rsidR="00F5423D" w:rsidRPr="005D3D19" w:rsidRDefault="00F5423D" w:rsidP="00F5423D">
            <w:pPr>
              <w:numPr>
                <w:ilvl w:val="0"/>
                <w:numId w:val="39"/>
              </w:numPr>
              <w:spacing w:after="0" w:line="240" w:lineRule="auto"/>
              <w:ind w:left="0" w:right="-2"/>
              <w:contextualSpacing/>
              <w:rPr>
                <w:rFonts w:cs="Arial"/>
                <w:sz w:val="20"/>
                <w:szCs w:val="20"/>
              </w:rPr>
            </w:pPr>
            <w:r w:rsidRPr="005D3D19">
              <w:rPr>
                <w:rFonts w:cs="Arial"/>
                <w:sz w:val="20"/>
                <w:szCs w:val="20"/>
              </w:rPr>
              <w:t>Accommodation</w:t>
            </w:r>
          </w:p>
          <w:p w:rsidR="00F5423D" w:rsidRPr="005D3D19" w:rsidRDefault="00F5423D" w:rsidP="00F5423D">
            <w:pPr>
              <w:numPr>
                <w:ilvl w:val="0"/>
                <w:numId w:val="39"/>
              </w:numPr>
              <w:spacing w:after="0" w:line="240" w:lineRule="auto"/>
              <w:ind w:left="0" w:right="-2"/>
              <w:contextualSpacing/>
              <w:rPr>
                <w:rFonts w:cs="Arial"/>
                <w:sz w:val="20"/>
                <w:szCs w:val="20"/>
              </w:rPr>
            </w:pPr>
            <w:r w:rsidRPr="005D3D19">
              <w:rPr>
                <w:rFonts w:cs="Arial"/>
                <w:sz w:val="20"/>
                <w:szCs w:val="20"/>
              </w:rPr>
              <w:t>Other—warehouse</w:t>
            </w:r>
            <w:r>
              <w:rPr>
                <w:rFonts w:cs="Arial"/>
                <w:sz w:val="20"/>
                <w:szCs w:val="20"/>
              </w:rPr>
              <w:t xml:space="preserve"> (JFS)</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p>
          <w:p w:rsidR="00F5423D" w:rsidRPr="005D3D19" w:rsidRDefault="00F5423D" w:rsidP="00F5423D">
            <w:pPr>
              <w:spacing w:after="0" w:line="240" w:lineRule="auto"/>
              <w:ind w:right="-2"/>
              <w:jc w:val="right"/>
              <w:rPr>
                <w:rFonts w:cs="Arial"/>
                <w:sz w:val="20"/>
                <w:szCs w:val="20"/>
              </w:rPr>
            </w:pPr>
          </w:p>
          <w:p w:rsidR="00F5423D" w:rsidRPr="005D3D19" w:rsidRDefault="00F5423D" w:rsidP="00F5423D">
            <w:pPr>
              <w:spacing w:after="0" w:line="240" w:lineRule="auto"/>
              <w:ind w:right="-2"/>
              <w:jc w:val="right"/>
              <w:rPr>
                <w:rFonts w:cs="Arial"/>
                <w:sz w:val="20"/>
                <w:szCs w:val="20"/>
              </w:rPr>
            </w:pPr>
            <w:r w:rsidRPr="005D3D19">
              <w:rPr>
                <w:rFonts w:cs="Arial"/>
                <w:sz w:val="20"/>
                <w:szCs w:val="20"/>
              </w:rPr>
              <w:t>1,231,879 MJ</w:t>
            </w:r>
            <w:r w:rsidRPr="005D3D19">
              <w:rPr>
                <w:rFonts w:cs="Arial"/>
                <w:sz w:val="20"/>
                <w:szCs w:val="20"/>
              </w:rPr>
              <w:br/>
              <w:t>n/a</w:t>
            </w:r>
            <w:r w:rsidRPr="005D3D19">
              <w:rPr>
                <w:rFonts w:cs="Arial"/>
                <w:sz w:val="20"/>
                <w:szCs w:val="20"/>
              </w:rPr>
              <w:br/>
              <w:t>n/a</w:t>
            </w:r>
          </w:p>
          <w:p w:rsidR="00F5423D" w:rsidRPr="005D3D19" w:rsidRDefault="00F5423D" w:rsidP="00F5423D">
            <w:pPr>
              <w:spacing w:after="0" w:line="240" w:lineRule="auto"/>
              <w:ind w:right="-2"/>
              <w:jc w:val="right"/>
              <w:rPr>
                <w:rFonts w:cs="Arial"/>
                <w:sz w:val="20"/>
                <w:szCs w:val="20"/>
              </w:rPr>
            </w:pPr>
            <w:r w:rsidRPr="005D3D19">
              <w:rPr>
                <w:rFonts w:cs="Arial"/>
                <w:sz w:val="20"/>
                <w:szCs w:val="20"/>
              </w:rPr>
              <w:t>1,029,001 MJ</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p>
          <w:p w:rsidR="00F5423D" w:rsidRPr="005D3D19" w:rsidRDefault="00F5423D" w:rsidP="00F5423D">
            <w:pPr>
              <w:spacing w:after="0" w:line="240" w:lineRule="auto"/>
              <w:ind w:right="-2"/>
              <w:jc w:val="right"/>
              <w:rPr>
                <w:rFonts w:cs="Arial"/>
                <w:sz w:val="20"/>
                <w:szCs w:val="20"/>
              </w:rPr>
            </w:pPr>
          </w:p>
          <w:p w:rsidR="00F5423D" w:rsidRPr="005D3D19" w:rsidRDefault="00F5423D" w:rsidP="00F5423D">
            <w:pPr>
              <w:spacing w:after="0" w:line="240" w:lineRule="auto"/>
              <w:ind w:right="-2"/>
              <w:jc w:val="right"/>
              <w:rPr>
                <w:rFonts w:cs="Arial"/>
                <w:sz w:val="20"/>
                <w:szCs w:val="20"/>
              </w:rPr>
            </w:pPr>
            <w:r w:rsidRPr="005D3D19">
              <w:rPr>
                <w:rFonts w:cs="Arial"/>
                <w:sz w:val="20"/>
                <w:szCs w:val="20"/>
              </w:rPr>
              <w:t>1,241,073 MJ</w:t>
            </w:r>
            <w:r w:rsidRPr="005D3D19">
              <w:rPr>
                <w:rFonts w:cs="Arial"/>
                <w:sz w:val="20"/>
                <w:szCs w:val="20"/>
              </w:rPr>
              <w:br/>
              <w:t>n/a</w:t>
            </w:r>
            <w:r w:rsidRPr="005D3D19">
              <w:rPr>
                <w:rFonts w:cs="Arial"/>
                <w:sz w:val="20"/>
                <w:szCs w:val="20"/>
              </w:rPr>
              <w:br/>
              <w:t>n/a</w:t>
            </w:r>
          </w:p>
          <w:p w:rsidR="00F5423D" w:rsidRPr="005D3D19" w:rsidRDefault="00F5423D" w:rsidP="00F5423D">
            <w:pPr>
              <w:spacing w:after="0" w:line="240" w:lineRule="auto"/>
              <w:ind w:right="-2"/>
              <w:jc w:val="right"/>
              <w:rPr>
                <w:rFonts w:cs="Arial"/>
                <w:sz w:val="20"/>
                <w:szCs w:val="20"/>
              </w:rPr>
            </w:pPr>
            <w:r w:rsidRPr="005D3D19">
              <w:rPr>
                <w:rFonts w:cs="Arial"/>
                <w:sz w:val="20"/>
                <w:szCs w:val="20"/>
              </w:rPr>
              <w:t>1,033,326 MJ</w:t>
            </w:r>
          </w:p>
        </w:tc>
        <w:tc>
          <w:tcPr>
            <w:tcW w:w="1701"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p>
          <w:p w:rsidR="00F5423D" w:rsidRPr="007335AB" w:rsidRDefault="00F5423D" w:rsidP="00F5423D">
            <w:pPr>
              <w:spacing w:after="0" w:line="240" w:lineRule="auto"/>
              <w:ind w:right="-2"/>
              <w:jc w:val="right"/>
              <w:rPr>
                <w:rFonts w:cs="Arial"/>
                <w:sz w:val="20"/>
                <w:szCs w:val="20"/>
              </w:rPr>
            </w:pPr>
            <w:r w:rsidRPr="007335AB">
              <w:rPr>
                <w:rFonts w:cs="Arial"/>
                <w:sz w:val="20"/>
                <w:szCs w:val="20"/>
              </w:rPr>
              <w:t xml:space="preserve">1,277,837 </w:t>
            </w:r>
            <w:r>
              <w:rPr>
                <w:rFonts w:cs="Arial"/>
                <w:sz w:val="20"/>
                <w:szCs w:val="20"/>
              </w:rPr>
              <w:t>MJ</w:t>
            </w:r>
          </w:p>
          <w:p w:rsidR="00F5423D" w:rsidRDefault="00F5423D" w:rsidP="00F5423D">
            <w:pPr>
              <w:spacing w:after="0" w:line="240" w:lineRule="auto"/>
              <w:ind w:right="-2"/>
              <w:jc w:val="right"/>
              <w:rPr>
                <w:rFonts w:cs="Arial"/>
                <w:sz w:val="20"/>
                <w:szCs w:val="20"/>
              </w:rPr>
            </w:pPr>
            <w:r>
              <w:rPr>
                <w:rFonts w:cs="Arial"/>
                <w:sz w:val="20"/>
                <w:szCs w:val="20"/>
              </w:rPr>
              <w:t>n/a</w:t>
            </w:r>
          </w:p>
          <w:p w:rsidR="00F5423D" w:rsidRPr="007335AB" w:rsidRDefault="00F5423D" w:rsidP="00F5423D">
            <w:pPr>
              <w:spacing w:after="0" w:line="240" w:lineRule="auto"/>
              <w:ind w:right="-2"/>
              <w:jc w:val="right"/>
              <w:rPr>
                <w:rFonts w:cs="Arial"/>
                <w:sz w:val="20"/>
                <w:szCs w:val="20"/>
              </w:rPr>
            </w:pPr>
            <w:r>
              <w:rPr>
                <w:rFonts w:cs="Arial"/>
                <w:sz w:val="20"/>
                <w:szCs w:val="20"/>
              </w:rPr>
              <w:t>n/a</w:t>
            </w:r>
          </w:p>
          <w:p w:rsidR="00F5423D" w:rsidRPr="005D3D19" w:rsidRDefault="00F5423D" w:rsidP="00F5423D">
            <w:pPr>
              <w:spacing w:after="0" w:line="240" w:lineRule="auto"/>
              <w:ind w:right="-2"/>
              <w:jc w:val="right"/>
              <w:rPr>
                <w:rFonts w:cs="Arial"/>
                <w:sz w:val="20"/>
                <w:szCs w:val="20"/>
              </w:rPr>
            </w:pPr>
            <w:r>
              <w:rPr>
                <w:rFonts w:cs="Arial"/>
                <w:sz w:val="20"/>
                <w:szCs w:val="20"/>
              </w:rPr>
              <w:t xml:space="preserve">1,175,335 MJ </w:t>
            </w:r>
          </w:p>
        </w:tc>
        <w:tc>
          <w:tcPr>
            <w:tcW w:w="1276"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r>
              <w:rPr>
                <w:rFonts w:cs="Arial"/>
                <w:sz w:val="20"/>
                <w:szCs w:val="20"/>
              </w:rPr>
              <w:t>3%</w:t>
            </w:r>
          </w:p>
          <w:p w:rsidR="00F5423D" w:rsidRDefault="00F5423D" w:rsidP="00F5423D">
            <w:pPr>
              <w:spacing w:after="0" w:line="240" w:lineRule="auto"/>
              <w:ind w:right="-2"/>
              <w:jc w:val="right"/>
              <w:rPr>
                <w:rFonts w:cs="Arial"/>
                <w:sz w:val="20"/>
                <w:szCs w:val="20"/>
              </w:rPr>
            </w:pPr>
            <w:r>
              <w:rPr>
                <w:rFonts w:cs="Arial"/>
                <w:sz w:val="20"/>
                <w:szCs w:val="20"/>
              </w:rPr>
              <w:t>n/a</w:t>
            </w:r>
          </w:p>
          <w:p w:rsidR="00F5423D" w:rsidRDefault="00F5423D" w:rsidP="00F5423D">
            <w:pPr>
              <w:spacing w:after="0" w:line="240" w:lineRule="auto"/>
              <w:ind w:right="-2"/>
              <w:jc w:val="right"/>
              <w:rPr>
                <w:rFonts w:cs="Arial"/>
                <w:sz w:val="20"/>
                <w:szCs w:val="20"/>
              </w:rPr>
            </w:pPr>
            <w:r>
              <w:rPr>
                <w:rFonts w:cs="Arial"/>
                <w:sz w:val="20"/>
                <w:szCs w:val="20"/>
              </w:rPr>
              <w:t>n/a</w:t>
            </w:r>
          </w:p>
          <w:p w:rsidR="00F5423D" w:rsidRPr="005D3D19" w:rsidRDefault="00F5423D" w:rsidP="00F5423D">
            <w:pPr>
              <w:spacing w:after="0" w:line="240" w:lineRule="auto"/>
              <w:ind w:right="-2"/>
              <w:jc w:val="right"/>
              <w:rPr>
                <w:rFonts w:cs="Arial"/>
                <w:sz w:val="20"/>
                <w:szCs w:val="20"/>
              </w:rPr>
            </w:pPr>
            <w:r>
              <w:rPr>
                <w:rFonts w:cs="Arial"/>
                <w:sz w:val="20"/>
                <w:szCs w:val="20"/>
              </w:rPr>
              <w:t>13.7%</w:t>
            </w:r>
          </w:p>
        </w:tc>
      </w:tr>
      <w:tr w:rsidR="00F5423D" w:rsidRPr="005D3D19" w:rsidTr="00DA426A">
        <w:trPr>
          <w:trHeight w:val="60"/>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Green Power purchased as a proportion of total electricity purchased</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0%</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Pr>
                <w:rFonts w:cs="Arial"/>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Pr>
                <w:rFonts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Pr>
                <w:rFonts w:cs="Arial"/>
                <w:sz w:val="20"/>
                <w:szCs w:val="20"/>
              </w:rPr>
              <w:t>0%</w:t>
            </w:r>
          </w:p>
        </w:tc>
      </w:tr>
      <w:tr w:rsidR="00F5423D" w:rsidRPr="005D3D19" w:rsidTr="00DA426A">
        <w:trPr>
          <w:trHeight w:val="205"/>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Renewable energy generated</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0 MJ</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0 MJ</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0 MJ</w:t>
            </w:r>
          </w:p>
        </w:tc>
        <w:tc>
          <w:tcPr>
            <w:tcW w:w="1276"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0 MJ</w:t>
            </w:r>
          </w:p>
        </w:tc>
      </w:tr>
      <w:tr w:rsidR="008B76F8" w:rsidRPr="005D3D19" w:rsidTr="002E41BF">
        <w:trPr>
          <w:trHeight w:val="205"/>
        </w:trPr>
        <w:tc>
          <w:tcPr>
            <w:tcW w:w="9356" w:type="dxa"/>
            <w:gridSpan w:val="5"/>
            <w:tcBorders>
              <w:top w:val="single" w:sz="4" w:space="0" w:color="auto"/>
              <w:left w:val="single" w:sz="4" w:space="0" w:color="auto"/>
              <w:bottom w:val="single" w:sz="4" w:space="0" w:color="auto"/>
              <w:right w:val="single" w:sz="4" w:space="0" w:color="auto"/>
            </w:tcBorders>
          </w:tcPr>
          <w:p w:rsidR="008B76F8" w:rsidRPr="005D3D19" w:rsidRDefault="008B76F8" w:rsidP="008B76F8">
            <w:pPr>
              <w:spacing w:after="0" w:line="240" w:lineRule="auto"/>
              <w:ind w:right="-2"/>
              <w:rPr>
                <w:rFonts w:cs="Arial"/>
                <w:sz w:val="20"/>
                <w:szCs w:val="20"/>
              </w:rPr>
            </w:pPr>
            <w:r>
              <w:rPr>
                <w:rFonts w:cs="Arial"/>
                <w:sz w:val="20"/>
                <w:szCs w:val="20"/>
              </w:rPr>
              <w:lastRenderedPageBreak/>
              <w:t>* The Darwin offices are not responsible for any base building energy costs</w:t>
            </w:r>
            <w:r w:rsidR="009608BF">
              <w:rPr>
                <w:rFonts w:cs="Arial"/>
                <w:sz w:val="20"/>
                <w:szCs w:val="20"/>
              </w:rPr>
              <w:t>. It has been incorrectly reported in previous years that they are responsible when this is not the case.</w:t>
            </w:r>
          </w:p>
        </w:tc>
      </w:tr>
      <w:tr w:rsidR="00F5423D" w:rsidRPr="005D3D19" w:rsidTr="00DA426A">
        <w:trPr>
          <w:trHeight w:val="271"/>
        </w:trPr>
        <w:tc>
          <w:tcPr>
            <w:tcW w:w="9356" w:type="dxa"/>
            <w:gridSpan w:val="5"/>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rPr>
                <w:rFonts w:cs="Arial"/>
                <w:sz w:val="20"/>
                <w:szCs w:val="20"/>
              </w:rPr>
            </w:pPr>
            <w:r w:rsidRPr="005D3D19">
              <w:rPr>
                <w:rFonts w:cs="Arial"/>
                <w:b/>
                <w:sz w:val="20"/>
                <w:szCs w:val="20"/>
              </w:rPr>
              <w:t>Transport</w:t>
            </w:r>
            <w:r w:rsidR="00B80AEB">
              <w:rPr>
                <w:rFonts w:cs="Arial"/>
                <w:b/>
                <w:sz w:val="20"/>
                <w:szCs w:val="20"/>
              </w:rPr>
              <w:t>*</w:t>
            </w:r>
            <w:r w:rsidR="008B76F8">
              <w:rPr>
                <w:rFonts w:cs="Arial"/>
                <w:b/>
                <w:sz w:val="20"/>
                <w:szCs w:val="20"/>
              </w:rPr>
              <w:t>*</w:t>
            </w:r>
          </w:p>
        </w:tc>
      </w:tr>
      <w:tr w:rsidR="00F5423D" w:rsidRPr="005D3D19" w:rsidTr="00DA426A">
        <w:trPr>
          <w:trHeight w:val="177"/>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Total number of fleet vehicles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number of operational vehicles</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Pr>
                <w:rFonts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Average green vehicle guide (GVG) rating of fleet vehicles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8.6</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8.3</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r>
      <w:tr w:rsidR="00F5423D" w:rsidRPr="005D3D19" w:rsidTr="00DA426A">
        <w:trPr>
          <w:trHeight w:val="560"/>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Average fuel consumption of fleet vehicles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9.1 L/100km</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9.1 L/100km</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r>
      <w:tr w:rsidR="00F5423D" w:rsidRPr="005D3D19" w:rsidTr="00DA426A">
        <w:trPr>
          <w:trHeight w:val="1658"/>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Fleet vehicle fuel consumption by type:</w:t>
            </w:r>
          </w:p>
          <w:p w:rsidR="00F5423D" w:rsidRPr="005D3D19" w:rsidRDefault="00F5423D" w:rsidP="00F5423D">
            <w:pPr>
              <w:numPr>
                <w:ilvl w:val="0"/>
                <w:numId w:val="10"/>
              </w:numPr>
              <w:spacing w:after="0" w:line="240" w:lineRule="auto"/>
              <w:ind w:left="0" w:right="-2"/>
              <w:contextualSpacing/>
              <w:rPr>
                <w:rFonts w:cs="Arial"/>
                <w:sz w:val="20"/>
                <w:szCs w:val="20"/>
              </w:rPr>
            </w:pPr>
            <w:r w:rsidRPr="005D3D19">
              <w:rPr>
                <w:rFonts w:cs="Arial"/>
                <w:sz w:val="20"/>
                <w:szCs w:val="20"/>
              </w:rPr>
              <w:t>Unleaded petrol</w:t>
            </w:r>
          </w:p>
          <w:p w:rsidR="00F5423D" w:rsidRPr="005D3D19" w:rsidRDefault="00F5423D" w:rsidP="00F5423D">
            <w:pPr>
              <w:numPr>
                <w:ilvl w:val="0"/>
                <w:numId w:val="10"/>
              </w:numPr>
              <w:spacing w:after="0" w:line="240" w:lineRule="auto"/>
              <w:ind w:left="0" w:right="-2"/>
              <w:contextualSpacing/>
              <w:rPr>
                <w:rFonts w:cs="Arial"/>
                <w:sz w:val="20"/>
                <w:szCs w:val="20"/>
              </w:rPr>
            </w:pPr>
            <w:r w:rsidRPr="005D3D19">
              <w:rPr>
                <w:rFonts w:cs="Arial"/>
                <w:sz w:val="20"/>
                <w:szCs w:val="20"/>
              </w:rPr>
              <w:t>E10 petrol</w:t>
            </w:r>
          </w:p>
          <w:p w:rsidR="00F5423D" w:rsidRPr="005D3D19" w:rsidRDefault="00F5423D" w:rsidP="00F5423D">
            <w:pPr>
              <w:numPr>
                <w:ilvl w:val="0"/>
                <w:numId w:val="10"/>
              </w:numPr>
              <w:spacing w:after="0" w:line="240" w:lineRule="auto"/>
              <w:ind w:left="0" w:right="-2"/>
              <w:contextualSpacing/>
              <w:rPr>
                <w:rFonts w:cs="Arial"/>
                <w:sz w:val="20"/>
                <w:szCs w:val="20"/>
              </w:rPr>
            </w:pPr>
            <w:r w:rsidRPr="005D3D19">
              <w:rPr>
                <w:rFonts w:cs="Arial"/>
                <w:sz w:val="20"/>
                <w:szCs w:val="20"/>
              </w:rPr>
              <w:t>Diesel</w:t>
            </w:r>
          </w:p>
          <w:p w:rsidR="00F5423D" w:rsidRPr="005D3D19" w:rsidRDefault="00F5423D" w:rsidP="00F5423D">
            <w:pPr>
              <w:numPr>
                <w:ilvl w:val="0"/>
                <w:numId w:val="10"/>
              </w:numPr>
              <w:spacing w:after="0" w:line="240" w:lineRule="auto"/>
              <w:ind w:left="0" w:right="-2"/>
              <w:contextualSpacing/>
              <w:rPr>
                <w:rFonts w:cs="Arial"/>
                <w:sz w:val="20"/>
                <w:szCs w:val="20"/>
              </w:rPr>
            </w:pPr>
            <w:r w:rsidRPr="005D3D19">
              <w:rPr>
                <w:rFonts w:cs="Arial"/>
                <w:sz w:val="20"/>
                <w:szCs w:val="20"/>
              </w:rPr>
              <w:t>LPG</w:t>
            </w:r>
          </w:p>
        </w:tc>
        <w:tc>
          <w:tcPr>
            <w:tcW w:w="1701"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r w:rsidRPr="005D3D19">
              <w:rPr>
                <w:rFonts w:cs="Arial"/>
                <w:sz w:val="20"/>
                <w:szCs w:val="20"/>
              </w:rPr>
              <w:t>0</w:t>
            </w:r>
            <w:r w:rsidR="000446B4">
              <w:rPr>
                <w:rFonts w:cs="Arial"/>
                <w:sz w:val="20"/>
                <w:szCs w:val="20"/>
              </w:rPr>
              <w:t xml:space="preserve"> </w:t>
            </w:r>
            <w:r w:rsidRPr="005D3D19">
              <w:rPr>
                <w:rFonts w:cs="Arial"/>
                <w:sz w:val="20"/>
                <w:szCs w:val="20"/>
              </w:rPr>
              <w:t>L</w:t>
            </w:r>
            <w:r w:rsidRPr="005D3D19">
              <w:rPr>
                <w:rFonts w:cs="Arial"/>
                <w:sz w:val="20"/>
                <w:szCs w:val="20"/>
              </w:rPr>
              <w:br/>
              <w:t>n/a</w:t>
            </w:r>
            <w:r w:rsidRPr="005D3D19">
              <w:rPr>
                <w:rFonts w:cs="Arial"/>
                <w:sz w:val="20"/>
                <w:szCs w:val="20"/>
              </w:rPr>
              <w:br/>
              <w:t>10,502 L</w:t>
            </w:r>
            <w:r w:rsidRPr="005D3D19">
              <w:rPr>
                <w:rFonts w:cs="Arial"/>
                <w:sz w:val="20"/>
                <w:szCs w:val="20"/>
              </w:rPr>
              <w:br/>
              <w:t>n/a</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r w:rsidRPr="005D3D19">
              <w:rPr>
                <w:rFonts w:cs="Arial"/>
                <w:sz w:val="20"/>
                <w:szCs w:val="20"/>
              </w:rPr>
              <w:t>0 L</w:t>
            </w:r>
          </w:p>
          <w:p w:rsidR="00F5423D" w:rsidRPr="005D3D19" w:rsidRDefault="00F5423D" w:rsidP="00F5423D">
            <w:pPr>
              <w:spacing w:after="0"/>
              <w:ind w:right="-2"/>
              <w:jc w:val="right"/>
              <w:rPr>
                <w:rFonts w:cs="Arial"/>
                <w:sz w:val="20"/>
                <w:szCs w:val="20"/>
              </w:rPr>
            </w:pPr>
            <w:r w:rsidRPr="005D3D19">
              <w:rPr>
                <w:rFonts w:cs="Arial"/>
                <w:sz w:val="20"/>
                <w:szCs w:val="20"/>
              </w:rPr>
              <w:t>n/a</w:t>
            </w:r>
          </w:p>
          <w:p w:rsidR="00F5423D" w:rsidRPr="005D3D19" w:rsidRDefault="00F5423D" w:rsidP="00F5423D">
            <w:pPr>
              <w:spacing w:after="0"/>
              <w:ind w:right="-2"/>
              <w:jc w:val="right"/>
              <w:rPr>
                <w:rFonts w:cs="Arial"/>
                <w:sz w:val="20"/>
                <w:szCs w:val="20"/>
              </w:rPr>
            </w:pPr>
            <w:r w:rsidRPr="005D3D19">
              <w:rPr>
                <w:rFonts w:cs="Arial"/>
                <w:sz w:val="20"/>
                <w:szCs w:val="20"/>
              </w:rPr>
              <w:t>12,739 L</w:t>
            </w:r>
          </w:p>
          <w:p w:rsidR="00F5423D" w:rsidRPr="005D3D19" w:rsidRDefault="00F5423D" w:rsidP="00F5423D">
            <w:pPr>
              <w:spacing w:after="0"/>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r>
      <w:tr w:rsidR="00F5423D" w:rsidRPr="005D3D19" w:rsidTr="00DA426A">
        <w:trPr>
          <w:trHeight w:val="645"/>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distance travelled by vehicle fleet</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122,878</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Pr>
                <w:rFonts w:cs="Arial"/>
                <w:sz w:val="20"/>
                <w:szCs w:val="20"/>
              </w:rPr>
              <w:t>1</w:t>
            </w:r>
            <w:r w:rsidR="00FF2514">
              <w:rPr>
                <w:rFonts w:cs="Arial"/>
                <w:sz w:val="20"/>
                <w:szCs w:val="20"/>
              </w:rPr>
              <w:t>48</w:t>
            </w:r>
            <w:r w:rsidRPr="005D3D19">
              <w:rPr>
                <w:rFonts w:cs="Arial"/>
                <w:sz w:val="20"/>
                <w:szCs w:val="20"/>
              </w:rPr>
              <w:t>,508</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tc>
      </w:tr>
      <w:tr w:rsidR="00B80AEB" w:rsidRPr="005D3D19" w:rsidTr="00B80AEB">
        <w:trPr>
          <w:trHeight w:val="354"/>
        </w:trPr>
        <w:tc>
          <w:tcPr>
            <w:tcW w:w="9356" w:type="dxa"/>
            <w:gridSpan w:val="5"/>
            <w:tcBorders>
              <w:top w:val="single" w:sz="4" w:space="0" w:color="auto"/>
              <w:left w:val="single" w:sz="4" w:space="0" w:color="auto"/>
              <w:bottom w:val="single" w:sz="4" w:space="0" w:color="auto"/>
              <w:right w:val="single" w:sz="4" w:space="0" w:color="auto"/>
            </w:tcBorders>
          </w:tcPr>
          <w:p w:rsidR="00B80AEB" w:rsidRPr="005D3D19" w:rsidRDefault="008B76F8" w:rsidP="00B80AEB">
            <w:pPr>
              <w:spacing w:after="0"/>
              <w:ind w:right="-2"/>
              <w:rPr>
                <w:rFonts w:cs="Arial"/>
                <w:sz w:val="20"/>
                <w:szCs w:val="20"/>
              </w:rPr>
            </w:pPr>
            <w:r>
              <w:rPr>
                <w:rFonts w:cs="Arial"/>
                <w:sz w:val="20"/>
                <w:szCs w:val="20"/>
              </w:rPr>
              <w:t>*</w:t>
            </w:r>
            <w:r w:rsidR="00B80AEB">
              <w:rPr>
                <w:rFonts w:cs="Arial"/>
                <w:sz w:val="20"/>
                <w:szCs w:val="20"/>
              </w:rPr>
              <w:t>* Information on fleet cars has been included in the fleet cars under Transport in Table 1.</w:t>
            </w:r>
          </w:p>
        </w:tc>
      </w:tr>
      <w:tr w:rsidR="00F5423D" w:rsidRPr="005D3D19" w:rsidTr="00DA426A">
        <w:trPr>
          <w:trHeight w:val="108"/>
        </w:trPr>
        <w:tc>
          <w:tcPr>
            <w:tcW w:w="9356" w:type="dxa"/>
            <w:gridSpan w:val="5"/>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rPr>
                <w:rFonts w:cs="Arial"/>
                <w:sz w:val="20"/>
                <w:szCs w:val="20"/>
              </w:rPr>
            </w:pPr>
            <w:r w:rsidRPr="005D3D19">
              <w:rPr>
                <w:rFonts w:cs="Arial"/>
                <w:b/>
                <w:sz w:val="20"/>
                <w:szCs w:val="20"/>
              </w:rPr>
              <w:t>Water consumption</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metered potable water use (office, lab and irrigation)</w:t>
            </w:r>
          </w:p>
          <w:p w:rsidR="00F5423D" w:rsidRPr="005D3D19" w:rsidRDefault="00F5423D" w:rsidP="00F5423D">
            <w:pPr>
              <w:numPr>
                <w:ilvl w:val="0"/>
                <w:numId w:val="41"/>
              </w:numPr>
              <w:spacing w:after="0" w:line="240" w:lineRule="auto"/>
              <w:ind w:left="0" w:right="-2"/>
              <w:contextualSpacing/>
              <w:rPr>
                <w:rFonts w:cs="Arial"/>
                <w:sz w:val="20"/>
                <w:szCs w:val="20"/>
              </w:rPr>
            </w:pPr>
            <w:r w:rsidRPr="005D3D19">
              <w:rPr>
                <w:rFonts w:cs="Arial"/>
                <w:sz w:val="20"/>
                <w:szCs w:val="20"/>
              </w:rPr>
              <w:t>Darwin</w:t>
            </w:r>
          </w:p>
          <w:p w:rsidR="00F5423D" w:rsidRPr="005D3D19" w:rsidRDefault="00F5423D" w:rsidP="00F5423D">
            <w:pPr>
              <w:numPr>
                <w:ilvl w:val="0"/>
                <w:numId w:val="41"/>
              </w:numPr>
              <w:spacing w:after="0" w:line="240" w:lineRule="auto"/>
              <w:ind w:left="0" w:right="-2"/>
              <w:contextualSpacing/>
              <w:rPr>
                <w:rFonts w:cs="Arial"/>
                <w:sz w:val="20"/>
                <w:szCs w:val="20"/>
              </w:rPr>
            </w:pPr>
            <w:r w:rsidRPr="005D3D19">
              <w:rPr>
                <w:rFonts w:cs="Arial"/>
                <w:sz w:val="20"/>
                <w:szCs w:val="20"/>
              </w:rPr>
              <w:t>Jabiru</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sidRPr="005D3D19">
              <w:rPr>
                <w:rFonts w:cs="Arial"/>
                <w:sz w:val="20"/>
                <w:szCs w:val="20"/>
              </w:rPr>
              <w:br/>
            </w:r>
          </w:p>
          <w:p w:rsidR="00F5423D" w:rsidRPr="005D3D19" w:rsidRDefault="00F5423D" w:rsidP="00F5423D">
            <w:pPr>
              <w:spacing w:after="0" w:line="240" w:lineRule="auto"/>
              <w:ind w:right="-2"/>
              <w:jc w:val="right"/>
              <w:rPr>
                <w:rFonts w:cs="Arial"/>
                <w:sz w:val="20"/>
                <w:szCs w:val="20"/>
              </w:rPr>
            </w:pPr>
            <w:r w:rsidRPr="005D3D19">
              <w:rPr>
                <w:rFonts w:cs="Arial"/>
                <w:sz w:val="20"/>
                <w:szCs w:val="20"/>
              </w:rPr>
              <w:t>6,062kL</w:t>
            </w:r>
            <w:r w:rsidRPr="005D3D19">
              <w:rPr>
                <w:rFonts w:cs="Arial"/>
                <w:sz w:val="20"/>
                <w:szCs w:val="20"/>
              </w:rPr>
              <w:br/>
              <w:t>3,949kL</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p>
          <w:p w:rsidR="00F5423D" w:rsidRPr="005D3D19" w:rsidRDefault="00F5423D" w:rsidP="00F5423D">
            <w:pPr>
              <w:spacing w:after="0" w:line="240" w:lineRule="auto"/>
              <w:ind w:right="-2"/>
              <w:jc w:val="right"/>
              <w:rPr>
                <w:rFonts w:cs="Arial"/>
                <w:sz w:val="20"/>
                <w:szCs w:val="20"/>
              </w:rPr>
            </w:pPr>
          </w:p>
          <w:p w:rsidR="00F5423D" w:rsidRPr="005D3D19" w:rsidRDefault="00F5423D" w:rsidP="00F5423D">
            <w:pPr>
              <w:spacing w:after="0" w:line="240" w:lineRule="auto"/>
              <w:ind w:right="-2"/>
              <w:jc w:val="right"/>
              <w:rPr>
                <w:rFonts w:cs="Arial"/>
                <w:sz w:val="20"/>
                <w:szCs w:val="20"/>
              </w:rPr>
            </w:pPr>
            <w:r w:rsidRPr="005D3D19">
              <w:rPr>
                <w:rFonts w:cs="Arial"/>
                <w:sz w:val="20"/>
                <w:szCs w:val="20"/>
              </w:rPr>
              <w:t>4,909kL</w:t>
            </w:r>
            <w:r w:rsidRPr="005D3D19">
              <w:rPr>
                <w:rFonts w:cs="Arial"/>
                <w:sz w:val="20"/>
                <w:szCs w:val="20"/>
              </w:rPr>
              <w:br/>
              <w:t>7,383kL</w:t>
            </w:r>
          </w:p>
        </w:tc>
        <w:tc>
          <w:tcPr>
            <w:tcW w:w="1701"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r>
              <w:rPr>
                <w:rFonts w:cs="Arial"/>
                <w:sz w:val="20"/>
                <w:szCs w:val="20"/>
              </w:rPr>
              <w:t>5,857kL</w:t>
            </w:r>
          </w:p>
          <w:p w:rsidR="00F5423D" w:rsidRPr="005D3D19" w:rsidRDefault="00F5423D" w:rsidP="00F5423D">
            <w:pPr>
              <w:spacing w:after="0" w:line="240" w:lineRule="auto"/>
              <w:ind w:right="-2"/>
              <w:jc w:val="right"/>
              <w:rPr>
                <w:rFonts w:cs="Arial"/>
                <w:sz w:val="20"/>
                <w:szCs w:val="20"/>
              </w:rPr>
            </w:pPr>
            <w:r>
              <w:rPr>
                <w:rFonts w:cs="Arial"/>
                <w:sz w:val="20"/>
                <w:szCs w:val="20"/>
              </w:rPr>
              <w:t>2,615kL</w:t>
            </w:r>
          </w:p>
        </w:tc>
        <w:tc>
          <w:tcPr>
            <w:tcW w:w="1276"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p>
          <w:p w:rsidR="00F5423D" w:rsidRDefault="00F5423D" w:rsidP="00F5423D">
            <w:pPr>
              <w:spacing w:after="0" w:line="240" w:lineRule="auto"/>
              <w:ind w:right="-2"/>
              <w:jc w:val="right"/>
              <w:rPr>
                <w:rFonts w:cs="Arial"/>
                <w:sz w:val="20"/>
                <w:szCs w:val="20"/>
              </w:rPr>
            </w:pPr>
            <w:r>
              <w:rPr>
                <w:rFonts w:cs="Arial"/>
                <w:sz w:val="20"/>
                <w:szCs w:val="20"/>
              </w:rPr>
              <w:t>19</w:t>
            </w:r>
            <w:r w:rsidR="00266191">
              <w:rPr>
                <w:rFonts w:cs="Arial"/>
                <w:sz w:val="20"/>
                <w:szCs w:val="20"/>
              </w:rPr>
              <w:t>.3</w:t>
            </w:r>
            <w:r>
              <w:rPr>
                <w:rFonts w:cs="Arial"/>
                <w:sz w:val="20"/>
                <w:szCs w:val="20"/>
              </w:rPr>
              <w:t>%</w:t>
            </w:r>
          </w:p>
          <w:p w:rsidR="00F5423D" w:rsidRPr="005D3D19" w:rsidRDefault="00F5423D" w:rsidP="00266191">
            <w:pPr>
              <w:spacing w:after="0" w:line="240" w:lineRule="auto"/>
              <w:ind w:right="-2"/>
              <w:jc w:val="right"/>
              <w:rPr>
                <w:rFonts w:cs="Arial"/>
                <w:sz w:val="20"/>
                <w:szCs w:val="20"/>
              </w:rPr>
            </w:pPr>
            <w:r>
              <w:rPr>
                <w:rFonts w:cs="Arial"/>
                <w:sz w:val="20"/>
                <w:szCs w:val="20"/>
              </w:rPr>
              <w:t>-6</w:t>
            </w:r>
            <w:r w:rsidR="00266191">
              <w:rPr>
                <w:rFonts w:cs="Arial"/>
                <w:sz w:val="20"/>
                <w:szCs w:val="20"/>
              </w:rPr>
              <w:t>4.6</w:t>
            </w:r>
            <w:r>
              <w:rPr>
                <w:rFonts w:cs="Arial"/>
                <w:sz w:val="20"/>
                <w:szCs w:val="20"/>
              </w:rPr>
              <w:t>%</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metered potable water use per person (office, lab and irrigation)</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Pr>
                <w:rFonts w:cs="Arial"/>
                <w:sz w:val="20"/>
                <w:szCs w:val="20"/>
              </w:rPr>
              <w:t>n/a</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metered potable water use by area</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Pr>
                <w:rFonts w:cs="Arial"/>
                <w:sz w:val="20"/>
                <w:szCs w:val="20"/>
              </w:rPr>
              <w:t>n/a</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line="240" w:lineRule="auto"/>
              <w:ind w:right="-2"/>
              <w:jc w:val="right"/>
              <w:rPr>
                <w:rFonts w:cs="Arial"/>
                <w:sz w:val="20"/>
                <w:szCs w:val="20"/>
              </w:rPr>
            </w:pPr>
            <w:r>
              <w:rPr>
                <w:rFonts w:cs="Arial"/>
                <w:sz w:val="20"/>
                <w:szCs w:val="20"/>
              </w:rPr>
              <w:t>n/a</w:t>
            </w:r>
          </w:p>
        </w:tc>
      </w:tr>
      <w:tr w:rsidR="00F5423D" w:rsidRPr="005D3D19" w:rsidTr="00DA426A">
        <w:tc>
          <w:tcPr>
            <w:tcW w:w="9356" w:type="dxa"/>
            <w:gridSpan w:val="5"/>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rPr>
                <w:rFonts w:cs="Arial"/>
                <w:sz w:val="20"/>
                <w:szCs w:val="20"/>
              </w:rPr>
            </w:pPr>
            <w:r w:rsidRPr="005D3D19">
              <w:rPr>
                <w:rFonts w:cs="Arial"/>
                <w:b/>
                <w:sz w:val="20"/>
                <w:szCs w:val="20"/>
              </w:rPr>
              <w:t>Resource efficiency and waste</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Internal copy paper per person</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5.4 reams/FTE</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4.4 reams/FTE</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6.3 reams/FTE</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43</w:t>
            </w:r>
            <w:r w:rsidR="00266191">
              <w:rPr>
                <w:rFonts w:cs="Arial"/>
                <w:sz w:val="20"/>
                <w:szCs w:val="20"/>
              </w:rPr>
              <w:t>.2</w:t>
            </w:r>
            <w:r>
              <w:rPr>
                <w:rFonts w:cs="Arial"/>
                <w:sz w:val="20"/>
                <w:szCs w:val="20"/>
              </w:rPr>
              <w:t>%</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Percentage of paper purchased with post consumer recycled content</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0</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Office paper recycled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0.2 t</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0.3 t</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0.3 t</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0</w:t>
            </w:r>
          </w:p>
        </w:tc>
      </w:tr>
      <w:tr w:rsidR="00F5423D" w:rsidRPr="005D3D19" w:rsidTr="00DA426A">
        <w:trPr>
          <w:trHeight w:val="730"/>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Other waste sent to recycling facilities (excluding office paper):</w:t>
            </w:r>
          </w:p>
          <w:p w:rsidR="00F5423D" w:rsidRPr="005D3D19" w:rsidRDefault="00F5423D" w:rsidP="00F5423D">
            <w:pPr>
              <w:numPr>
                <w:ilvl w:val="0"/>
                <w:numId w:val="42"/>
              </w:numPr>
              <w:spacing w:after="0" w:line="240" w:lineRule="auto"/>
              <w:ind w:left="0" w:right="-2"/>
              <w:contextualSpacing/>
              <w:rPr>
                <w:rFonts w:cs="Arial"/>
                <w:sz w:val="20"/>
                <w:szCs w:val="20"/>
              </w:rPr>
            </w:pPr>
            <w:r w:rsidRPr="005D3D19">
              <w:rPr>
                <w:rFonts w:cs="Arial"/>
                <w:sz w:val="20"/>
                <w:szCs w:val="20"/>
              </w:rPr>
              <w:t>Co-mingled office waste</w:t>
            </w:r>
          </w:p>
          <w:p w:rsidR="00F5423D" w:rsidRPr="005D3D19" w:rsidRDefault="00F5423D" w:rsidP="00F5423D">
            <w:pPr>
              <w:numPr>
                <w:ilvl w:val="0"/>
                <w:numId w:val="42"/>
              </w:numPr>
              <w:spacing w:after="0" w:line="240" w:lineRule="auto"/>
              <w:ind w:left="0" w:right="-2"/>
              <w:contextualSpacing/>
              <w:rPr>
                <w:rFonts w:cs="Arial"/>
                <w:sz w:val="20"/>
                <w:szCs w:val="20"/>
              </w:rPr>
            </w:pPr>
            <w:r w:rsidRPr="005D3D19">
              <w:rPr>
                <w:rFonts w:cs="Arial"/>
                <w:sz w:val="20"/>
                <w:szCs w:val="20"/>
              </w:rPr>
              <w:t>Organic waste</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r w:rsidRPr="005D3D19">
              <w:rPr>
                <w:rFonts w:cs="Arial"/>
                <w:sz w:val="20"/>
                <w:szCs w:val="20"/>
              </w:rPr>
              <w:t>12.87 t</w:t>
            </w:r>
          </w:p>
          <w:p w:rsidR="00F5423D" w:rsidRPr="005D3D19" w:rsidRDefault="00F5423D" w:rsidP="00F5423D">
            <w:pPr>
              <w:spacing w:after="0"/>
              <w:ind w:right="-2"/>
              <w:jc w:val="right"/>
              <w:rPr>
                <w:rFonts w:cs="Arial"/>
                <w:sz w:val="20"/>
                <w:szCs w:val="20"/>
              </w:rPr>
            </w:pPr>
            <w:r w:rsidRPr="005D3D19">
              <w:rPr>
                <w:rFonts w:cs="Arial"/>
                <w:sz w:val="20"/>
                <w:szCs w:val="20"/>
              </w:rPr>
              <w:t>Not measured</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r w:rsidRPr="005D3D19">
              <w:rPr>
                <w:rFonts w:cs="Arial"/>
                <w:sz w:val="20"/>
                <w:szCs w:val="20"/>
              </w:rPr>
              <w:t>8.35 t</w:t>
            </w:r>
          </w:p>
          <w:p w:rsidR="00F5423D" w:rsidRPr="005D3D19" w:rsidRDefault="00F5423D" w:rsidP="00F5423D">
            <w:pPr>
              <w:spacing w:after="0"/>
              <w:ind w:right="-2"/>
              <w:jc w:val="right"/>
              <w:rPr>
                <w:rFonts w:cs="Arial"/>
                <w:sz w:val="20"/>
                <w:szCs w:val="20"/>
              </w:rPr>
            </w:pPr>
            <w:r w:rsidRPr="005D3D19">
              <w:rPr>
                <w:rFonts w:cs="Arial"/>
                <w:sz w:val="20"/>
                <w:szCs w:val="20"/>
              </w:rPr>
              <w:t>Not measured</w:t>
            </w:r>
          </w:p>
        </w:tc>
        <w:tc>
          <w:tcPr>
            <w:tcW w:w="1701"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ind w:right="-2"/>
              <w:jc w:val="right"/>
              <w:rPr>
                <w:rFonts w:cs="Arial"/>
                <w:sz w:val="20"/>
                <w:szCs w:val="20"/>
              </w:rPr>
            </w:pPr>
          </w:p>
          <w:p w:rsidR="00F5423D" w:rsidRDefault="00F5423D" w:rsidP="00F5423D">
            <w:pPr>
              <w:spacing w:after="0"/>
              <w:ind w:right="-2"/>
              <w:jc w:val="right"/>
              <w:rPr>
                <w:rFonts w:cs="Arial"/>
                <w:sz w:val="20"/>
                <w:szCs w:val="20"/>
              </w:rPr>
            </w:pPr>
          </w:p>
          <w:p w:rsidR="00F5423D" w:rsidRDefault="00266191" w:rsidP="00F5423D">
            <w:pPr>
              <w:spacing w:after="0"/>
              <w:ind w:right="-2"/>
              <w:jc w:val="right"/>
              <w:rPr>
                <w:rFonts w:cs="Arial"/>
                <w:sz w:val="20"/>
                <w:szCs w:val="20"/>
              </w:rPr>
            </w:pPr>
            <w:r>
              <w:rPr>
                <w:rFonts w:cs="Arial"/>
                <w:sz w:val="20"/>
                <w:szCs w:val="20"/>
              </w:rPr>
              <w:t>6.89</w:t>
            </w:r>
          </w:p>
          <w:p w:rsidR="00F5423D" w:rsidRPr="005D3D19" w:rsidRDefault="00F5423D" w:rsidP="00F5423D">
            <w:pPr>
              <w:spacing w:after="0"/>
              <w:ind w:right="-2"/>
              <w:jc w:val="righ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423D" w:rsidRDefault="00F5423D" w:rsidP="00F5423D">
            <w:pPr>
              <w:spacing w:after="0"/>
              <w:ind w:right="-2"/>
              <w:jc w:val="right"/>
              <w:rPr>
                <w:rFonts w:cs="Arial"/>
                <w:sz w:val="20"/>
                <w:szCs w:val="20"/>
              </w:rPr>
            </w:pPr>
          </w:p>
          <w:p w:rsidR="00F5423D" w:rsidRDefault="00F5423D" w:rsidP="00F5423D">
            <w:pPr>
              <w:spacing w:after="0"/>
              <w:ind w:right="-2"/>
              <w:jc w:val="right"/>
              <w:rPr>
                <w:rFonts w:cs="Arial"/>
                <w:sz w:val="20"/>
                <w:szCs w:val="20"/>
              </w:rPr>
            </w:pPr>
          </w:p>
          <w:p w:rsidR="00F5423D" w:rsidRPr="005D3D19" w:rsidRDefault="00F5423D" w:rsidP="00F5423D">
            <w:pPr>
              <w:spacing w:after="0"/>
              <w:ind w:right="-2"/>
              <w:jc w:val="right"/>
              <w:rPr>
                <w:rFonts w:cs="Arial"/>
                <w:sz w:val="20"/>
                <w:szCs w:val="20"/>
              </w:rPr>
            </w:pPr>
            <w:r>
              <w:rPr>
                <w:rFonts w:cs="Arial"/>
                <w:sz w:val="20"/>
                <w:szCs w:val="20"/>
              </w:rPr>
              <w:t>-17.5%</w:t>
            </w:r>
          </w:p>
        </w:tc>
      </w:tr>
      <w:tr w:rsidR="00F5423D" w:rsidRPr="005D3D19" w:rsidTr="00DA426A">
        <w:trPr>
          <w:trHeight w:val="191"/>
        </w:trPr>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Waste sent to landfill</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 xml:space="preserve">10.8 t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11.8 t</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266191">
            <w:pPr>
              <w:spacing w:after="0"/>
              <w:ind w:right="-2"/>
              <w:jc w:val="right"/>
              <w:rPr>
                <w:rFonts w:cs="Arial"/>
                <w:sz w:val="20"/>
                <w:szCs w:val="20"/>
              </w:rPr>
            </w:pPr>
            <w:r>
              <w:rPr>
                <w:rFonts w:cs="Arial"/>
                <w:sz w:val="20"/>
                <w:szCs w:val="20"/>
              </w:rPr>
              <w:t>3.34 t</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-71.6%</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waste production</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23.11 t</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20.43 t</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266191">
            <w:pPr>
              <w:spacing w:after="0"/>
              <w:ind w:right="-2"/>
              <w:jc w:val="right"/>
              <w:rPr>
                <w:rFonts w:cs="Arial"/>
                <w:sz w:val="20"/>
                <w:szCs w:val="20"/>
              </w:rPr>
            </w:pPr>
            <w:r>
              <w:rPr>
                <w:rFonts w:cs="Arial"/>
                <w:sz w:val="20"/>
                <w:szCs w:val="20"/>
              </w:rPr>
              <w:t>10.2</w:t>
            </w:r>
            <w:r w:rsidR="00266191">
              <w:rPr>
                <w:rFonts w:cs="Arial"/>
                <w:sz w:val="20"/>
                <w:szCs w:val="20"/>
              </w:rPr>
              <w:t>3</w:t>
            </w:r>
            <w:r>
              <w:rPr>
                <w:rFonts w:cs="Arial"/>
                <w:sz w:val="20"/>
                <w:szCs w:val="20"/>
              </w:rPr>
              <w:t xml:space="preserve"> t</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-50%</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 xml:space="preserve">Total waste sent to landfill per person </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144 kg/FTE</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168 kg/FTE</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69kg/FTE</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-5</w:t>
            </w:r>
            <w:r w:rsidR="00266191">
              <w:rPr>
                <w:rFonts w:cs="Arial"/>
                <w:sz w:val="20"/>
                <w:szCs w:val="20"/>
              </w:rPr>
              <w:t>8.</w:t>
            </w:r>
            <w:r>
              <w:rPr>
                <w:rFonts w:cs="Arial"/>
                <w:sz w:val="20"/>
                <w:szCs w:val="20"/>
              </w:rPr>
              <w:t>9%</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Total waste recycled per person</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cs="Arial"/>
                <w:sz w:val="20"/>
                <w:szCs w:val="20"/>
              </w:rPr>
            </w:pPr>
            <w:r w:rsidRPr="005D3D19">
              <w:rPr>
                <w:rFonts w:cs="Arial"/>
                <w:sz w:val="20"/>
                <w:szCs w:val="20"/>
              </w:rPr>
              <w:t>219 kg/FTE</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150 kg/FTE</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150kg/FTE</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0%</w:t>
            </w:r>
          </w:p>
        </w:tc>
      </w:tr>
      <w:tr w:rsidR="00F5423D" w:rsidRPr="005D3D19" w:rsidTr="00DA426A">
        <w:tc>
          <w:tcPr>
            <w:tcW w:w="2977"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rPr>
                <w:rFonts w:cs="Arial"/>
                <w:sz w:val="20"/>
                <w:szCs w:val="20"/>
              </w:rPr>
            </w:pPr>
            <w:r w:rsidRPr="005D3D19">
              <w:rPr>
                <w:rFonts w:cs="Arial"/>
                <w:sz w:val="20"/>
                <w:szCs w:val="20"/>
              </w:rPr>
              <w:t>Proportion of waste diverted from landfill</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line="240" w:lineRule="auto"/>
              <w:ind w:right="-2"/>
              <w:jc w:val="right"/>
              <w:rPr>
                <w:rFonts w:eastAsia="Times New Roman" w:cs="Arial"/>
                <w:sz w:val="20"/>
                <w:szCs w:val="20"/>
                <w:lang w:eastAsia="en-AU"/>
              </w:rPr>
            </w:pPr>
            <w:r w:rsidRPr="005D3D19">
              <w:rPr>
                <w:rFonts w:cs="Arial"/>
                <w:sz w:val="20"/>
                <w:szCs w:val="20"/>
              </w:rPr>
              <w:t>56%</w:t>
            </w:r>
          </w:p>
        </w:tc>
        <w:tc>
          <w:tcPr>
            <w:tcW w:w="1701" w:type="dxa"/>
            <w:tcBorders>
              <w:top w:val="single" w:sz="4" w:space="0" w:color="auto"/>
              <w:left w:val="single" w:sz="4" w:space="0" w:color="auto"/>
              <w:bottom w:val="single" w:sz="4" w:space="0" w:color="auto"/>
              <w:right w:val="single" w:sz="4" w:space="0" w:color="auto"/>
            </w:tcBorders>
            <w:hideMark/>
          </w:tcPr>
          <w:p w:rsidR="00F5423D" w:rsidRPr="005D3D19" w:rsidRDefault="00F5423D" w:rsidP="00F5423D">
            <w:pPr>
              <w:spacing w:after="0"/>
              <w:ind w:right="-2"/>
              <w:jc w:val="right"/>
              <w:rPr>
                <w:rFonts w:cs="Arial"/>
                <w:sz w:val="20"/>
                <w:szCs w:val="20"/>
              </w:rPr>
            </w:pPr>
            <w:r w:rsidRPr="005D3D19">
              <w:rPr>
                <w:rFonts w:cs="Arial"/>
                <w:sz w:val="20"/>
                <w:szCs w:val="20"/>
              </w:rPr>
              <w:t>42 %</w:t>
            </w:r>
          </w:p>
        </w:tc>
        <w:tc>
          <w:tcPr>
            <w:tcW w:w="1701"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32.7%</w:t>
            </w:r>
          </w:p>
        </w:tc>
        <w:tc>
          <w:tcPr>
            <w:tcW w:w="1276" w:type="dxa"/>
            <w:tcBorders>
              <w:top w:val="single" w:sz="4" w:space="0" w:color="auto"/>
              <w:left w:val="single" w:sz="4" w:space="0" w:color="auto"/>
              <w:bottom w:val="single" w:sz="4" w:space="0" w:color="auto"/>
              <w:right w:val="single" w:sz="4" w:space="0" w:color="auto"/>
            </w:tcBorders>
          </w:tcPr>
          <w:p w:rsidR="00F5423D" w:rsidRPr="005D3D19" w:rsidRDefault="00F5423D" w:rsidP="00F5423D">
            <w:pPr>
              <w:spacing w:after="0"/>
              <w:ind w:right="-2"/>
              <w:jc w:val="right"/>
              <w:rPr>
                <w:rFonts w:cs="Arial"/>
                <w:sz w:val="20"/>
                <w:szCs w:val="20"/>
              </w:rPr>
            </w:pPr>
            <w:r>
              <w:rPr>
                <w:rFonts w:cs="Arial"/>
                <w:sz w:val="20"/>
                <w:szCs w:val="20"/>
              </w:rPr>
              <w:t>-22%</w:t>
            </w:r>
          </w:p>
        </w:tc>
      </w:tr>
    </w:tbl>
    <w:p w:rsidR="00452F3B" w:rsidRDefault="00452F3B" w:rsidP="00C7470F">
      <w:pPr>
        <w:ind w:right="-2"/>
        <w:rPr>
          <w:rFonts w:cs="Arial"/>
          <w:b/>
          <w:sz w:val="20"/>
          <w:szCs w:val="20"/>
        </w:rPr>
      </w:pPr>
    </w:p>
    <w:p w:rsidR="00E26D3F" w:rsidRDefault="00E26D3F">
      <w:pPr>
        <w:spacing w:after="0" w:line="240" w:lineRule="auto"/>
        <w:rPr>
          <w:rFonts w:cs="Arial"/>
          <w:b/>
          <w:sz w:val="20"/>
          <w:szCs w:val="20"/>
        </w:rPr>
      </w:pPr>
      <w:r>
        <w:rPr>
          <w:rFonts w:cs="Arial"/>
          <w:b/>
          <w:sz w:val="20"/>
          <w:szCs w:val="20"/>
        </w:rPr>
        <w:br w:type="page"/>
      </w:r>
    </w:p>
    <w:p w:rsidR="00C7470F" w:rsidRPr="005D3D19" w:rsidRDefault="00C7470F" w:rsidP="00C7470F">
      <w:pPr>
        <w:ind w:right="-2"/>
        <w:rPr>
          <w:rFonts w:cs="Arial"/>
          <w:b/>
          <w:sz w:val="20"/>
          <w:szCs w:val="20"/>
        </w:rPr>
      </w:pPr>
      <w:r w:rsidRPr="005D3D19">
        <w:rPr>
          <w:rFonts w:cs="Arial"/>
          <w:b/>
          <w:sz w:val="20"/>
          <w:szCs w:val="20"/>
        </w:rPr>
        <w:lastRenderedPageBreak/>
        <w:t>All other interstate locations</w:t>
      </w:r>
    </w:p>
    <w:p w:rsidR="003C0A35" w:rsidRPr="00600CE1" w:rsidRDefault="00C7470F" w:rsidP="00E622AC">
      <w:pPr>
        <w:pStyle w:val="Heading3"/>
        <w:ind w:right="-2"/>
        <w:rPr>
          <w:b w:val="0"/>
          <w:i w:val="0"/>
          <w:sz w:val="20"/>
          <w:szCs w:val="20"/>
        </w:rPr>
      </w:pPr>
      <w:r w:rsidRPr="00600CE1">
        <w:rPr>
          <w:b w:val="0"/>
          <w:i w:val="0"/>
          <w:sz w:val="20"/>
          <w:szCs w:val="20"/>
        </w:rPr>
        <w:t xml:space="preserve">The Department has a number of </w:t>
      </w:r>
      <w:r w:rsidR="000256F6" w:rsidRPr="00600CE1">
        <w:rPr>
          <w:b w:val="0"/>
          <w:i w:val="0"/>
          <w:sz w:val="20"/>
          <w:szCs w:val="20"/>
        </w:rPr>
        <w:t>staff located in other States and Territories.</w:t>
      </w:r>
      <w:r w:rsidR="00600CE1">
        <w:rPr>
          <w:b w:val="0"/>
          <w:i w:val="0"/>
          <w:sz w:val="20"/>
          <w:szCs w:val="20"/>
        </w:rPr>
        <w:t xml:space="preserve"> </w:t>
      </w:r>
      <w:r w:rsidR="000256F6" w:rsidRPr="00600CE1">
        <w:rPr>
          <w:b w:val="0"/>
          <w:i w:val="0"/>
          <w:sz w:val="20"/>
          <w:szCs w:val="20"/>
        </w:rPr>
        <w:t>The Environmental Management</w:t>
      </w:r>
      <w:r w:rsidR="006F68BE" w:rsidRPr="00600CE1">
        <w:rPr>
          <w:b w:val="0"/>
          <w:i w:val="0"/>
          <w:sz w:val="20"/>
          <w:szCs w:val="20"/>
        </w:rPr>
        <w:t xml:space="preserve"> practices for these staff are reported wi</w:t>
      </w:r>
      <w:r w:rsidR="009175BE" w:rsidRPr="00600CE1">
        <w:rPr>
          <w:b w:val="0"/>
          <w:i w:val="0"/>
          <w:sz w:val="20"/>
          <w:szCs w:val="20"/>
        </w:rPr>
        <w:t xml:space="preserve">thin the offices they reside </w:t>
      </w:r>
      <w:r w:rsidR="00610595" w:rsidRPr="00600CE1">
        <w:rPr>
          <w:b w:val="0"/>
          <w:i w:val="0"/>
          <w:sz w:val="20"/>
          <w:szCs w:val="20"/>
        </w:rPr>
        <w:t>or by the organisation</w:t>
      </w:r>
      <w:r w:rsidR="003C0A35" w:rsidRPr="00600CE1">
        <w:rPr>
          <w:b w:val="0"/>
          <w:i w:val="0"/>
          <w:sz w:val="20"/>
          <w:szCs w:val="20"/>
        </w:rPr>
        <w:t xml:space="preserve"> that has responsibility for the tenancy the Department of the Environment </w:t>
      </w:r>
      <w:r w:rsidR="00600CE1">
        <w:rPr>
          <w:b w:val="0"/>
          <w:i w:val="0"/>
          <w:sz w:val="20"/>
          <w:szCs w:val="20"/>
        </w:rPr>
        <w:t xml:space="preserve">and Energy </w:t>
      </w:r>
      <w:r w:rsidR="003C0A35" w:rsidRPr="00600CE1">
        <w:rPr>
          <w:b w:val="0"/>
          <w:i w:val="0"/>
          <w:sz w:val="20"/>
          <w:szCs w:val="20"/>
        </w:rPr>
        <w:t>has an agreement with.</w:t>
      </w:r>
    </w:p>
    <w:p w:rsidR="003C0A35" w:rsidRPr="005D3D19" w:rsidRDefault="003C0A35" w:rsidP="000256F6">
      <w:pPr>
        <w:rPr>
          <w:sz w:val="20"/>
          <w:szCs w:val="20"/>
        </w:rPr>
      </w:pPr>
      <w:r w:rsidRPr="005D3D19">
        <w:rPr>
          <w:sz w:val="20"/>
          <w:szCs w:val="20"/>
        </w:rPr>
        <w:t xml:space="preserve">Departmental staff endeavour to meet environmental best practice where practicable to do so </w:t>
      </w:r>
      <w:r w:rsidR="009175BE" w:rsidRPr="005D3D19">
        <w:rPr>
          <w:sz w:val="20"/>
          <w:szCs w:val="20"/>
        </w:rPr>
        <w:t>within the offices they reside</w:t>
      </w:r>
      <w:r w:rsidRPr="005D3D19">
        <w:rPr>
          <w:sz w:val="20"/>
          <w:szCs w:val="20"/>
        </w:rPr>
        <w:t>.</w:t>
      </w:r>
    </w:p>
    <w:p w:rsidR="00C7470F" w:rsidRPr="005D3D19" w:rsidRDefault="00C7470F" w:rsidP="00C7470F">
      <w:pPr>
        <w:rPr>
          <w:sz w:val="20"/>
          <w:szCs w:val="20"/>
        </w:rPr>
      </w:pPr>
    </w:p>
    <w:sectPr w:rsidR="00C7470F" w:rsidRPr="005D3D19" w:rsidSect="00173EA8">
      <w:headerReference w:type="even" r:id="rId8"/>
      <w:footerReference w:type="default" r:id="rId9"/>
      <w:headerReference w:type="first" r:id="rId10"/>
      <w:footerReference w:type="first" r:id="rId11"/>
      <w:pgSz w:w="11906" w:h="16838"/>
      <w:pgMar w:top="1843" w:right="1276" w:bottom="567" w:left="1418" w:header="284"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B4" w:rsidRDefault="000446B4" w:rsidP="00A60185">
      <w:pPr>
        <w:spacing w:after="0" w:line="240" w:lineRule="auto"/>
      </w:pPr>
      <w:r>
        <w:separator/>
      </w:r>
    </w:p>
  </w:endnote>
  <w:endnote w:type="continuationSeparator" w:id="0">
    <w:p w:rsidR="000446B4" w:rsidRDefault="000446B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Swiss 72 1 BT">
    <w:altName w:val="Franklin Gothic Book"/>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Frutiger LT Std 45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B4" w:rsidRPr="00173EA8" w:rsidRDefault="000446B4" w:rsidP="00D531F9">
    <w:pPr>
      <w:pStyle w:val="Footer"/>
      <w:rPr>
        <w:sz w:val="18"/>
        <w:szCs w:val="18"/>
      </w:rPr>
    </w:pPr>
    <w:r w:rsidRPr="00D531F9">
      <w:rPr>
        <w:sz w:val="14"/>
        <w:szCs w:val="14"/>
      </w:rPr>
      <w:tab/>
    </w:r>
    <w:r>
      <w:rPr>
        <w:sz w:val="14"/>
        <w:szCs w:val="14"/>
      </w:rPr>
      <w:tab/>
    </w:r>
    <w:r w:rsidRPr="00173EA8">
      <w:rPr>
        <w:sz w:val="18"/>
        <w:szCs w:val="18"/>
      </w:rPr>
      <w:fldChar w:fldCharType="begin"/>
    </w:r>
    <w:r w:rsidRPr="00173EA8">
      <w:rPr>
        <w:sz w:val="18"/>
        <w:szCs w:val="18"/>
      </w:rPr>
      <w:instrText xml:space="preserve"> PAGE   \* MERGEFORMAT </w:instrText>
    </w:r>
    <w:r w:rsidRPr="00173EA8">
      <w:rPr>
        <w:sz w:val="18"/>
        <w:szCs w:val="18"/>
      </w:rPr>
      <w:fldChar w:fldCharType="separate"/>
    </w:r>
    <w:r w:rsidR="00577367">
      <w:rPr>
        <w:noProof/>
        <w:sz w:val="18"/>
        <w:szCs w:val="18"/>
      </w:rPr>
      <w:t>11</w:t>
    </w:r>
    <w:r w:rsidRPr="00173EA8">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B4" w:rsidRPr="00173EA8" w:rsidRDefault="000446B4">
    <w:pPr>
      <w:pStyle w:val="Footer"/>
      <w:rPr>
        <w:sz w:val="18"/>
        <w:szCs w:val="18"/>
      </w:rPr>
    </w:pPr>
    <w:r w:rsidRPr="00D531F9">
      <w:rPr>
        <w:sz w:val="14"/>
        <w:szCs w:val="14"/>
      </w:rPr>
      <w:tab/>
    </w:r>
    <w:r>
      <w:rPr>
        <w:sz w:val="14"/>
        <w:szCs w:val="14"/>
      </w:rPr>
      <w:tab/>
    </w:r>
    <w:r w:rsidRPr="00173EA8">
      <w:rPr>
        <w:sz w:val="18"/>
        <w:szCs w:val="18"/>
      </w:rPr>
      <w:fldChar w:fldCharType="begin"/>
    </w:r>
    <w:r w:rsidRPr="00173EA8">
      <w:rPr>
        <w:sz w:val="18"/>
        <w:szCs w:val="18"/>
      </w:rPr>
      <w:instrText xml:space="preserve"> PAGE   \* MERGEFORMAT </w:instrText>
    </w:r>
    <w:r w:rsidRPr="00173EA8">
      <w:rPr>
        <w:sz w:val="18"/>
        <w:szCs w:val="18"/>
      </w:rPr>
      <w:fldChar w:fldCharType="separate"/>
    </w:r>
    <w:r w:rsidR="00577367">
      <w:rPr>
        <w:noProof/>
        <w:sz w:val="18"/>
        <w:szCs w:val="18"/>
      </w:rPr>
      <w:t>1</w:t>
    </w:r>
    <w:r w:rsidRPr="00173EA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B4" w:rsidRDefault="000446B4" w:rsidP="00A60185">
      <w:pPr>
        <w:spacing w:after="0" w:line="240" w:lineRule="auto"/>
      </w:pPr>
      <w:r>
        <w:separator/>
      </w:r>
    </w:p>
  </w:footnote>
  <w:footnote w:type="continuationSeparator" w:id="0">
    <w:p w:rsidR="000446B4" w:rsidRDefault="000446B4"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B4" w:rsidRDefault="000446B4" w:rsidP="00E45765">
    <w:pPr>
      <w:pStyle w:val="Classification"/>
    </w:pPr>
    <w:r>
      <w:fldChar w:fldCharType="begin"/>
    </w:r>
    <w:r>
      <w:instrText xml:space="preserve"> DOCPROPERTY SecurityClassification \* MERGEFORMAT </w:instrText>
    </w:r>
    <w:r>
      <w:fldChar w:fldCharType="separate"/>
    </w:r>
    <w:r w:rsidR="004408B4">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B4" w:rsidRPr="00D531F9" w:rsidRDefault="000446B4" w:rsidP="00C800F0">
    <w:pPr>
      <w:pStyle w:val="Header"/>
      <w:jc w:val="center"/>
      <w:rPr>
        <w:sz w:val="16"/>
        <w:szCs w:val="16"/>
      </w:rPr>
    </w:pPr>
    <w:r>
      <w:rPr>
        <w:noProof/>
        <w:lang w:eastAsia="en-AU"/>
      </w:rPr>
      <w:drawing>
        <wp:anchor distT="0" distB="0" distL="114300" distR="114300" simplePos="0" relativeHeight="251659264" behindDoc="0" locked="0" layoutInCell="1" allowOverlap="1" wp14:anchorId="0E7DCC6A" wp14:editId="0B17C997">
          <wp:simplePos x="0" y="0"/>
          <wp:positionH relativeFrom="column">
            <wp:posOffset>0</wp:posOffset>
          </wp:positionH>
          <wp:positionV relativeFrom="paragraph">
            <wp:posOffset>-635</wp:posOffset>
          </wp:positionV>
          <wp:extent cx="3957457" cy="687600"/>
          <wp:effectExtent l="19050" t="0" r="4943" b="0"/>
          <wp:wrapNone/>
          <wp:docPr id="18"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1"/>
                  <a:stretch>
                    <a:fillRect/>
                  </a:stretch>
                </pic:blipFill>
                <pic:spPr>
                  <a:xfrm>
                    <a:off x="0" y="0"/>
                    <a:ext cx="3957457" cy="687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0CA5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983086D"/>
    <w:multiLevelType w:val="hybridMultilevel"/>
    <w:tmpl w:val="F9EE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42A68"/>
    <w:multiLevelType w:val="hybridMultilevel"/>
    <w:tmpl w:val="2152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4511A"/>
    <w:multiLevelType w:val="multilevel"/>
    <w:tmpl w:val="E898CC72"/>
    <w:styleLink w:val="BulletList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19C24BFF"/>
    <w:multiLevelType w:val="multilevel"/>
    <w:tmpl w:val="BCD854F8"/>
    <w:lvl w:ilvl="0">
      <w:start w:val="1"/>
      <w:numFmt w:val="decimal"/>
      <w:pStyle w:val="SAPHeading-Level1"/>
      <w:lvlText w:val="Note %1:"/>
      <w:lvlJc w:val="left"/>
      <w:pPr>
        <w:tabs>
          <w:tab w:val="num" w:pos="851"/>
        </w:tabs>
        <w:ind w:left="851" w:hanging="851"/>
      </w:pPr>
      <w:rPr>
        <w:rFonts w:ascii="Times New Roman" w:hAnsi="Times New Roman" w:cs="Times New Roman" w:hint="default"/>
        <w:b/>
        <w:i w:val="0"/>
        <w:color w:val="auto"/>
        <w:sz w:val="24"/>
        <w:szCs w:val="24"/>
        <w:u w:val="none"/>
      </w:rPr>
    </w:lvl>
    <w:lvl w:ilvl="1">
      <w:start w:val="1"/>
      <w:numFmt w:val="decimal"/>
      <w:pStyle w:val="SAPHeading-Level2"/>
      <w:lvlText w:val="%1.%2"/>
      <w:lvlJc w:val="left"/>
      <w:pPr>
        <w:tabs>
          <w:tab w:val="num" w:pos="851"/>
        </w:tabs>
        <w:ind w:left="851" w:hanging="851"/>
      </w:pPr>
      <w:rPr>
        <w:rFonts w:ascii="Times New Roman" w:hAnsi="Times New Roman" w:cs="Times New Roman" w:hint="default"/>
        <w:b/>
        <w:i w:val="0"/>
        <w:color w:val="auto"/>
        <w:sz w:val="20"/>
        <w:u w:val="none"/>
      </w:rPr>
    </w:lvl>
    <w:lvl w:ilvl="2">
      <w:start w:val="1"/>
      <w:numFmt w:val="lowerLetter"/>
      <w:pStyle w:val="SAPHeading-Level3"/>
      <w:lvlText w:val="(%3)"/>
      <w:lvlJc w:val="left"/>
      <w:pPr>
        <w:tabs>
          <w:tab w:val="num" w:pos="851"/>
        </w:tabs>
        <w:ind w:left="851" w:hanging="851"/>
      </w:pPr>
      <w:rPr>
        <w:rFonts w:ascii="Times New Roman" w:hAnsi="Times New Roman" w:cs="Times New Roman" w:hint="default"/>
        <w:b/>
        <w:i w:val="0"/>
        <w:sz w:val="20"/>
      </w:rPr>
    </w:lvl>
    <w:lvl w:ilvl="3">
      <w:start w:val="1"/>
      <w:numFmt w:val="lowerRoman"/>
      <w:lvlText w:val="(%4)"/>
      <w:lvlJc w:val="left"/>
      <w:pPr>
        <w:tabs>
          <w:tab w:val="num" w:pos="851"/>
        </w:tabs>
        <w:ind w:left="851" w:hanging="851"/>
      </w:pPr>
      <w:rPr>
        <w:rFonts w:ascii="Arial" w:hAnsi="Arial" w:hint="default"/>
        <w:b w:val="0"/>
        <w:i w:val="0"/>
        <w:sz w:val="20"/>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19CF4CB2"/>
    <w:multiLevelType w:val="hybridMultilevel"/>
    <w:tmpl w:val="36C0E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E71408"/>
    <w:multiLevelType w:val="hybridMultilevel"/>
    <w:tmpl w:val="C930C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A6D32"/>
    <w:multiLevelType w:val="multilevel"/>
    <w:tmpl w:val="BC4E7D36"/>
    <w:styleLink w:val="Attach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004739"/>
    <w:multiLevelType w:val="hybridMultilevel"/>
    <w:tmpl w:val="E068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4020936"/>
    <w:multiLevelType w:val="hybridMultilevel"/>
    <w:tmpl w:val="1DF47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D4749"/>
    <w:multiLevelType w:val="multilevel"/>
    <w:tmpl w:val="1180A770"/>
    <w:lvl w:ilvl="0">
      <w:start w:val="1"/>
      <w:numFmt w:val="decimal"/>
      <w:lvlText w:val="%1."/>
      <w:lvlJc w:val="right"/>
      <w:pPr>
        <w:tabs>
          <w:tab w:val="num" w:pos="1145"/>
        </w:tabs>
        <w:ind w:left="1145" w:hanging="360"/>
      </w:pPr>
      <w:rPr>
        <w:rFonts w:hint="default"/>
      </w:rPr>
    </w:lvl>
    <w:lvl w:ilvl="1">
      <w:start w:val="1"/>
      <w:numFmt w:val="bullet"/>
      <w:pStyle w:val="NotesBulletPoint"/>
      <w:lvlText w:val=""/>
      <w:lvlJc w:val="left"/>
      <w:pPr>
        <w:tabs>
          <w:tab w:val="num" w:pos="927"/>
        </w:tabs>
        <w:ind w:left="851"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3C3014"/>
    <w:multiLevelType w:val="hybridMultilevel"/>
    <w:tmpl w:val="7A60248A"/>
    <w:lvl w:ilvl="0" w:tplc="0430EFCC">
      <w:start w:val="1"/>
      <w:numFmt w:val="bullet"/>
      <w:lvlText w:val=""/>
      <w:lvlJc w:val="left"/>
      <w:pPr>
        <w:ind w:left="720" w:hanging="360"/>
      </w:pPr>
      <w:rPr>
        <w:rFonts w:ascii="Symbol" w:hAnsi="Symbol" w:hint="default"/>
      </w:rPr>
    </w:lvl>
    <w:lvl w:ilvl="1" w:tplc="1E947BDE">
      <w:start w:val="1"/>
      <w:numFmt w:val="bullet"/>
      <w:lvlText w:val="o"/>
      <w:lvlJc w:val="left"/>
      <w:pPr>
        <w:ind w:left="1440" w:hanging="360"/>
      </w:pPr>
      <w:rPr>
        <w:rFonts w:ascii="Courier New" w:hAnsi="Courier New" w:cs="Courier New" w:hint="default"/>
      </w:rPr>
    </w:lvl>
    <w:lvl w:ilvl="2" w:tplc="7D84BC16">
      <w:start w:val="1"/>
      <w:numFmt w:val="bullet"/>
      <w:lvlText w:val=""/>
      <w:lvlJc w:val="left"/>
      <w:pPr>
        <w:ind w:left="2160" w:hanging="360"/>
      </w:pPr>
      <w:rPr>
        <w:rFonts w:ascii="Wingdings" w:hAnsi="Wingdings" w:hint="default"/>
      </w:rPr>
    </w:lvl>
    <w:lvl w:ilvl="3" w:tplc="17382DD0">
      <w:start w:val="1"/>
      <w:numFmt w:val="bullet"/>
      <w:lvlText w:val=""/>
      <w:lvlJc w:val="left"/>
      <w:pPr>
        <w:ind w:left="2880" w:hanging="360"/>
      </w:pPr>
      <w:rPr>
        <w:rFonts w:ascii="Symbol" w:hAnsi="Symbol" w:hint="default"/>
      </w:rPr>
    </w:lvl>
    <w:lvl w:ilvl="4" w:tplc="132AA6F0">
      <w:start w:val="1"/>
      <w:numFmt w:val="bullet"/>
      <w:lvlText w:val="o"/>
      <w:lvlJc w:val="left"/>
      <w:pPr>
        <w:ind w:left="3600" w:hanging="360"/>
      </w:pPr>
      <w:rPr>
        <w:rFonts w:ascii="Courier New" w:hAnsi="Courier New" w:cs="Courier New" w:hint="default"/>
      </w:rPr>
    </w:lvl>
    <w:lvl w:ilvl="5" w:tplc="C8645976">
      <w:start w:val="1"/>
      <w:numFmt w:val="bullet"/>
      <w:lvlText w:val=""/>
      <w:lvlJc w:val="left"/>
      <w:pPr>
        <w:ind w:left="4320" w:hanging="360"/>
      </w:pPr>
      <w:rPr>
        <w:rFonts w:ascii="Wingdings" w:hAnsi="Wingdings" w:hint="default"/>
      </w:rPr>
    </w:lvl>
    <w:lvl w:ilvl="6" w:tplc="62D035FA">
      <w:start w:val="1"/>
      <w:numFmt w:val="bullet"/>
      <w:lvlText w:val=""/>
      <w:lvlJc w:val="left"/>
      <w:pPr>
        <w:ind w:left="5040" w:hanging="360"/>
      </w:pPr>
      <w:rPr>
        <w:rFonts w:ascii="Symbol" w:hAnsi="Symbol" w:hint="default"/>
      </w:rPr>
    </w:lvl>
    <w:lvl w:ilvl="7" w:tplc="47DEA670">
      <w:start w:val="1"/>
      <w:numFmt w:val="bullet"/>
      <w:lvlText w:val="o"/>
      <w:lvlJc w:val="left"/>
      <w:pPr>
        <w:ind w:left="5760" w:hanging="360"/>
      </w:pPr>
      <w:rPr>
        <w:rFonts w:ascii="Courier New" w:hAnsi="Courier New" w:cs="Courier New" w:hint="default"/>
      </w:rPr>
    </w:lvl>
    <w:lvl w:ilvl="8" w:tplc="A7363E96">
      <w:start w:val="1"/>
      <w:numFmt w:val="bullet"/>
      <w:lvlText w:val=""/>
      <w:lvlJc w:val="left"/>
      <w:pPr>
        <w:ind w:left="6480" w:hanging="360"/>
      </w:pPr>
      <w:rPr>
        <w:rFonts w:ascii="Wingdings" w:hAnsi="Wingdings" w:hint="default"/>
      </w:rPr>
    </w:lvl>
  </w:abstractNum>
  <w:abstractNum w:abstractNumId="15" w15:restartNumberingAfterBreak="0">
    <w:nsid w:val="2A485941"/>
    <w:multiLevelType w:val="hybridMultilevel"/>
    <w:tmpl w:val="A1D0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A2476"/>
    <w:multiLevelType w:val="hybridMultilevel"/>
    <w:tmpl w:val="EDDEE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1F6785"/>
    <w:multiLevelType w:val="hybridMultilevel"/>
    <w:tmpl w:val="2A58D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425687"/>
    <w:multiLevelType w:val="hybridMultilevel"/>
    <w:tmpl w:val="8496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CC2A94"/>
    <w:multiLevelType w:val="multilevel"/>
    <w:tmpl w:val="3E104CA4"/>
    <w:lvl w:ilvl="0">
      <w:start w:val="1"/>
      <w:numFmt w:val="decimal"/>
      <w:lvlText w:val="Note %1:"/>
      <w:lvlJc w:val="left"/>
      <w:pPr>
        <w:tabs>
          <w:tab w:val="num" w:pos="1162"/>
        </w:tabs>
        <w:ind w:left="1162" w:hanging="1049"/>
      </w:pPr>
      <w:rPr>
        <w:rFonts w:hint="default"/>
        <w:b/>
        <w:i w:val="0"/>
        <w:sz w:val="22"/>
      </w:rPr>
    </w:lvl>
    <w:lvl w:ilvl="1">
      <w:start w:val="1"/>
      <w:numFmt w:val="upperLetter"/>
      <w:lvlText w:val="Note %1%2:"/>
      <w:lvlJc w:val="left"/>
      <w:pPr>
        <w:tabs>
          <w:tab w:val="num" w:pos="1162"/>
        </w:tabs>
        <w:ind w:left="1162" w:hanging="1049"/>
      </w:pPr>
      <w:rPr>
        <w:rFonts w:ascii="Times New Roman" w:hAnsi="Times New Roman" w:cs="Times New Roman" w:hint="default"/>
        <w:b w:val="0"/>
        <w:i w:val="0"/>
        <w:sz w:val="22"/>
        <w:u w:val="single" w:color="000000"/>
      </w:rPr>
    </w:lvl>
    <w:lvl w:ilvl="2">
      <w:start w:val="1"/>
      <w:numFmt w:val="lowerLetter"/>
      <w:pStyle w:val="NotesHeading3a"/>
      <w:lvlText w:val="%3)"/>
      <w:lvlJc w:val="left"/>
      <w:pPr>
        <w:tabs>
          <w:tab w:val="num" w:pos="473"/>
        </w:tabs>
        <w:ind w:left="113" w:firstLine="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2231"/>
        </w:tabs>
        <w:ind w:left="2231" w:hanging="1440"/>
      </w:pPr>
      <w:rPr>
        <w:rFonts w:hint="default"/>
      </w:rPr>
    </w:lvl>
    <w:lvl w:ilvl="8">
      <w:start w:val="1"/>
      <w:numFmt w:val="decimal"/>
      <w:lvlText w:val="%1.%2.%3.%4.%5.%6.%7.%8.%9"/>
      <w:lvlJc w:val="left"/>
      <w:pPr>
        <w:tabs>
          <w:tab w:val="num" w:pos="2344"/>
        </w:tabs>
        <w:ind w:left="2344" w:hanging="1440"/>
      </w:pPr>
      <w:rPr>
        <w:rFonts w:hint="default"/>
      </w:rPr>
    </w:lvl>
  </w:abstractNum>
  <w:abstractNum w:abstractNumId="22" w15:restartNumberingAfterBreak="0">
    <w:nsid w:val="584D400A"/>
    <w:multiLevelType w:val="multilevel"/>
    <w:tmpl w:val="A36C09A6"/>
    <w:lvl w:ilvl="0">
      <w:start w:val="2"/>
      <w:numFmt w:val="decimal"/>
      <w:lvlText w:val="CHAPTER %1 "/>
      <w:lvlJc w:val="left"/>
      <w:pPr>
        <w:tabs>
          <w:tab w:val="num" w:pos="397"/>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0CD5FBD"/>
    <w:multiLevelType w:val="hybridMultilevel"/>
    <w:tmpl w:val="36FCD2E0"/>
    <w:styleLink w:val="KeyPoin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02D1B"/>
    <w:multiLevelType w:val="multilevel"/>
    <w:tmpl w:val="653C4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5456429"/>
    <w:multiLevelType w:val="multilevel"/>
    <w:tmpl w:val="E898CC72"/>
    <w:numStyleLink w:val="KeyPoints"/>
  </w:abstractNum>
  <w:abstractNum w:abstractNumId="27" w15:restartNumberingAfterBreak="0">
    <w:nsid w:val="71104FB3"/>
    <w:multiLevelType w:val="multilevel"/>
    <w:tmpl w:val="82B28EC6"/>
    <w:styleLink w:val="BulletList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E921FA"/>
    <w:multiLevelType w:val="multilevel"/>
    <w:tmpl w:val="68E49434"/>
    <w:lvl w:ilvl="0">
      <w:start w:val="1"/>
      <w:numFmt w:val="decimal"/>
      <w:pStyle w:val="NotesHeading-Level1"/>
      <w:lvlText w:val="Note %1: "/>
      <w:lvlJc w:val="left"/>
      <w:pPr>
        <w:tabs>
          <w:tab w:val="num" w:pos="851"/>
        </w:tabs>
        <w:ind w:left="1134" w:hanging="1134"/>
      </w:pPr>
      <w:rPr>
        <w:rFonts w:ascii="Arial" w:hAnsi="Arial" w:cs="Arial" w:hint="default"/>
        <w:b/>
        <w:bCs w:val="0"/>
        <w:i w:val="0"/>
        <w:iCs w:val="0"/>
        <w:caps w:val="0"/>
        <w:smallCaps w:val="0"/>
        <w:strike w:val="0"/>
        <w:dstrike w:val="0"/>
        <w:noProof w:val="0"/>
        <w:vanish w:val="0"/>
        <w:color w:val="auto"/>
        <w:spacing w:val="0"/>
        <w:kern w:val="0"/>
        <w:position w:val="0"/>
        <w:sz w:val="20"/>
        <w:szCs w:val="20"/>
        <w:u w:val="none"/>
        <w:vertAlign w:val="baseline"/>
        <w:em w:val="none"/>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4E66A41"/>
    <w:multiLevelType w:val="hybridMultilevel"/>
    <w:tmpl w:val="2DFC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0"/>
  </w:num>
  <w:num w:numId="2">
    <w:abstractNumId w:val="1"/>
  </w:num>
  <w:num w:numId="3">
    <w:abstractNumId w:val="19"/>
  </w:num>
  <w:num w:numId="4">
    <w:abstractNumId w:val="17"/>
  </w:num>
  <w:num w:numId="5">
    <w:abstractNumId w:val="26"/>
  </w:num>
  <w:num w:numId="6">
    <w:abstractNumId w:val="11"/>
  </w:num>
  <w:num w:numId="7">
    <w:abstractNumId w:val="27"/>
  </w:num>
  <w:num w:numId="8">
    <w:abstractNumId w:val="9"/>
  </w:num>
  <w:num w:numId="9">
    <w:abstractNumId w:val="24"/>
  </w:num>
  <w:num w:numId="10">
    <w:abstractNumId w:val="14"/>
  </w:num>
  <w:num w:numId="11">
    <w:abstractNumId w:val="0"/>
  </w:num>
  <w:num w:numId="12">
    <w:abstractNumId w:val="22"/>
  </w:num>
  <w:num w:numId="13">
    <w:abstractNumId w:val="23"/>
  </w:num>
  <w:num w:numId="14">
    <w:abstractNumId w:val="2"/>
  </w:num>
  <w:num w:numId="15">
    <w:abstractNumId w:val="13"/>
  </w:num>
  <w:num w:numId="16">
    <w:abstractNumId w:val="28"/>
  </w:num>
  <w:num w:numId="17">
    <w:abstractNumId w:val="21"/>
  </w:num>
  <w:num w:numId="18">
    <w:abstractNumId w:val="6"/>
  </w:num>
  <w:num w:numId="19">
    <w:abstractNumId w:val="5"/>
  </w:num>
  <w:num w:numId="20">
    <w:abstractNumId w:val="10"/>
  </w:num>
  <w:num w:numId="21">
    <w:abstractNumId w:val="16"/>
  </w:num>
  <w:num w:numId="22">
    <w:abstractNumId w:val="12"/>
  </w:num>
  <w:num w:numId="23">
    <w:abstractNumId w:val="20"/>
  </w:num>
  <w:num w:numId="24">
    <w:abstractNumId w:val="4"/>
  </w:num>
  <w:num w:numId="25">
    <w:abstractNumId w:val="18"/>
  </w:num>
  <w:num w:numId="26">
    <w:abstractNumId w:val="29"/>
  </w:num>
  <w:num w:numId="27">
    <w:abstractNumId w:val="3"/>
  </w:num>
  <w:num w:numId="28">
    <w:abstractNumId w:val="8"/>
  </w:num>
  <w:num w:numId="29">
    <w:abstractNumId w:val="15"/>
  </w:num>
  <w:num w:numId="30">
    <w:abstractNumId w:val="7"/>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8"/>
    <w:rsid w:val="0000156E"/>
    <w:rsid w:val="00002691"/>
    <w:rsid w:val="00004656"/>
    <w:rsid w:val="00004AEE"/>
    <w:rsid w:val="00005CAA"/>
    <w:rsid w:val="00010210"/>
    <w:rsid w:val="0001139A"/>
    <w:rsid w:val="00012D66"/>
    <w:rsid w:val="000159F7"/>
    <w:rsid w:val="00015ADA"/>
    <w:rsid w:val="00020C99"/>
    <w:rsid w:val="000256F6"/>
    <w:rsid w:val="0002707B"/>
    <w:rsid w:val="000340E9"/>
    <w:rsid w:val="0004279E"/>
    <w:rsid w:val="00042967"/>
    <w:rsid w:val="000446B4"/>
    <w:rsid w:val="0005148E"/>
    <w:rsid w:val="000517B2"/>
    <w:rsid w:val="00053D62"/>
    <w:rsid w:val="00054A74"/>
    <w:rsid w:val="00056183"/>
    <w:rsid w:val="00056E58"/>
    <w:rsid w:val="00061745"/>
    <w:rsid w:val="00065D61"/>
    <w:rsid w:val="00072C5A"/>
    <w:rsid w:val="0007435B"/>
    <w:rsid w:val="000753F7"/>
    <w:rsid w:val="000759E5"/>
    <w:rsid w:val="00076892"/>
    <w:rsid w:val="00077D43"/>
    <w:rsid w:val="00080297"/>
    <w:rsid w:val="00084AC6"/>
    <w:rsid w:val="00085BC7"/>
    <w:rsid w:val="00085FEA"/>
    <w:rsid w:val="0009109D"/>
    <w:rsid w:val="00091608"/>
    <w:rsid w:val="000917C2"/>
    <w:rsid w:val="0009333C"/>
    <w:rsid w:val="000942E3"/>
    <w:rsid w:val="0009704F"/>
    <w:rsid w:val="000A0F11"/>
    <w:rsid w:val="000A125A"/>
    <w:rsid w:val="000A2544"/>
    <w:rsid w:val="000A4868"/>
    <w:rsid w:val="000A57CD"/>
    <w:rsid w:val="000A7822"/>
    <w:rsid w:val="000B1EA4"/>
    <w:rsid w:val="000B3758"/>
    <w:rsid w:val="000B7681"/>
    <w:rsid w:val="000B7B42"/>
    <w:rsid w:val="000C02B7"/>
    <w:rsid w:val="000C0ABF"/>
    <w:rsid w:val="000C0B69"/>
    <w:rsid w:val="000C1CA8"/>
    <w:rsid w:val="000C5100"/>
    <w:rsid w:val="000C5342"/>
    <w:rsid w:val="000C5B93"/>
    <w:rsid w:val="000C706A"/>
    <w:rsid w:val="000D2887"/>
    <w:rsid w:val="000D359A"/>
    <w:rsid w:val="000D6D63"/>
    <w:rsid w:val="000E0081"/>
    <w:rsid w:val="000E07CF"/>
    <w:rsid w:val="000E31C1"/>
    <w:rsid w:val="000E5980"/>
    <w:rsid w:val="000F142F"/>
    <w:rsid w:val="000F2CF2"/>
    <w:rsid w:val="000F62DF"/>
    <w:rsid w:val="001001D7"/>
    <w:rsid w:val="00100BEF"/>
    <w:rsid w:val="00110D0A"/>
    <w:rsid w:val="00111326"/>
    <w:rsid w:val="00112BFE"/>
    <w:rsid w:val="0011498E"/>
    <w:rsid w:val="00114DE5"/>
    <w:rsid w:val="00116513"/>
    <w:rsid w:val="00117A45"/>
    <w:rsid w:val="0012068C"/>
    <w:rsid w:val="001211B6"/>
    <w:rsid w:val="0012175F"/>
    <w:rsid w:val="001224AE"/>
    <w:rsid w:val="001259FD"/>
    <w:rsid w:val="00126208"/>
    <w:rsid w:val="00127A70"/>
    <w:rsid w:val="0013268C"/>
    <w:rsid w:val="00132940"/>
    <w:rsid w:val="001337D4"/>
    <w:rsid w:val="00135591"/>
    <w:rsid w:val="0014117F"/>
    <w:rsid w:val="00141A10"/>
    <w:rsid w:val="00141DD7"/>
    <w:rsid w:val="00144BBD"/>
    <w:rsid w:val="00147C12"/>
    <w:rsid w:val="001506F7"/>
    <w:rsid w:val="001527A1"/>
    <w:rsid w:val="001530DC"/>
    <w:rsid w:val="00154989"/>
    <w:rsid w:val="00155A9F"/>
    <w:rsid w:val="00160262"/>
    <w:rsid w:val="0016780A"/>
    <w:rsid w:val="001713FA"/>
    <w:rsid w:val="00173838"/>
    <w:rsid w:val="00173EA8"/>
    <w:rsid w:val="00173EBF"/>
    <w:rsid w:val="00174161"/>
    <w:rsid w:val="00174C0D"/>
    <w:rsid w:val="00175ED3"/>
    <w:rsid w:val="001826DB"/>
    <w:rsid w:val="001841BB"/>
    <w:rsid w:val="001842A2"/>
    <w:rsid w:val="00184AF8"/>
    <w:rsid w:val="001876B5"/>
    <w:rsid w:val="00187FA8"/>
    <w:rsid w:val="00192EF5"/>
    <w:rsid w:val="00192F5E"/>
    <w:rsid w:val="001933E7"/>
    <w:rsid w:val="00197772"/>
    <w:rsid w:val="001A06ED"/>
    <w:rsid w:val="001A4500"/>
    <w:rsid w:val="001A45FD"/>
    <w:rsid w:val="001A51C8"/>
    <w:rsid w:val="001A6688"/>
    <w:rsid w:val="001B12F2"/>
    <w:rsid w:val="001B4CA8"/>
    <w:rsid w:val="001B5EA1"/>
    <w:rsid w:val="001B715A"/>
    <w:rsid w:val="001C065E"/>
    <w:rsid w:val="001C2FBF"/>
    <w:rsid w:val="001C42FA"/>
    <w:rsid w:val="001C4F3D"/>
    <w:rsid w:val="001C7E51"/>
    <w:rsid w:val="001D0CDC"/>
    <w:rsid w:val="001D1D82"/>
    <w:rsid w:val="001D2EA8"/>
    <w:rsid w:val="001D3EB7"/>
    <w:rsid w:val="001D460D"/>
    <w:rsid w:val="001D5467"/>
    <w:rsid w:val="001E1182"/>
    <w:rsid w:val="001F54FE"/>
    <w:rsid w:val="00202C90"/>
    <w:rsid w:val="00206406"/>
    <w:rsid w:val="00210B77"/>
    <w:rsid w:val="002110AA"/>
    <w:rsid w:val="00213DE8"/>
    <w:rsid w:val="00214731"/>
    <w:rsid w:val="00216066"/>
    <w:rsid w:val="00216118"/>
    <w:rsid w:val="0021680B"/>
    <w:rsid w:val="00217066"/>
    <w:rsid w:val="002209AB"/>
    <w:rsid w:val="002251E3"/>
    <w:rsid w:val="00225C49"/>
    <w:rsid w:val="00226E57"/>
    <w:rsid w:val="00227A95"/>
    <w:rsid w:val="002316BD"/>
    <w:rsid w:val="00234216"/>
    <w:rsid w:val="00243BB6"/>
    <w:rsid w:val="00243C92"/>
    <w:rsid w:val="002442F7"/>
    <w:rsid w:val="00244CCF"/>
    <w:rsid w:val="002453F4"/>
    <w:rsid w:val="002473FC"/>
    <w:rsid w:val="00247742"/>
    <w:rsid w:val="00252E3C"/>
    <w:rsid w:val="00253CC2"/>
    <w:rsid w:val="00255320"/>
    <w:rsid w:val="00262198"/>
    <w:rsid w:val="002627AC"/>
    <w:rsid w:val="0026463A"/>
    <w:rsid w:val="00266191"/>
    <w:rsid w:val="00266A75"/>
    <w:rsid w:val="00272E22"/>
    <w:rsid w:val="0027303A"/>
    <w:rsid w:val="00275F7B"/>
    <w:rsid w:val="00276431"/>
    <w:rsid w:val="00276E3D"/>
    <w:rsid w:val="002812DC"/>
    <w:rsid w:val="00282906"/>
    <w:rsid w:val="002845BB"/>
    <w:rsid w:val="00285F1B"/>
    <w:rsid w:val="00292B81"/>
    <w:rsid w:val="00293220"/>
    <w:rsid w:val="0029431C"/>
    <w:rsid w:val="00296473"/>
    <w:rsid w:val="002A175E"/>
    <w:rsid w:val="002A2AF5"/>
    <w:rsid w:val="002A2B15"/>
    <w:rsid w:val="002A6A48"/>
    <w:rsid w:val="002A6D10"/>
    <w:rsid w:val="002B18AE"/>
    <w:rsid w:val="002B3998"/>
    <w:rsid w:val="002B62E3"/>
    <w:rsid w:val="002B7D0A"/>
    <w:rsid w:val="002C1C93"/>
    <w:rsid w:val="002C2295"/>
    <w:rsid w:val="002C5066"/>
    <w:rsid w:val="002C563C"/>
    <w:rsid w:val="002C5813"/>
    <w:rsid w:val="002C67CB"/>
    <w:rsid w:val="002D13BA"/>
    <w:rsid w:val="002D17E7"/>
    <w:rsid w:val="002D2EC0"/>
    <w:rsid w:val="002D455F"/>
    <w:rsid w:val="002D4AAC"/>
    <w:rsid w:val="002D578D"/>
    <w:rsid w:val="002D6B8B"/>
    <w:rsid w:val="002D74AA"/>
    <w:rsid w:val="002E0A1A"/>
    <w:rsid w:val="002E4AF5"/>
    <w:rsid w:val="002E6CDB"/>
    <w:rsid w:val="002E7A77"/>
    <w:rsid w:val="002E7ABF"/>
    <w:rsid w:val="002F045A"/>
    <w:rsid w:val="002F583E"/>
    <w:rsid w:val="002F5DB1"/>
    <w:rsid w:val="0030039D"/>
    <w:rsid w:val="0030326F"/>
    <w:rsid w:val="00304F83"/>
    <w:rsid w:val="00305083"/>
    <w:rsid w:val="00305718"/>
    <w:rsid w:val="00310701"/>
    <w:rsid w:val="00310DB8"/>
    <w:rsid w:val="00314649"/>
    <w:rsid w:val="00314751"/>
    <w:rsid w:val="00315980"/>
    <w:rsid w:val="00316F7F"/>
    <w:rsid w:val="003218E8"/>
    <w:rsid w:val="0032190E"/>
    <w:rsid w:val="00325E34"/>
    <w:rsid w:val="00326072"/>
    <w:rsid w:val="00330DCE"/>
    <w:rsid w:val="00331E11"/>
    <w:rsid w:val="00334761"/>
    <w:rsid w:val="00337755"/>
    <w:rsid w:val="00337EBC"/>
    <w:rsid w:val="00340217"/>
    <w:rsid w:val="00340E5B"/>
    <w:rsid w:val="00341DCD"/>
    <w:rsid w:val="00344405"/>
    <w:rsid w:val="0034563E"/>
    <w:rsid w:val="003518D6"/>
    <w:rsid w:val="003520D2"/>
    <w:rsid w:val="00352C1F"/>
    <w:rsid w:val="00352F50"/>
    <w:rsid w:val="00353D7D"/>
    <w:rsid w:val="0035460C"/>
    <w:rsid w:val="0035485E"/>
    <w:rsid w:val="003556BD"/>
    <w:rsid w:val="00356624"/>
    <w:rsid w:val="00356CDC"/>
    <w:rsid w:val="003578EA"/>
    <w:rsid w:val="00365147"/>
    <w:rsid w:val="00366F4A"/>
    <w:rsid w:val="0037016E"/>
    <w:rsid w:val="00372908"/>
    <w:rsid w:val="003733CE"/>
    <w:rsid w:val="00373A7B"/>
    <w:rsid w:val="00375C44"/>
    <w:rsid w:val="00382ACB"/>
    <w:rsid w:val="00383020"/>
    <w:rsid w:val="00383222"/>
    <w:rsid w:val="00385DC4"/>
    <w:rsid w:val="00385DE3"/>
    <w:rsid w:val="00387A63"/>
    <w:rsid w:val="003920E5"/>
    <w:rsid w:val="00393BD9"/>
    <w:rsid w:val="00394D7E"/>
    <w:rsid w:val="00396924"/>
    <w:rsid w:val="00396EE1"/>
    <w:rsid w:val="00396EF3"/>
    <w:rsid w:val="003975FD"/>
    <w:rsid w:val="003A2DC4"/>
    <w:rsid w:val="003A38B7"/>
    <w:rsid w:val="003A4DE4"/>
    <w:rsid w:val="003A6C8B"/>
    <w:rsid w:val="003A7E99"/>
    <w:rsid w:val="003B0270"/>
    <w:rsid w:val="003B057D"/>
    <w:rsid w:val="003B27EB"/>
    <w:rsid w:val="003B42DF"/>
    <w:rsid w:val="003B60CC"/>
    <w:rsid w:val="003B6215"/>
    <w:rsid w:val="003B792B"/>
    <w:rsid w:val="003C0A35"/>
    <w:rsid w:val="003C1B25"/>
    <w:rsid w:val="003C2443"/>
    <w:rsid w:val="003C2C84"/>
    <w:rsid w:val="003C5DA3"/>
    <w:rsid w:val="003C67A5"/>
    <w:rsid w:val="003C692F"/>
    <w:rsid w:val="003D442C"/>
    <w:rsid w:val="003D4BCD"/>
    <w:rsid w:val="003D6C2B"/>
    <w:rsid w:val="003D7A31"/>
    <w:rsid w:val="003D7ABA"/>
    <w:rsid w:val="003E01D8"/>
    <w:rsid w:val="003E13A0"/>
    <w:rsid w:val="003E2100"/>
    <w:rsid w:val="003E27BA"/>
    <w:rsid w:val="003E6547"/>
    <w:rsid w:val="003E6BD2"/>
    <w:rsid w:val="003E6DB5"/>
    <w:rsid w:val="003F3DA9"/>
    <w:rsid w:val="003F6F5B"/>
    <w:rsid w:val="003F7E01"/>
    <w:rsid w:val="0040342D"/>
    <w:rsid w:val="0041192D"/>
    <w:rsid w:val="00412681"/>
    <w:rsid w:val="00413EE1"/>
    <w:rsid w:val="004155E9"/>
    <w:rsid w:val="00417EDA"/>
    <w:rsid w:val="0042122C"/>
    <w:rsid w:val="0042128E"/>
    <w:rsid w:val="00424D3B"/>
    <w:rsid w:val="004261C0"/>
    <w:rsid w:val="00427B17"/>
    <w:rsid w:val="00431EE8"/>
    <w:rsid w:val="00432B60"/>
    <w:rsid w:val="00433760"/>
    <w:rsid w:val="004360DD"/>
    <w:rsid w:val="00440698"/>
    <w:rsid w:val="004408B4"/>
    <w:rsid w:val="00441990"/>
    <w:rsid w:val="004441E3"/>
    <w:rsid w:val="00452F3B"/>
    <w:rsid w:val="004535BE"/>
    <w:rsid w:val="00453880"/>
    <w:rsid w:val="004540E2"/>
    <w:rsid w:val="00454454"/>
    <w:rsid w:val="00455121"/>
    <w:rsid w:val="00460A4C"/>
    <w:rsid w:val="00463007"/>
    <w:rsid w:val="00466143"/>
    <w:rsid w:val="00466D3C"/>
    <w:rsid w:val="00467924"/>
    <w:rsid w:val="004712A5"/>
    <w:rsid w:val="0047266F"/>
    <w:rsid w:val="0047499E"/>
    <w:rsid w:val="00476D6B"/>
    <w:rsid w:val="00477603"/>
    <w:rsid w:val="00484B1C"/>
    <w:rsid w:val="0048510C"/>
    <w:rsid w:val="004928B6"/>
    <w:rsid w:val="00492C16"/>
    <w:rsid w:val="004936D7"/>
    <w:rsid w:val="004937F6"/>
    <w:rsid w:val="004A0678"/>
    <w:rsid w:val="004A48A3"/>
    <w:rsid w:val="004B0D92"/>
    <w:rsid w:val="004B0EC0"/>
    <w:rsid w:val="004B66F1"/>
    <w:rsid w:val="004C0334"/>
    <w:rsid w:val="004C3EA0"/>
    <w:rsid w:val="004C79A0"/>
    <w:rsid w:val="004F35A7"/>
    <w:rsid w:val="004F5CEF"/>
    <w:rsid w:val="004F7169"/>
    <w:rsid w:val="00500D66"/>
    <w:rsid w:val="00502F00"/>
    <w:rsid w:val="00505ACA"/>
    <w:rsid w:val="0051223E"/>
    <w:rsid w:val="00514604"/>
    <w:rsid w:val="00514C8E"/>
    <w:rsid w:val="0051751A"/>
    <w:rsid w:val="00521764"/>
    <w:rsid w:val="00531DBF"/>
    <w:rsid w:val="005379B0"/>
    <w:rsid w:val="0054424A"/>
    <w:rsid w:val="00545759"/>
    <w:rsid w:val="00545BE0"/>
    <w:rsid w:val="00546930"/>
    <w:rsid w:val="00547283"/>
    <w:rsid w:val="00547DA7"/>
    <w:rsid w:val="005502B0"/>
    <w:rsid w:val="00553566"/>
    <w:rsid w:val="00554C6A"/>
    <w:rsid w:val="00556E78"/>
    <w:rsid w:val="00557C45"/>
    <w:rsid w:val="00561F98"/>
    <w:rsid w:val="00562247"/>
    <w:rsid w:val="00562E85"/>
    <w:rsid w:val="0056332F"/>
    <w:rsid w:val="00564938"/>
    <w:rsid w:val="00570734"/>
    <w:rsid w:val="00571559"/>
    <w:rsid w:val="00571783"/>
    <w:rsid w:val="005719B3"/>
    <w:rsid w:val="0057295E"/>
    <w:rsid w:val="00574E06"/>
    <w:rsid w:val="0057603C"/>
    <w:rsid w:val="00577367"/>
    <w:rsid w:val="00580128"/>
    <w:rsid w:val="00581C39"/>
    <w:rsid w:val="00581F87"/>
    <w:rsid w:val="005826FD"/>
    <w:rsid w:val="00583F76"/>
    <w:rsid w:val="00584323"/>
    <w:rsid w:val="00585ABC"/>
    <w:rsid w:val="005903B6"/>
    <w:rsid w:val="00594CFE"/>
    <w:rsid w:val="005A0247"/>
    <w:rsid w:val="005A126E"/>
    <w:rsid w:val="005A2DAF"/>
    <w:rsid w:val="005A452F"/>
    <w:rsid w:val="005A5143"/>
    <w:rsid w:val="005A6728"/>
    <w:rsid w:val="005B140D"/>
    <w:rsid w:val="005B15FB"/>
    <w:rsid w:val="005B17BF"/>
    <w:rsid w:val="005B213D"/>
    <w:rsid w:val="005B2738"/>
    <w:rsid w:val="005B3D0B"/>
    <w:rsid w:val="005B4F9B"/>
    <w:rsid w:val="005B5623"/>
    <w:rsid w:val="005C0CE1"/>
    <w:rsid w:val="005C1FEA"/>
    <w:rsid w:val="005C3495"/>
    <w:rsid w:val="005C3882"/>
    <w:rsid w:val="005C4F6A"/>
    <w:rsid w:val="005C535F"/>
    <w:rsid w:val="005C61F4"/>
    <w:rsid w:val="005D2866"/>
    <w:rsid w:val="005D3D19"/>
    <w:rsid w:val="005D4935"/>
    <w:rsid w:val="005E16B7"/>
    <w:rsid w:val="005E20CD"/>
    <w:rsid w:val="005E2B3B"/>
    <w:rsid w:val="005E3DFC"/>
    <w:rsid w:val="005E4769"/>
    <w:rsid w:val="005E5942"/>
    <w:rsid w:val="005E5B15"/>
    <w:rsid w:val="005E60AF"/>
    <w:rsid w:val="005E7B64"/>
    <w:rsid w:val="005F1DEA"/>
    <w:rsid w:val="005F46DE"/>
    <w:rsid w:val="005F46FC"/>
    <w:rsid w:val="005F60A4"/>
    <w:rsid w:val="00600528"/>
    <w:rsid w:val="00600CE1"/>
    <w:rsid w:val="00602F9C"/>
    <w:rsid w:val="00607FC9"/>
    <w:rsid w:val="00610595"/>
    <w:rsid w:val="00612FC4"/>
    <w:rsid w:val="0061442E"/>
    <w:rsid w:val="006170B9"/>
    <w:rsid w:val="0061765E"/>
    <w:rsid w:val="00622FE1"/>
    <w:rsid w:val="006232E4"/>
    <w:rsid w:val="0062521C"/>
    <w:rsid w:val="006303DD"/>
    <w:rsid w:val="00630A2B"/>
    <w:rsid w:val="00631FA4"/>
    <w:rsid w:val="00632DC7"/>
    <w:rsid w:val="00633433"/>
    <w:rsid w:val="006350C8"/>
    <w:rsid w:val="006357FB"/>
    <w:rsid w:val="00635842"/>
    <w:rsid w:val="006359F0"/>
    <w:rsid w:val="00635D2B"/>
    <w:rsid w:val="006406FC"/>
    <w:rsid w:val="00640E57"/>
    <w:rsid w:val="00646122"/>
    <w:rsid w:val="00653E16"/>
    <w:rsid w:val="006545FA"/>
    <w:rsid w:val="00657220"/>
    <w:rsid w:val="00657362"/>
    <w:rsid w:val="00657682"/>
    <w:rsid w:val="006576EF"/>
    <w:rsid w:val="00657C18"/>
    <w:rsid w:val="0066104B"/>
    <w:rsid w:val="006645A0"/>
    <w:rsid w:val="006655EE"/>
    <w:rsid w:val="00667C10"/>
    <w:rsid w:val="00667EF4"/>
    <w:rsid w:val="0067142A"/>
    <w:rsid w:val="00671DF2"/>
    <w:rsid w:val="0067339A"/>
    <w:rsid w:val="00673E08"/>
    <w:rsid w:val="006741FB"/>
    <w:rsid w:val="00675979"/>
    <w:rsid w:val="00675CA0"/>
    <w:rsid w:val="00676FCA"/>
    <w:rsid w:val="00677177"/>
    <w:rsid w:val="0068274A"/>
    <w:rsid w:val="0068612E"/>
    <w:rsid w:val="00686A06"/>
    <w:rsid w:val="00687C92"/>
    <w:rsid w:val="006926AE"/>
    <w:rsid w:val="0069340A"/>
    <w:rsid w:val="0069534E"/>
    <w:rsid w:val="0069669C"/>
    <w:rsid w:val="006A0D8F"/>
    <w:rsid w:val="006A1200"/>
    <w:rsid w:val="006A19EC"/>
    <w:rsid w:val="006A2CC6"/>
    <w:rsid w:val="006A44E7"/>
    <w:rsid w:val="006A4F4E"/>
    <w:rsid w:val="006A6C23"/>
    <w:rsid w:val="006A78F9"/>
    <w:rsid w:val="006A7D97"/>
    <w:rsid w:val="006B14DB"/>
    <w:rsid w:val="006B1843"/>
    <w:rsid w:val="006B21C4"/>
    <w:rsid w:val="006B595B"/>
    <w:rsid w:val="006B6C67"/>
    <w:rsid w:val="006C4A1A"/>
    <w:rsid w:val="006C5101"/>
    <w:rsid w:val="006C67E2"/>
    <w:rsid w:val="006D0393"/>
    <w:rsid w:val="006D0B4E"/>
    <w:rsid w:val="006D145D"/>
    <w:rsid w:val="006D1816"/>
    <w:rsid w:val="006D1A83"/>
    <w:rsid w:val="006D77DA"/>
    <w:rsid w:val="006E1CFE"/>
    <w:rsid w:val="006E2739"/>
    <w:rsid w:val="006E32E1"/>
    <w:rsid w:val="006E4570"/>
    <w:rsid w:val="006E6585"/>
    <w:rsid w:val="006F05C0"/>
    <w:rsid w:val="006F10C4"/>
    <w:rsid w:val="006F27AC"/>
    <w:rsid w:val="006F3C59"/>
    <w:rsid w:val="006F40E9"/>
    <w:rsid w:val="006F5164"/>
    <w:rsid w:val="006F5603"/>
    <w:rsid w:val="006F602C"/>
    <w:rsid w:val="006F68BE"/>
    <w:rsid w:val="006F7B87"/>
    <w:rsid w:val="00701400"/>
    <w:rsid w:val="007037CF"/>
    <w:rsid w:val="007045AE"/>
    <w:rsid w:val="00704AF7"/>
    <w:rsid w:val="00705259"/>
    <w:rsid w:val="007074C5"/>
    <w:rsid w:val="00707D5B"/>
    <w:rsid w:val="007120C4"/>
    <w:rsid w:val="007167C0"/>
    <w:rsid w:val="00717BAB"/>
    <w:rsid w:val="00720481"/>
    <w:rsid w:val="0072105B"/>
    <w:rsid w:val="00724E55"/>
    <w:rsid w:val="007274C2"/>
    <w:rsid w:val="00733193"/>
    <w:rsid w:val="00733FF4"/>
    <w:rsid w:val="007345DC"/>
    <w:rsid w:val="0074394D"/>
    <w:rsid w:val="00744DDA"/>
    <w:rsid w:val="00745E03"/>
    <w:rsid w:val="007500FD"/>
    <w:rsid w:val="00750426"/>
    <w:rsid w:val="0075245C"/>
    <w:rsid w:val="007566ED"/>
    <w:rsid w:val="00756CD5"/>
    <w:rsid w:val="0075732A"/>
    <w:rsid w:val="007600F8"/>
    <w:rsid w:val="00760262"/>
    <w:rsid w:val="007617A8"/>
    <w:rsid w:val="00762341"/>
    <w:rsid w:val="0076310C"/>
    <w:rsid w:val="00763F69"/>
    <w:rsid w:val="0076744F"/>
    <w:rsid w:val="00767944"/>
    <w:rsid w:val="00767BCE"/>
    <w:rsid w:val="00767EFC"/>
    <w:rsid w:val="007707DE"/>
    <w:rsid w:val="00770B5D"/>
    <w:rsid w:val="00773133"/>
    <w:rsid w:val="007752F1"/>
    <w:rsid w:val="00776768"/>
    <w:rsid w:val="00777334"/>
    <w:rsid w:val="0078187A"/>
    <w:rsid w:val="00786051"/>
    <w:rsid w:val="00794ED8"/>
    <w:rsid w:val="007968FB"/>
    <w:rsid w:val="007A1903"/>
    <w:rsid w:val="007A2573"/>
    <w:rsid w:val="007A4C3A"/>
    <w:rsid w:val="007A5368"/>
    <w:rsid w:val="007B09D7"/>
    <w:rsid w:val="007B106C"/>
    <w:rsid w:val="007B1A4E"/>
    <w:rsid w:val="007B1FB4"/>
    <w:rsid w:val="007B3D05"/>
    <w:rsid w:val="007B5503"/>
    <w:rsid w:val="007B650B"/>
    <w:rsid w:val="007B6DB3"/>
    <w:rsid w:val="007B6FB3"/>
    <w:rsid w:val="007B7A30"/>
    <w:rsid w:val="007C179C"/>
    <w:rsid w:val="007C4695"/>
    <w:rsid w:val="007C4F6D"/>
    <w:rsid w:val="007C6BB3"/>
    <w:rsid w:val="007C6E55"/>
    <w:rsid w:val="007D14B4"/>
    <w:rsid w:val="007D3AD7"/>
    <w:rsid w:val="007E24F6"/>
    <w:rsid w:val="007F74E2"/>
    <w:rsid w:val="00800F64"/>
    <w:rsid w:val="00801050"/>
    <w:rsid w:val="00802F0B"/>
    <w:rsid w:val="00810A67"/>
    <w:rsid w:val="00810A7D"/>
    <w:rsid w:val="00810DA6"/>
    <w:rsid w:val="00816951"/>
    <w:rsid w:val="00820398"/>
    <w:rsid w:val="0082314C"/>
    <w:rsid w:val="00823D42"/>
    <w:rsid w:val="00824152"/>
    <w:rsid w:val="00825143"/>
    <w:rsid w:val="00831BD0"/>
    <w:rsid w:val="00833CF7"/>
    <w:rsid w:val="00834924"/>
    <w:rsid w:val="00834CDE"/>
    <w:rsid w:val="008370AE"/>
    <w:rsid w:val="00841CA5"/>
    <w:rsid w:val="00842464"/>
    <w:rsid w:val="00845601"/>
    <w:rsid w:val="008457EF"/>
    <w:rsid w:val="00846671"/>
    <w:rsid w:val="00847CA6"/>
    <w:rsid w:val="0085015B"/>
    <w:rsid w:val="00853631"/>
    <w:rsid w:val="00855C5C"/>
    <w:rsid w:val="008614A9"/>
    <w:rsid w:val="0087573E"/>
    <w:rsid w:val="0088751D"/>
    <w:rsid w:val="00891AA9"/>
    <w:rsid w:val="008A3C96"/>
    <w:rsid w:val="008A60A8"/>
    <w:rsid w:val="008B152F"/>
    <w:rsid w:val="008B36D1"/>
    <w:rsid w:val="008B4019"/>
    <w:rsid w:val="008B59BE"/>
    <w:rsid w:val="008B65C9"/>
    <w:rsid w:val="008B76F8"/>
    <w:rsid w:val="008B7C83"/>
    <w:rsid w:val="008C2D4A"/>
    <w:rsid w:val="008C3D1B"/>
    <w:rsid w:val="008C4BD8"/>
    <w:rsid w:val="008C5E18"/>
    <w:rsid w:val="008D2183"/>
    <w:rsid w:val="008D3900"/>
    <w:rsid w:val="008D5019"/>
    <w:rsid w:val="008D6E1D"/>
    <w:rsid w:val="008D73DE"/>
    <w:rsid w:val="008E1DA1"/>
    <w:rsid w:val="008E1DAE"/>
    <w:rsid w:val="008F0763"/>
    <w:rsid w:val="008F0FA8"/>
    <w:rsid w:val="008F36CB"/>
    <w:rsid w:val="008F39B4"/>
    <w:rsid w:val="008F4162"/>
    <w:rsid w:val="00900039"/>
    <w:rsid w:val="00900365"/>
    <w:rsid w:val="0090127E"/>
    <w:rsid w:val="0090261C"/>
    <w:rsid w:val="00903E02"/>
    <w:rsid w:val="009123D8"/>
    <w:rsid w:val="00913175"/>
    <w:rsid w:val="00914EE7"/>
    <w:rsid w:val="00916EDB"/>
    <w:rsid w:val="009175BE"/>
    <w:rsid w:val="00920861"/>
    <w:rsid w:val="00922B13"/>
    <w:rsid w:val="0092319B"/>
    <w:rsid w:val="009242EF"/>
    <w:rsid w:val="00932291"/>
    <w:rsid w:val="00932861"/>
    <w:rsid w:val="0093408E"/>
    <w:rsid w:val="00935AEA"/>
    <w:rsid w:val="009431BB"/>
    <w:rsid w:val="0094419A"/>
    <w:rsid w:val="00947E60"/>
    <w:rsid w:val="00950EFC"/>
    <w:rsid w:val="00952DDF"/>
    <w:rsid w:val="009536C1"/>
    <w:rsid w:val="009608BF"/>
    <w:rsid w:val="00960CB7"/>
    <w:rsid w:val="00960F66"/>
    <w:rsid w:val="0096229D"/>
    <w:rsid w:val="0096252B"/>
    <w:rsid w:val="00963B6A"/>
    <w:rsid w:val="00965209"/>
    <w:rsid w:val="00970950"/>
    <w:rsid w:val="00972948"/>
    <w:rsid w:val="00973C59"/>
    <w:rsid w:val="009748A9"/>
    <w:rsid w:val="00975A23"/>
    <w:rsid w:val="00977741"/>
    <w:rsid w:val="009812D4"/>
    <w:rsid w:val="009905D1"/>
    <w:rsid w:val="009920D8"/>
    <w:rsid w:val="0099560E"/>
    <w:rsid w:val="009975BB"/>
    <w:rsid w:val="00997F51"/>
    <w:rsid w:val="009B3084"/>
    <w:rsid w:val="009B38BE"/>
    <w:rsid w:val="009C3D0F"/>
    <w:rsid w:val="009D2E17"/>
    <w:rsid w:val="009D56BC"/>
    <w:rsid w:val="009D6DBF"/>
    <w:rsid w:val="009E12EB"/>
    <w:rsid w:val="009E1B19"/>
    <w:rsid w:val="009E3A57"/>
    <w:rsid w:val="009E59C9"/>
    <w:rsid w:val="009E6C55"/>
    <w:rsid w:val="009F35E2"/>
    <w:rsid w:val="009F65F9"/>
    <w:rsid w:val="009F68BA"/>
    <w:rsid w:val="009F709A"/>
    <w:rsid w:val="00A01188"/>
    <w:rsid w:val="00A0464F"/>
    <w:rsid w:val="00A06277"/>
    <w:rsid w:val="00A066EF"/>
    <w:rsid w:val="00A06EC0"/>
    <w:rsid w:val="00A079DC"/>
    <w:rsid w:val="00A07DB1"/>
    <w:rsid w:val="00A111AB"/>
    <w:rsid w:val="00A111C2"/>
    <w:rsid w:val="00A1136D"/>
    <w:rsid w:val="00A118B8"/>
    <w:rsid w:val="00A14789"/>
    <w:rsid w:val="00A227B6"/>
    <w:rsid w:val="00A23595"/>
    <w:rsid w:val="00A338E7"/>
    <w:rsid w:val="00A35876"/>
    <w:rsid w:val="00A35CAA"/>
    <w:rsid w:val="00A364C1"/>
    <w:rsid w:val="00A36E7F"/>
    <w:rsid w:val="00A371BC"/>
    <w:rsid w:val="00A40D0D"/>
    <w:rsid w:val="00A41E65"/>
    <w:rsid w:val="00A42834"/>
    <w:rsid w:val="00A43E0A"/>
    <w:rsid w:val="00A51B50"/>
    <w:rsid w:val="00A52408"/>
    <w:rsid w:val="00A530C7"/>
    <w:rsid w:val="00A55F5B"/>
    <w:rsid w:val="00A60185"/>
    <w:rsid w:val="00A61B76"/>
    <w:rsid w:val="00A63AC7"/>
    <w:rsid w:val="00A661EA"/>
    <w:rsid w:val="00A676CB"/>
    <w:rsid w:val="00A70BCE"/>
    <w:rsid w:val="00A74A2E"/>
    <w:rsid w:val="00A830E5"/>
    <w:rsid w:val="00A87135"/>
    <w:rsid w:val="00A93280"/>
    <w:rsid w:val="00A94F1B"/>
    <w:rsid w:val="00A951EA"/>
    <w:rsid w:val="00A95610"/>
    <w:rsid w:val="00AA0596"/>
    <w:rsid w:val="00AA2548"/>
    <w:rsid w:val="00AA58C4"/>
    <w:rsid w:val="00AA7003"/>
    <w:rsid w:val="00AA7CE3"/>
    <w:rsid w:val="00AB1158"/>
    <w:rsid w:val="00AB11C8"/>
    <w:rsid w:val="00AB587B"/>
    <w:rsid w:val="00AB7058"/>
    <w:rsid w:val="00AC08A8"/>
    <w:rsid w:val="00AC5FB4"/>
    <w:rsid w:val="00AD56C8"/>
    <w:rsid w:val="00AD58F2"/>
    <w:rsid w:val="00AE21DB"/>
    <w:rsid w:val="00AE5D31"/>
    <w:rsid w:val="00AE5F92"/>
    <w:rsid w:val="00AE6876"/>
    <w:rsid w:val="00AE7453"/>
    <w:rsid w:val="00AF2ADD"/>
    <w:rsid w:val="00AF548A"/>
    <w:rsid w:val="00B0281B"/>
    <w:rsid w:val="00B0512A"/>
    <w:rsid w:val="00B0529F"/>
    <w:rsid w:val="00B0585D"/>
    <w:rsid w:val="00B1418B"/>
    <w:rsid w:val="00B16E81"/>
    <w:rsid w:val="00B21195"/>
    <w:rsid w:val="00B222B2"/>
    <w:rsid w:val="00B22A1D"/>
    <w:rsid w:val="00B23158"/>
    <w:rsid w:val="00B24B22"/>
    <w:rsid w:val="00B24CB3"/>
    <w:rsid w:val="00B25310"/>
    <w:rsid w:val="00B32F8F"/>
    <w:rsid w:val="00B3492A"/>
    <w:rsid w:val="00B35C8D"/>
    <w:rsid w:val="00B36C67"/>
    <w:rsid w:val="00B436C3"/>
    <w:rsid w:val="00B4664C"/>
    <w:rsid w:val="00B4799A"/>
    <w:rsid w:val="00B50988"/>
    <w:rsid w:val="00B54DE9"/>
    <w:rsid w:val="00B553EC"/>
    <w:rsid w:val="00B55E3F"/>
    <w:rsid w:val="00B642D9"/>
    <w:rsid w:val="00B70040"/>
    <w:rsid w:val="00B753B8"/>
    <w:rsid w:val="00B75B8D"/>
    <w:rsid w:val="00B75C91"/>
    <w:rsid w:val="00B77D23"/>
    <w:rsid w:val="00B80AEB"/>
    <w:rsid w:val="00B81DFA"/>
    <w:rsid w:val="00B92285"/>
    <w:rsid w:val="00B93BC0"/>
    <w:rsid w:val="00B93DD0"/>
    <w:rsid w:val="00B94D77"/>
    <w:rsid w:val="00B95632"/>
    <w:rsid w:val="00B97732"/>
    <w:rsid w:val="00BA4F71"/>
    <w:rsid w:val="00BA65A8"/>
    <w:rsid w:val="00BA6D19"/>
    <w:rsid w:val="00BA7461"/>
    <w:rsid w:val="00BA7DA9"/>
    <w:rsid w:val="00BB5435"/>
    <w:rsid w:val="00BB68A8"/>
    <w:rsid w:val="00BB6A50"/>
    <w:rsid w:val="00BC4215"/>
    <w:rsid w:val="00BC4C82"/>
    <w:rsid w:val="00BC6A5E"/>
    <w:rsid w:val="00BC7261"/>
    <w:rsid w:val="00BD1A6F"/>
    <w:rsid w:val="00BD67FA"/>
    <w:rsid w:val="00BE10B4"/>
    <w:rsid w:val="00BE2DB3"/>
    <w:rsid w:val="00BE6D3C"/>
    <w:rsid w:val="00BE7852"/>
    <w:rsid w:val="00BF7CEE"/>
    <w:rsid w:val="00BF7F26"/>
    <w:rsid w:val="00C01814"/>
    <w:rsid w:val="00C0243F"/>
    <w:rsid w:val="00C0256F"/>
    <w:rsid w:val="00C03880"/>
    <w:rsid w:val="00C06A58"/>
    <w:rsid w:val="00C12243"/>
    <w:rsid w:val="00C129DB"/>
    <w:rsid w:val="00C135CF"/>
    <w:rsid w:val="00C14CE4"/>
    <w:rsid w:val="00C23908"/>
    <w:rsid w:val="00C24F92"/>
    <w:rsid w:val="00C2683F"/>
    <w:rsid w:val="00C3184D"/>
    <w:rsid w:val="00C31C96"/>
    <w:rsid w:val="00C339DB"/>
    <w:rsid w:val="00C3743A"/>
    <w:rsid w:val="00C376BA"/>
    <w:rsid w:val="00C378D4"/>
    <w:rsid w:val="00C403A8"/>
    <w:rsid w:val="00C4549B"/>
    <w:rsid w:val="00C4714E"/>
    <w:rsid w:val="00C4771B"/>
    <w:rsid w:val="00C51CCA"/>
    <w:rsid w:val="00C526B8"/>
    <w:rsid w:val="00C5504F"/>
    <w:rsid w:val="00C55C7D"/>
    <w:rsid w:val="00C56A97"/>
    <w:rsid w:val="00C57B55"/>
    <w:rsid w:val="00C63376"/>
    <w:rsid w:val="00C65862"/>
    <w:rsid w:val="00C65AB7"/>
    <w:rsid w:val="00C65EE9"/>
    <w:rsid w:val="00C741B9"/>
    <w:rsid w:val="00C7470F"/>
    <w:rsid w:val="00C74F97"/>
    <w:rsid w:val="00C756A1"/>
    <w:rsid w:val="00C77945"/>
    <w:rsid w:val="00C800F0"/>
    <w:rsid w:val="00C8276E"/>
    <w:rsid w:val="00C842AC"/>
    <w:rsid w:val="00C85C09"/>
    <w:rsid w:val="00C87D95"/>
    <w:rsid w:val="00C916CD"/>
    <w:rsid w:val="00C96688"/>
    <w:rsid w:val="00C97F5B"/>
    <w:rsid w:val="00CA0723"/>
    <w:rsid w:val="00CA192A"/>
    <w:rsid w:val="00CA6F5C"/>
    <w:rsid w:val="00CB1690"/>
    <w:rsid w:val="00CB54DA"/>
    <w:rsid w:val="00CB676F"/>
    <w:rsid w:val="00CC30C7"/>
    <w:rsid w:val="00CC4365"/>
    <w:rsid w:val="00CD0A62"/>
    <w:rsid w:val="00CD11B0"/>
    <w:rsid w:val="00CD22EF"/>
    <w:rsid w:val="00CD46CC"/>
    <w:rsid w:val="00CE2A75"/>
    <w:rsid w:val="00CE378B"/>
    <w:rsid w:val="00CE5345"/>
    <w:rsid w:val="00CE71C2"/>
    <w:rsid w:val="00CE7BE3"/>
    <w:rsid w:val="00CF002A"/>
    <w:rsid w:val="00CF21A9"/>
    <w:rsid w:val="00CF2422"/>
    <w:rsid w:val="00CF42D5"/>
    <w:rsid w:val="00CF4EDA"/>
    <w:rsid w:val="00D021CB"/>
    <w:rsid w:val="00D02A92"/>
    <w:rsid w:val="00D03777"/>
    <w:rsid w:val="00D046A3"/>
    <w:rsid w:val="00D10F1A"/>
    <w:rsid w:val="00D116F8"/>
    <w:rsid w:val="00D136D3"/>
    <w:rsid w:val="00D14D25"/>
    <w:rsid w:val="00D17596"/>
    <w:rsid w:val="00D21D00"/>
    <w:rsid w:val="00D22640"/>
    <w:rsid w:val="00D230C5"/>
    <w:rsid w:val="00D23E11"/>
    <w:rsid w:val="00D26D3A"/>
    <w:rsid w:val="00D3320B"/>
    <w:rsid w:val="00D33EB8"/>
    <w:rsid w:val="00D343A8"/>
    <w:rsid w:val="00D34791"/>
    <w:rsid w:val="00D37E4A"/>
    <w:rsid w:val="00D407C6"/>
    <w:rsid w:val="00D40D4E"/>
    <w:rsid w:val="00D44B6D"/>
    <w:rsid w:val="00D44F2D"/>
    <w:rsid w:val="00D45EE3"/>
    <w:rsid w:val="00D4676D"/>
    <w:rsid w:val="00D50618"/>
    <w:rsid w:val="00D509E9"/>
    <w:rsid w:val="00D50D1D"/>
    <w:rsid w:val="00D5139E"/>
    <w:rsid w:val="00D531F9"/>
    <w:rsid w:val="00D53594"/>
    <w:rsid w:val="00D53B1C"/>
    <w:rsid w:val="00D53CD4"/>
    <w:rsid w:val="00D53CF1"/>
    <w:rsid w:val="00D632AD"/>
    <w:rsid w:val="00D675F6"/>
    <w:rsid w:val="00D7187F"/>
    <w:rsid w:val="00D71E07"/>
    <w:rsid w:val="00D826D2"/>
    <w:rsid w:val="00D85301"/>
    <w:rsid w:val="00D86693"/>
    <w:rsid w:val="00D9280F"/>
    <w:rsid w:val="00D93F39"/>
    <w:rsid w:val="00DA1B12"/>
    <w:rsid w:val="00DA426A"/>
    <w:rsid w:val="00DA54C9"/>
    <w:rsid w:val="00DA57ED"/>
    <w:rsid w:val="00DA6739"/>
    <w:rsid w:val="00DA6CAE"/>
    <w:rsid w:val="00DA7ED0"/>
    <w:rsid w:val="00DB0161"/>
    <w:rsid w:val="00DB0F00"/>
    <w:rsid w:val="00DB190F"/>
    <w:rsid w:val="00DB1A9E"/>
    <w:rsid w:val="00DB31D6"/>
    <w:rsid w:val="00DB4005"/>
    <w:rsid w:val="00DB7F69"/>
    <w:rsid w:val="00DC07C8"/>
    <w:rsid w:val="00DC0B53"/>
    <w:rsid w:val="00DC0D2C"/>
    <w:rsid w:val="00DC1A03"/>
    <w:rsid w:val="00DC34EB"/>
    <w:rsid w:val="00DC75B8"/>
    <w:rsid w:val="00DD2EB2"/>
    <w:rsid w:val="00DD7292"/>
    <w:rsid w:val="00DE73D5"/>
    <w:rsid w:val="00DF1DB6"/>
    <w:rsid w:val="00DF1E5B"/>
    <w:rsid w:val="00DF2275"/>
    <w:rsid w:val="00DF3F5E"/>
    <w:rsid w:val="00DF5653"/>
    <w:rsid w:val="00E010D7"/>
    <w:rsid w:val="00E022E4"/>
    <w:rsid w:val="00E0596E"/>
    <w:rsid w:val="00E05A61"/>
    <w:rsid w:val="00E06C7F"/>
    <w:rsid w:val="00E06F66"/>
    <w:rsid w:val="00E1184D"/>
    <w:rsid w:val="00E119B6"/>
    <w:rsid w:val="00E15440"/>
    <w:rsid w:val="00E2028E"/>
    <w:rsid w:val="00E22EE4"/>
    <w:rsid w:val="00E26D3F"/>
    <w:rsid w:val="00E30E2A"/>
    <w:rsid w:val="00E356E5"/>
    <w:rsid w:val="00E36F81"/>
    <w:rsid w:val="00E452E1"/>
    <w:rsid w:val="00E454EC"/>
    <w:rsid w:val="00E45765"/>
    <w:rsid w:val="00E46481"/>
    <w:rsid w:val="00E474FD"/>
    <w:rsid w:val="00E5098C"/>
    <w:rsid w:val="00E55C65"/>
    <w:rsid w:val="00E56CF7"/>
    <w:rsid w:val="00E60213"/>
    <w:rsid w:val="00E622AC"/>
    <w:rsid w:val="00E62486"/>
    <w:rsid w:val="00E64FDC"/>
    <w:rsid w:val="00E661B2"/>
    <w:rsid w:val="00E703B5"/>
    <w:rsid w:val="00E72D55"/>
    <w:rsid w:val="00E74D29"/>
    <w:rsid w:val="00E80352"/>
    <w:rsid w:val="00E83C74"/>
    <w:rsid w:val="00E83CEE"/>
    <w:rsid w:val="00E8772D"/>
    <w:rsid w:val="00E91F18"/>
    <w:rsid w:val="00E9226D"/>
    <w:rsid w:val="00E9510A"/>
    <w:rsid w:val="00EA0F7D"/>
    <w:rsid w:val="00EA16B3"/>
    <w:rsid w:val="00EA4026"/>
    <w:rsid w:val="00EA416C"/>
    <w:rsid w:val="00EA5941"/>
    <w:rsid w:val="00EB1245"/>
    <w:rsid w:val="00EB20C1"/>
    <w:rsid w:val="00EB4263"/>
    <w:rsid w:val="00EB60CE"/>
    <w:rsid w:val="00EB774F"/>
    <w:rsid w:val="00EB7D53"/>
    <w:rsid w:val="00EB7E43"/>
    <w:rsid w:val="00EC2727"/>
    <w:rsid w:val="00EC67C2"/>
    <w:rsid w:val="00ED3161"/>
    <w:rsid w:val="00ED4C01"/>
    <w:rsid w:val="00EE06B7"/>
    <w:rsid w:val="00EE3146"/>
    <w:rsid w:val="00EE485E"/>
    <w:rsid w:val="00EF078C"/>
    <w:rsid w:val="00EF0E4C"/>
    <w:rsid w:val="00EF224E"/>
    <w:rsid w:val="00EF424C"/>
    <w:rsid w:val="00EF50BB"/>
    <w:rsid w:val="00EF53FF"/>
    <w:rsid w:val="00EF6FB0"/>
    <w:rsid w:val="00EF7765"/>
    <w:rsid w:val="00F00192"/>
    <w:rsid w:val="00F01DF6"/>
    <w:rsid w:val="00F0340D"/>
    <w:rsid w:val="00F059A6"/>
    <w:rsid w:val="00F123A5"/>
    <w:rsid w:val="00F12830"/>
    <w:rsid w:val="00F21EB5"/>
    <w:rsid w:val="00F23756"/>
    <w:rsid w:val="00F23BD2"/>
    <w:rsid w:val="00F2523A"/>
    <w:rsid w:val="00F25FFA"/>
    <w:rsid w:val="00F310D2"/>
    <w:rsid w:val="00F3374F"/>
    <w:rsid w:val="00F33D07"/>
    <w:rsid w:val="00F342CF"/>
    <w:rsid w:val="00F35AA5"/>
    <w:rsid w:val="00F36F3D"/>
    <w:rsid w:val="00F37B0C"/>
    <w:rsid w:val="00F40C0D"/>
    <w:rsid w:val="00F4414B"/>
    <w:rsid w:val="00F477BD"/>
    <w:rsid w:val="00F47C6F"/>
    <w:rsid w:val="00F508A1"/>
    <w:rsid w:val="00F50DCC"/>
    <w:rsid w:val="00F53251"/>
    <w:rsid w:val="00F53491"/>
    <w:rsid w:val="00F5423D"/>
    <w:rsid w:val="00F545A2"/>
    <w:rsid w:val="00F570BF"/>
    <w:rsid w:val="00F61907"/>
    <w:rsid w:val="00F61C54"/>
    <w:rsid w:val="00F6555F"/>
    <w:rsid w:val="00F65A1C"/>
    <w:rsid w:val="00F669B5"/>
    <w:rsid w:val="00F66F50"/>
    <w:rsid w:val="00F67111"/>
    <w:rsid w:val="00F7308F"/>
    <w:rsid w:val="00F8110C"/>
    <w:rsid w:val="00F81EE5"/>
    <w:rsid w:val="00F82560"/>
    <w:rsid w:val="00F82FF8"/>
    <w:rsid w:val="00F8330D"/>
    <w:rsid w:val="00F841D8"/>
    <w:rsid w:val="00F84305"/>
    <w:rsid w:val="00F8485C"/>
    <w:rsid w:val="00F87149"/>
    <w:rsid w:val="00F879CB"/>
    <w:rsid w:val="00F87FFE"/>
    <w:rsid w:val="00F90058"/>
    <w:rsid w:val="00F95049"/>
    <w:rsid w:val="00F953A9"/>
    <w:rsid w:val="00F954C9"/>
    <w:rsid w:val="00F95A31"/>
    <w:rsid w:val="00F974CD"/>
    <w:rsid w:val="00FA030F"/>
    <w:rsid w:val="00FA0F9B"/>
    <w:rsid w:val="00FA4CF0"/>
    <w:rsid w:val="00FA61AA"/>
    <w:rsid w:val="00FA69A4"/>
    <w:rsid w:val="00FA6DF8"/>
    <w:rsid w:val="00FA70FD"/>
    <w:rsid w:val="00FB1279"/>
    <w:rsid w:val="00FB1495"/>
    <w:rsid w:val="00FB312B"/>
    <w:rsid w:val="00FB4777"/>
    <w:rsid w:val="00FC15A4"/>
    <w:rsid w:val="00FC24E5"/>
    <w:rsid w:val="00FC69BB"/>
    <w:rsid w:val="00FD1694"/>
    <w:rsid w:val="00FD2839"/>
    <w:rsid w:val="00FD6B68"/>
    <w:rsid w:val="00FD7636"/>
    <w:rsid w:val="00FE3229"/>
    <w:rsid w:val="00FE74C3"/>
    <w:rsid w:val="00FF215C"/>
    <w:rsid w:val="00FF2514"/>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CA608F04-C429-4B82-8334-9C434CC8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69"/>
    <w:pPr>
      <w:spacing w:after="200" w:line="276" w:lineRule="auto"/>
    </w:pPr>
    <w:rPr>
      <w:sz w:val="22"/>
      <w:szCs w:val="22"/>
      <w:lang w:eastAsia="en-US"/>
    </w:rPr>
  </w:style>
  <w:style w:type="paragraph" w:styleId="Heading1">
    <w:name w:val="heading 1"/>
    <w:aliases w:val="Heading 1 do not use,Section heading 1,Front Page Title,1.,Para 1,Para 11"/>
    <w:basedOn w:val="Normal"/>
    <w:next w:val="Normal"/>
    <w:link w:val="Heading1Char"/>
    <w:qFormat/>
    <w:rsid w:val="00C51CCA"/>
    <w:pPr>
      <w:keepNext/>
      <w:outlineLvl w:val="0"/>
    </w:pPr>
    <w:rPr>
      <w:rFonts w:cs="Arial"/>
      <w:b/>
      <w:caps/>
    </w:rPr>
  </w:style>
  <w:style w:type="paragraph" w:styleId="Heading2">
    <w:name w:val="heading 2"/>
    <w:aliases w:val="Heading 2 do not use,Front Page List of Sections"/>
    <w:basedOn w:val="Normal"/>
    <w:next w:val="Normal"/>
    <w:link w:val="Heading2Char"/>
    <w:uiPriority w:val="9"/>
    <w:qFormat/>
    <w:rsid w:val="000E31C1"/>
    <w:pPr>
      <w:keepNext/>
      <w:outlineLvl w:val="1"/>
    </w:pPr>
    <w:rPr>
      <w:rFonts w:cs="Arial"/>
      <w:b/>
    </w:rPr>
  </w:style>
  <w:style w:type="paragraph" w:styleId="Heading3">
    <w:name w:val="heading 3"/>
    <w:aliases w:val="Heading 3 do not use"/>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5">
    <w:name w:val="heading 5"/>
    <w:basedOn w:val="Normal"/>
    <w:next w:val="Normal"/>
    <w:link w:val="Heading5Char"/>
    <w:autoRedefine/>
    <w:unhideWhenUsed/>
    <w:qFormat/>
    <w:rsid w:val="005E4769"/>
    <w:pPr>
      <w:numPr>
        <w:ilvl w:val="4"/>
        <w:numId w:val="12"/>
      </w:numPr>
      <w:spacing w:before="240" w:after="60" w:line="240" w:lineRule="auto"/>
      <w:outlineLvl w:val="4"/>
    </w:pPr>
    <w:rPr>
      <w:rFonts w:asciiTheme="minorHAnsi" w:eastAsiaTheme="minorEastAsia" w:hAnsiTheme="minorHAnsi"/>
      <w:b/>
      <w:bCs/>
      <w:i/>
      <w:iCs/>
      <w:sz w:val="20"/>
      <w:szCs w:val="26"/>
    </w:rPr>
  </w:style>
  <w:style w:type="paragraph" w:styleId="Heading6">
    <w:name w:val="heading 6"/>
    <w:basedOn w:val="Normal"/>
    <w:next w:val="Normal"/>
    <w:link w:val="Heading6Char"/>
    <w:autoRedefine/>
    <w:qFormat/>
    <w:rsid w:val="005E4769"/>
    <w:pPr>
      <w:keepNext/>
      <w:widowControl w:val="0"/>
      <w:spacing w:after="0" w:line="240" w:lineRule="auto"/>
      <w:outlineLvl w:val="5"/>
    </w:pPr>
    <w:rPr>
      <w:rFonts w:ascii="Times New Roman" w:eastAsia="Times New Roman" w:hAnsi="Times New Roman"/>
      <w:sz w:val="20"/>
      <w:szCs w:val="20"/>
      <w:u w:val="single"/>
      <w:lang w:val="en-US"/>
    </w:rPr>
  </w:style>
  <w:style w:type="paragraph" w:styleId="Heading7">
    <w:name w:val="heading 7"/>
    <w:aliases w:val="Section Sub-Heading 4"/>
    <w:basedOn w:val="Normal"/>
    <w:next w:val="Normal"/>
    <w:link w:val="Heading7Char"/>
    <w:unhideWhenUsed/>
    <w:qFormat/>
    <w:rsid w:val="005E47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E4769"/>
    <w:pPr>
      <w:spacing w:after="0" w:line="260" w:lineRule="atLeast"/>
      <w:outlineLvl w:val="7"/>
    </w:pPr>
    <w:rPr>
      <w:rFonts w:ascii="Times New Roman" w:eastAsia="Times New Roman" w:hAnsi="Times New Roman"/>
      <w:szCs w:val="20"/>
    </w:rPr>
  </w:style>
  <w:style w:type="paragraph" w:styleId="Heading9">
    <w:name w:val="heading 9"/>
    <w:basedOn w:val="Normal"/>
    <w:next w:val="Normal"/>
    <w:link w:val="Heading9Char"/>
    <w:qFormat/>
    <w:rsid w:val="005E4769"/>
    <w:pPr>
      <w:spacing w:after="0" w:line="260" w:lineRule="atLeast"/>
      <w:outlineLvl w:val="8"/>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aliases w:val="Heading 1 do not use Char,Section heading 1 Char,Front Page Title Char,1. Char,Para 1 Char,Para 11 Char"/>
    <w:basedOn w:val="DefaultParagraphFont"/>
    <w:link w:val="Heading1"/>
    <w:rsid w:val="00C51CCA"/>
    <w:rPr>
      <w:rFonts w:cs="Arial"/>
      <w:b/>
      <w:caps/>
      <w:sz w:val="22"/>
      <w:szCs w:val="22"/>
      <w:lang w:eastAsia="en-US"/>
    </w:rPr>
  </w:style>
  <w:style w:type="character" w:customStyle="1" w:styleId="Heading2Char">
    <w:name w:val="Heading 2 Char"/>
    <w:aliases w:val="Heading 2 do not use Char,Front Page List of Sections Char"/>
    <w:basedOn w:val="DefaultParagraphFont"/>
    <w:link w:val="Heading2"/>
    <w:uiPriority w:val="9"/>
    <w:rsid w:val="000E31C1"/>
    <w:rPr>
      <w:rFonts w:cs="Arial"/>
      <w:b/>
      <w:sz w:val="22"/>
      <w:szCs w:val="22"/>
      <w:lang w:eastAsia="en-US"/>
    </w:rPr>
  </w:style>
  <w:style w:type="character" w:customStyle="1" w:styleId="Heading3Char">
    <w:name w:val="Heading 3 Char"/>
    <w:aliases w:val="Heading 3 do not use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1 heading,DDM Gen Text,List Paragraph1,Recommendation,List Paragraph11"/>
    <w:basedOn w:val="Normal"/>
    <w:link w:val="ListParagraphChar"/>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5E4769"/>
    <w:rPr>
      <w:rFonts w:asciiTheme="minorHAnsi" w:eastAsiaTheme="minorEastAsia" w:hAnsiTheme="minorHAnsi"/>
      <w:b/>
      <w:bCs/>
      <w:i/>
      <w:iCs/>
      <w:sz w:val="20"/>
      <w:szCs w:val="26"/>
      <w:lang w:eastAsia="en-US"/>
    </w:rPr>
  </w:style>
  <w:style w:type="character" w:customStyle="1" w:styleId="Heading6Char">
    <w:name w:val="Heading 6 Char"/>
    <w:basedOn w:val="DefaultParagraphFont"/>
    <w:link w:val="Heading6"/>
    <w:rsid w:val="005E4769"/>
    <w:rPr>
      <w:rFonts w:ascii="Times New Roman" w:eastAsia="Times New Roman" w:hAnsi="Times New Roman"/>
      <w:u w:val="single"/>
      <w:lang w:val="en-US" w:eastAsia="en-US"/>
    </w:rPr>
  </w:style>
  <w:style w:type="character" w:customStyle="1" w:styleId="Heading7Char">
    <w:name w:val="Heading 7 Char"/>
    <w:aliases w:val="Section Sub-Heading 4 Char"/>
    <w:basedOn w:val="DefaultParagraphFont"/>
    <w:link w:val="Heading7"/>
    <w:rsid w:val="005E4769"/>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rsid w:val="005E4769"/>
    <w:rPr>
      <w:rFonts w:ascii="Times New Roman" w:eastAsia="Times New Roman" w:hAnsi="Times New Roman"/>
      <w:sz w:val="22"/>
      <w:lang w:eastAsia="en-US"/>
    </w:rPr>
  </w:style>
  <w:style w:type="character" w:customStyle="1" w:styleId="Heading9Char">
    <w:name w:val="Heading 9 Char"/>
    <w:basedOn w:val="DefaultParagraphFont"/>
    <w:link w:val="Heading9"/>
    <w:rsid w:val="005E4769"/>
    <w:rPr>
      <w:rFonts w:ascii="Times New Roman" w:eastAsia="Times New Roman" w:hAnsi="Times New Roman"/>
      <w:sz w:val="22"/>
      <w:lang w:eastAsia="en-US"/>
    </w:rPr>
  </w:style>
  <w:style w:type="character" w:styleId="Hyperlink">
    <w:name w:val="Hyperlink"/>
    <w:basedOn w:val="DefaultParagraphFont"/>
    <w:uiPriority w:val="99"/>
    <w:unhideWhenUsed/>
    <w:rsid w:val="005E4769"/>
    <w:rPr>
      <w:color w:val="0000FF" w:themeColor="hyperlink"/>
      <w:u w:val="single"/>
    </w:rPr>
  </w:style>
  <w:style w:type="paragraph" w:customStyle="1" w:styleId="TableColumnHeadingLeft">
    <w:name w:val="Table Column Heading Left"/>
    <w:basedOn w:val="Normal"/>
    <w:next w:val="Normal"/>
    <w:uiPriority w:val="99"/>
    <w:rsid w:val="005E4769"/>
    <w:pPr>
      <w:spacing w:before="60" w:after="60" w:line="240" w:lineRule="auto"/>
    </w:pPr>
    <w:rPr>
      <w:rFonts w:eastAsia="Times New Roman" w:cs="Arial"/>
      <w:b/>
      <w:bCs/>
      <w:sz w:val="20"/>
      <w:szCs w:val="20"/>
      <w:lang w:eastAsia="en-AU"/>
    </w:rPr>
  </w:style>
  <w:style w:type="paragraph" w:customStyle="1" w:styleId="Default">
    <w:name w:val="Default"/>
    <w:rsid w:val="005E4769"/>
    <w:pPr>
      <w:autoSpaceDE w:val="0"/>
      <w:autoSpaceDN w:val="0"/>
      <w:adjustRightInd w:val="0"/>
    </w:pPr>
    <w:rPr>
      <w:rFonts w:ascii="Book Antiqua" w:hAnsi="Book Antiqua" w:cs="Book Antiqua"/>
      <w:color w:val="000000"/>
    </w:rPr>
  </w:style>
  <w:style w:type="character" w:styleId="Emphasis">
    <w:name w:val="Emphasis"/>
    <w:basedOn w:val="DefaultParagraphFont"/>
    <w:uiPriority w:val="20"/>
    <w:qFormat/>
    <w:rsid w:val="005E4769"/>
    <w:rPr>
      <w:i/>
      <w:iCs/>
    </w:rPr>
  </w:style>
  <w:style w:type="paragraph" w:styleId="Caption">
    <w:name w:val="caption"/>
    <w:basedOn w:val="Normal"/>
    <w:next w:val="Normal"/>
    <w:unhideWhenUsed/>
    <w:qFormat/>
    <w:rsid w:val="00AF548A"/>
    <w:pPr>
      <w:keepNext/>
      <w:spacing w:after="80"/>
    </w:pPr>
    <w:rPr>
      <w:b/>
      <w:bCs/>
      <w:sz w:val="20"/>
      <w:szCs w:val="18"/>
    </w:rPr>
  </w:style>
  <w:style w:type="paragraph" w:customStyle="1" w:styleId="Pa15">
    <w:name w:val="Pa15"/>
    <w:basedOn w:val="Default"/>
    <w:next w:val="Default"/>
    <w:uiPriority w:val="99"/>
    <w:rsid w:val="005E4769"/>
    <w:pPr>
      <w:spacing w:line="171" w:lineRule="atLeast"/>
    </w:pPr>
    <w:rPr>
      <w:rFonts w:ascii="Arial" w:hAnsi="Arial" w:cs="Arial"/>
      <w:color w:val="auto"/>
    </w:rPr>
  </w:style>
  <w:style w:type="paragraph" w:styleId="NormalWeb">
    <w:name w:val="Normal (Web)"/>
    <w:basedOn w:val="Normal"/>
    <w:uiPriority w:val="99"/>
    <w:unhideWhenUsed/>
    <w:rsid w:val="005E4769"/>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5E4769"/>
    <w:rPr>
      <w:b/>
      <w:bCs/>
    </w:rPr>
  </w:style>
  <w:style w:type="character" w:customStyle="1" w:styleId="TextItalic">
    <w:name w:val="Text Italic"/>
    <w:uiPriority w:val="99"/>
    <w:rsid w:val="005E4769"/>
    <w:rPr>
      <w:i/>
    </w:rPr>
  </w:style>
  <w:style w:type="character" w:styleId="CommentReference">
    <w:name w:val="annotation reference"/>
    <w:basedOn w:val="DefaultParagraphFont"/>
    <w:uiPriority w:val="99"/>
    <w:unhideWhenUsed/>
    <w:rsid w:val="005E4769"/>
    <w:rPr>
      <w:sz w:val="16"/>
      <w:szCs w:val="16"/>
    </w:rPr>
  </w:style>
  <w:style w:type="paragraph" w:styleId="CommentText">
    <w:name w:val="annotation text"/>
    <w:basedOn w:val="Normal"/>
    <w:link w:val="CommentTextChar"/>
    <w:uiPriority w:val="99"/>
    <w:unhideWhenUsed/>
    <w:rsid w:val="005E4769"/>
    <w:pPr>
      <w:spacing w:line="240" w:lineRule="auto"/>
    </w:pPr>
    <w:rPr>
      <w:sz w:val="20"/>
      <w:szCs w:val="20"/>
    </w:rPr>
  </w:style>
  <w:style w:type="character" w:customStyle="1" w:styleId="CommentTextChar">
    <w:name w:val="Comment Text Char"/>
    <w:basedOn w:val="DefaultParagraphFont"/>
    <w:link w:val="CommentText"/>
    <w:uiPriority w:val="99"/>
    <w:rsid w:val="005E4769"/>
    <w:rPr>
      <w:lang w:eastAsia="en-US"/>
    </w:rPr>
  </w:style>
  <w:style w:type="paragraph" w:customStyle="1" w:styleId="Pa3">
    <w:name w:val="Pa3"/>
    <w:basedOn w:val="Normal"/>
    <w:next w:val="Normal"/>
    <w:uiPriority w:val="99"/>
    <w:rsid w:val="005E4769"/>
    <w:pPr>
      <w:autoSpaceDE w:val="0"/>
      <w:autoSpaceDN w:val="0"/>
      <w:adjustRightInd w:val="0"/>
      <w:spacing w:after="0" w:line="181" w:lineRule="atLeast"/>
    </w:pPr>
    <w:rPr>
      <w:rFonts w:eastAsiaTheme="minorEastAsia" w:cs="Arial"/>
      <w:sz w:val="24"/>
      <w:szCs w:val="24"/>
      <w:lang w:eastAsia="en-AU"/>
    </w:rPr>
  </w:style>
  <w:style w:type="numbering" w:customStyle="1" w:styleId="NoList1">
    <w:name w:val="No List1"/>
    <w:next w:val="NoList"/>
    <w:semiHidden/>
    <w:unhideWhenUsed/>
    <w:rsid w:val="005E4769"/>
  </w:style>
  <w:style w:type="character" w:styleId="FollowedHyperlink">
    <w:name w:val="FollowedHyperlink"/>
    <w:basedOn w:val="DefaultParagraphFont"/>
    <w:uiPriority w:val="99"/>
    <w:unhideWhenUsed/>
    <w:rsid w:val="005E4769"/>
    <w:rPr>
      <w:color w:val="800080" w:themeColor="followedHyperlink"/>
      <w:u w:val="single"/>
    </w:rPr>
  </w:style>
  <w:style w:type="paragraph" w:styleId="TOC1">
    <w:name w:val="toc 1"/>
    <w:basedOn w:val="Normal"/>
    <w:next w:val="Normal"/>
    <w:autoRedefine/>
    <w:uiPriority w:val="39"/>
    <w:unhideWhenUsed/>
    <w:rsid w:val="005E4769"/>
    <w:pPr>
      <w:spacing w:after="100"/>
    </w:pPr>
    <w:rPr>
      <w:b/>
    </w:rPr>
  </w:style>
  <w:style w:type="paragraph" w:styleId="TOC2">
    <w:name w:val="toc 2"/>
    <w:basedOn w:val="Normal"/>
    <w:next w:val="Normal"/>
    <w:autoRedefine/>
    <w:unhideWhenUsed/>
    <w:rsid w:val="005E4769"/>
    <w:pPr>
      <w:spacing w:after="100"/>
      <w:ind w:left="220"/>
    </w:pPr>
  </w:style>
  <w:style w:type="paragraph" w:styleId="TOC3">
    <w:name w:val="toc 3"/>
    <w:basedOn w:val="Normal"/>
    <w:next w:val="Normal"/>
    <w:autoRedefine/>
    <w:unhideWhenUsed/>
    <w:rsid w:val="005E4769"/>
    <w:pPr>
      <w:spacing w:after="100"/>
      <w:ind w:left="440"/>
    </w:pPr>
    <w:rPr>
      <w:i/>
    </w:rPr>
  </w:style>
  <w:style w:type="paragraph" w:styleId="FootnoteText">
    <w:name w:val="footnote text"/>
    <w:basedOn w:val="Normal"/>
    <w:link w:val="FootnoteTextChar"/>
    <w:unhideWhenUsed/>
    <w:rsid w:val="005E4769"/>
    <w:pPr>
      <w:spacing w:after="0" w:line="240" w:lineRule="auto"/>
    </w:pPr>
    <w:rPr>
      <w:sz w:val="20"/>
      <w:szCs w:val="20"/>
    </w:rPr>
  </w:style>
  <w:style w:type="character" w:customStyle="1" w:styleId="FootnoteTextChar">
    <w:name w:val="Footnote Text Char"/>
    <w:basedOn w:val="DefaultParagraphFont"/>
    <w:link w:val="FootnoteText"/>
    <w:rsid w:val="005E4769"/>
    <w:rPr>
      <w:lang w:eastAsia="en-US"/>
    </w:rPr>
  </w:style>
  <w:style w:type="paragraph" w:styleId="CommentSubject">
    <w:name w:val="annotation subject"/>
    <w:basedOn w:val="CommentText"/>
    <w:next w:val="CommentText"/>
    <w:link w:val="CommentSubjectChar"/>
    <w:unhideWhenUsed/>
    <w:rsid w:val="005E4769"/>
    <w:rPr>
      <w:b/>
      <w:bCs/>
    </w:rPr>
  </w:style>
  <w:style w:type="character" w:customStyle="1" w:styleId="CommentSubjectChar">
    <w:name w:val="Comment Subject Char"/>
    <w:basedOn w:val="CommentTextChar"/>
    <w:link w:val="CommentSubject"/>
    <w:rsid w:val="005E4769"/>
    <w:rPr>
      <w:b/>
      <w:bCs/>
      <w:lang w:eastAsia="en-US"/>
    </w:rPr>
  </w:style>
  <w:style w:type="character" w:customStyle="1" w:styleId="ListParagraphChar">
    <w:name w:val="List Paragraph Char"/>
    <w:aliases w:val="1 heading Char,DDM Gen Text Char,List Paragraph1 Char,Recommendation Char,List Paragraph11 Char"/>
    <w:basedOn w:val="DefaultParagraphFont"/>
    <w:link w:val="ListParagraph"/>
    <w:uiPriority w:val="34"/>
    <w:locked/>
    <w:rsid w:val="005E4769"/>
    <w:rPr>
      <w:sz w:val="22"/>
      <w:szCs w:val="22"/>
      <w:lang w:eastAsia="en-US"/>
    </w:rPr>
  </w:style>
  <w:style w:type="paragraph" w:styleId="TOCHeading">
    <w:name w:val="TOC Heading"/>
    <w:basedOn w:val="Heading1"/>
    <w:next w:val="Normal"/>
    <w:uiPriority w:val="39"/>
    <w:unhideWhenUsed/>
    <w:qFormat/>
    <w:rsid w:val="005E4769"/>
    <w:pPr>
      <w:keepLines/>
      <w:spacing w:before="480" w:after="360"/>
      <w:outlineLvl w:val="9"/>
    </w:pPr>
    <w:rPr>
      <w:rFonts w:eastAsia="Times New Roman" w:cs="Times New Roman"/>
      <w:bCs/>
      <w:caps w:val="0"/>
      <w:color w:val="808080" w:themeColor="background1" w:themeShade="80"/>
      <w:sz w:val="40"/>
      <w:szCs w:val="28"/>
      <w:lang w:val="en-US"/>
    </w:rPr>
  </w:style>
  <w:style w:type="paragraph" w:customStyle="1" w:styleId="ReportTitle">
    <w:name w:val="Report Title"/>
    <w:basedOn w:val="Normal"/>
    <w:uiPriority w:val="11"/>
    <w:qFormat/>
    <w:rsid w:val="005E4769"/>
    <w:rPr>
      <w:b/>
      <w:sz w:val="40"/>
    </w:rPr>
  </w:style>
  <w:style w:type="paragraph" w:customStyle="1" w:styleId="Reportsubtitle">
    <w:name w:val="Report sub title"/>
    <w:basedOn w:val="ReportTitle"/>
    <w:uiPriority w:val="11"/>
    <w:qFormat/>
    <w:rsid w:val="005E4769"/>
    <w:rPr>
      <w:b w:val="0"/>
      <w:sz w:val="32"/>
    </w:rPr>
  </w:style>
  <w:style w:type="paragraph" w:customStyle="1" w:styleId="Copyright">
    <w:name w:val="Copyright"/>
    <w:basedOn w:val="Normal"/>
    <w:uiPriority w:val="99"/>
    <w:rsid w:val="005E4769"/>
    <w:rPr>
      <w:sz w:val="16"/>
    </w:rPr>
  </w:style>
  <w:style w:type="paragraph" w:customStyle="1" w:styleId="paragraph">
    <w:name w:val="paragraph"/>
    <w:aliases w:val="a"/>
    <w:uiPriority w:val="99"/>
    <w:rsid w:val="005E4769"/>
    <w:pPr>
      <w:tabs>
        <w:tab w:val="right" w:pos="1531"/>
      </w:tabs>
      <w:spacing w:before="40"/>
      <w:ind w:left="1644" w:hanging="1644"/>
    </w:pPr>
    <w:rPr>
      <w:rFonts w:ascii="Times New Roman" w:eastAsia="Times New Roman" w:hAnsi="Times New Roman"/>
      <w:sz w:val="22"/>
    </w:rPr>
  </w:style>
  <w:style w:type="paragraph" w:customStyle="1" w:styleId="subsection">
    <w:name w:val="subsection"/>
    <w:aliases w:val="ss"/>
    <w:uiPriority w:val="99"/>
    <w:rsid w:val="005E4769"/>
    <w:pPr>
      <w:tabs>
        <w:tab w:val="right" w:pos="1021"/>
      </w:tabs>
      <w:spacing w:before="180"/>
      <w:ind w:left="1134" w:hanging="1134"/>
    </w:pPr>
    <w:rPr>
      <w:rFonts w:ascii="Times New Roman" w:eastAsia="Times New Roman" w:hAnsi="Times New Roman"/>
      <w:sz w:val="22"/>
    </w:rPr>
  </w:style>
  <w:style w:type="paragraph" w:customStyle="1" w:styleId="SubsectionHead">
    <w:name w:val="SubsectionHead"/>
    <w:aliases w:val="ssh"/>
    <w:basedOn w:val="subsection"/>
    <w:next w:val="subsection"/>
    <w:uiPriority w:val="99"/>
    <w:rsid w:val="005E4769"/>
    <w:pPr>
      <w:keepNext/>
      <w:keepLines/>
      <w:tabs>
        <w:tab w:val="clear" w:pos="1021"/>
      </w:tabs>
      <w:spacing w:before="240"/>
      <w:ind w:firstLine="0"/>
    </w:pPr>
    <w:rPr>
      <w:i/>
    </w:rPr>
  </w:style>
  <w:style w:type="paragraph" w:customStyle="1" w:styleId="ActHead3">
    <w:name w:val="ActHead 3"/>
    <w:aliases w:val="d"/>
    <w:basedOn w:val="Normal"/>
    <w:next w:val="Normal"/>
    <w:uiPriority w:val="99"/>
    <w:rsid w:val="005E4769"/>
    <w:pPr>
      <w:keepNext/>
      <w:keepLines/>
      <w:spacing w:before="240" w:after="0" w:line="240" w:lineRule="auto"/>
      <w:ind w:left="1134" w:hanging="1134"/>
      <w:outlineLvl w:val="2"/>
    </w:pPr>
    <w:rPr>
      <w:rFonts w:ascii="Times New Roman" w:eastAsia="Times New Roman" w:hAnsi="Times New Roman"/>
      <w:b/>
      <w:bCs/>
      <w:kern w:val="28"/>
      <w:sz w:val="28"/>
      <w:szCs w:val="32"/>
      <w:lang w:eastAsia="en-AU"/>
    </w:rPr>
  </w:style>
  <w:style w:type="paragraph" w:customStyle="1" w:styleId="ActHead5">
    <w:name w:val="ActHead 5"/>
    <w:aliases w:val="s"/>
    <w:basedOn w:val="Normal"/>
    <w:next w:val="Normal"/>
    <w:uiPriority w:val="99"/>
    <w:rsid w:val="005E4769"/>
    <w:pPr>
      <w:keepNext/>
      <w:keepLines/>
      <w:spacing w:before="280" w:after="0" w:line="240" w:lineRule="auto"/>
      <w:ind w:left="1134" w:hanging="1134"/>
      <w:outlineLvl w:val="4"/>
    </w:pPr>
    <w:rPr>
      <w:rFonts w:ascii="Times New Roman" w:eastAsia="Times New Roman" w:hAnsi="Times New Roman"/>
      <w:b/>
      <w:bCs/>
      <w:kern w:val="28"/>
      <w:sz w:val="24"/>
      <w:szCs w:val="32"/>
      <w:lang w:eastAsia="en-AU"/>
    </w:rPr>
  </w:style>
  <w:style w:type="paragraph" w:customStyle="1" w:styleId="Body">
    <w:name w:val="Body"/>
    <w:basedOn w:val="Normal"/>
    <w:uiPriority w:val="99"/>
    <w:rsid w:val="005E4769"/>
    <w:pPr>
      <w:widowControl w:val="0"/>
      <w:suppressAutoHyphens/>
      <w:autoSpaceDE w:val="0"/>
      <w:autoSpaceDN w:val="0"/>
      <w:adjustRightInd w:val="0"/>
      <w:spacing w:before="170" w:after="0" w:line="260" w:lineRule="atLeast"/>
    </w:pPr>
    <w:rPr>
      <w:rFonts w:ascii="ArialMT" w:eastAsia="Times New Roman" w:hAnsi="ArialMT" w:cs="ArialMT"/>
      <w:color w:val="000000"/>
      <w:sz w:val="18"/>
      <w:szCs w:val="18"/>
      <w:lang w:val="en-US"/>
    </w:rPr>
  </w:style>
  <w:style w:type="character" w:styleId="FootnoteReference">
    <w:name w:val="footnote reference"/>
    <w:basedOn w:val="DefaultParagraphFont"/>
    <w:unhideWhenUsed/>
    <w:rsid w:val="005E4769"/>
    <w:rPr>
      <w:vertAlign w:val="superscript"/>
    </w:rPr>
  </w:style>
  <w:style w:type="character" w:customStyle="1" w:styleId="CharDivText">
    <w:name w:val="CharDivText"/>
    <w:basedOn w:val="DefaultParagraphFont"/>
    <w:rsid w:val="005E4769"/>
  </w:style>
  <w:style w:type="character" w:customStyle="1" w:styleId="CharSectno">
    <w:name w:val="CharSectno"/>
    <w:basedOn w:val="DefaultParagraphFont"/>
    <w:rsid w:val="005E4769"/>
  </w:style>
  <w:style w:type="table" w:customStyle="1" w:styleId="TableGrid1">
    <w:name w:val="Table Grid1"/>
    <w:basedOn w:val="TableNormal"/>
    <w:next w:val="TableGrid"/>
    <w:rsid w:val="005E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1">
    <w:name w:val="Bullet List1"/>
    <w:uiPriority w:val="99"/>
    <w:rsid w:val="005E4769"/>
    <w:pPr>
      <w:numPr>
        <w:numId w:val="7"/>
      </w:numPr>
    </w:pPr>
  </w:style>
  <w:style w:type="numbering" w:customStyle="1" w:styleId="Attach1">
    <w:name w:val="Attach1"/>
    <w:uiPriority w:val="99"/>
    <w:rsid w:val="005E4769"/>
    <w:pPr>
      <w:numPr>
        <w:numId w:val="8"/>
      </w:numPr>
    </w:pPr>
  </w:style>
  <w:style w:type="numbering" w:customStyle="1" w:styleId="KeyPoints1">
    <w:name w:val="Key Points1"/>
    <w:uiPriority w:val="99"/>
    <w:rsid w:val="005E4769"/>
    <w:pPr>
      <w:numPr>
        <w:numId w:val="9"/>
      </w:numPr>
    </w:pPr>
  </w:style>
  <w:style w:type="table" w:customStyle="1" w:styleId="TableGrid2">
    <w:name w:val="Table Grid2"/>
    <w:basedOn w:val="TableNormal"/>
    <w:next w:val="TableGrid"/>
    <w:uiPriority w:val="59"/>
    <w:rsid w:val="005E476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1"/>
      </w:pPr>
      <w:rPr>
        <w:rFonts w:ascii="Arial" w:hAnsi="Arial" w:cs="Arial" w:hint="default"/>
        <w:sz w:val="20"/>
        <w:szCs w:val="20"/>
      </w:rPr>
    </w:tblStylePr>
    <w:tblStylePr w:type="lastRow">
      <w:pPr>
        <w:wordWrap/>
        <w:spacing w:beforeLines="0" w:beforeAutospacing="1" w:afterLines="0" w:afterAutospacing="1"/>
      </w:pPr>
      <w:rPr>
        <w:rFonts w:ascii="Arial" w:hAnsi="Arial" w:cs="Arial" w:hint="default"/>
        <w:sz w:val="20"/>
        <w:szCs w:val="20"/>
      </w:rPr>
    </w:tblStylePr>
    <w:tblStylePr w:type="band1Horz">
      <w:pPr>
        <w:wordWrap/>
        <w:spacing w:beforeLines="0" w:beforeAutospacing="1" w:afterLines="0" w:afterAutospacing="1" w:line="240" w:lineRule="auto"/>
      </w:pPr>
      <w:rPr>
        <w:rFonts w:ascii="Arial" w:hAnsi="Arial" w:cs="Arial" w:hint="default"/>
        <w:sz w:val="20"/>
        <w:szCs w:val="20"/>
      </w:rPr>
    </w:tblStylePr>
    <w:tblStylePr w:type="band2Horz">
      <w:pPr>
        <w:wordWrap/>
        <w:spacing w:beforeLines="0" w:beforeAutospacing="1" w:afterLines="0" w:afterAutospacing="1"/>
      </w:pPr>
      <w:rPr>
        <w:rFonts w:ascii="Arial" w:hAnsi="Arial" w:cs="Arial" w:hint="default"/>
        <w:sz w:val="20"/>
        <w:szCs w:val="20"/>
      </w:rPr>
    </w:tblStylePr>
  </w:style>
  <w:style w:type="table" w:customStyle="1" w:styleId="TableGrid3">
    <w:name w:val="Table Grid3"/>
    <w:basedOn w:val="TableNormal"/>
    <w:next w:val="TableGrid"/>
    <w:rsid w:val="005E476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1"/>
      </w:pPr>
      <w:rPr>
        <w:rFonts w:ascii="Arial" w:hAnsi="Arial" w:cs="Arial" w:hint="default"/>
        <w:sz w:val="20"/>
        <w:szCs w:val="20"/>
      </w:rPr>
    </w:tblStylePr>
    <w:tblStylePr w:type="lastRow">
      <w:pPr>
        <w:wordWrap/>
        <w:spacing w:beforeLines="0" w:beforeAutospacing="1" w:afterLines="0" w:afterAutospacing="1"/>
      </w:pPr>
      <w:rPr>
        <w:rFonts w:ascii="Arial" w:hAnsi="Arial" w:cs="Arial" w:hint="default"/>
        <w:sz w:val="20"/>
        <w:szCs w:val="20"/>
      </w:rPr>
    </w:tblStylePr>
    <w:tblStylePr w:type="band1Horz">
      <w:pPr>
        <w:wordWrap/>
        <w:spacing w:beforeLines="0" w:beforeAutospacing="1" w:afterLines="0" w:afterAutospacing="1" w:line="240" w:lineRule="auto"/>
      </w:pPr>
      <w:rPr>
        <w:rFonts w:ascii="Arial" w:hAnsi="Arial" w:cs="Arial" w:hint="default"/>
        <w:sz w:val="20"/>
        <w:szCs w:val="20"/>
      </w:rPr>
    </w:tblStylePr>
    <w:tblStylePr w:type="band2Horz">
      <w:pPr>
        <w:wordWrap/>
        <w:spacing w:beforeLines="0" w:beforeAutospacing="1" w:afterLines="0" w:afterAutospacing="1"/>
      </w:pPr>
      <w:rPr>
        <w:rFonts w:ascii="Arial" w:hAnsi="Arial" w:cs="Arial" w:hint="default"/>
        <w:sz w:val="20"/>
        <w:szCs w:val="20"/>
      </w:rPr>
    </w:tblStylePr>
  </w:style>
  <w:style w:type="table" w:customStyle="1" w:styleId="TableGrid4">
    <w:name w:val="Table Grid4"/>
    <w:basedOn w:val="TableNormal"/>
    <w:next w:val="TableGrid"/>
    <w:rsid w:val="005E476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1"/>
      </w:pPr>
      <w:rPr>
        <w:rFonts w:ascii="Arial" w:hAnsi="Arial" w:cs="Arial" w:hint="default"/>
        <w:sz w:val="20"/>
        <w:szCs w:val="20"/>
      </w:rPr>
    </w:tblStylePr>
    <w:tblStylePr w:type="lastRow">
      <w:pPr>
        <w:wordWrap/>
        <w:spacing w:beforeLines="0" w:beforeAutospacing="1" w:afterLines="0" w:afterAutospacing="1"/>
      </w:pPr>
      <w:rPr>
        <w:rFonts w:ascii="Arial" w:hAnsi="Arial" w:cs="Arial" w:hint="default"/>
        <w:sz w:val="20"/>
        <w:szCs w:val="20"/>
      </w:rPr>
    </w:tblStylePr>
    <w:tblStylePr w:type="band1Horz">
      <w:pPr>
        <w:wordWrap/>
        <w:spacing w:beforeLines="0" w:beforeAutospacing="1" w:afterLines="0" w:afterAutospacing="1" w:line="240" w:lineRule="auto"/>
      </w:pPr>
      <w:rPr>
        <w:rFonts w:ascii="Arial" w:hAnsi="Arial" w:cs="Arial" w:hint="default"/>
        <w:sz w:val="20"/>
        <w:szCs w:val="20"/>
      </w:rPr>
    </w:tblStylePr>
    <w:tblStylePr w:type="band2Horz">
      <w:pPr>
        <w:wordWrap/>
        <w:spacing w:beforeLines="0" w:beforeAutospacing="1" w:afterLines="0" w:afterAutospacing="1"/>
      </w:pPr>
      <w:rPr>
        <w:rFonts w:ascii="Arial" w:hAnsi="Arial" w:cs="Arial" w:hint="default"/>
        <w:sz w:val="20"/>
        <w:szCs w:val="20"/>
      </w:rPr>
    </w:tblStylePr>
  </w:style>
  <w:style w:type="numbering" w:customStyle="1" w:styleId="BulletList2">
    <w:name w:val="Bullet List2"/>
    <w:uiPriority w:val="99"/>
    <w:rsid w:val="005E4769"/>
    <w:pPr>
      <w:numPr>
        <w:numId w:val="19"/>
      </w:numPr>
    </w:pPr>
  </w:style>
  <w:style w:type="paragraph" w:customStyle="1" w:styleId="Style2">
    <w:name w:val="Style2"/>
    <w:basedOn w:val="NoteLevel51"/>
    <w:autoRedefine/>
    <w:qFormat/>
    <w:rsid w:val="005E4769"/>
    <w:pPr>
      <w:numPr>
        <w:ilvl w:val="0"/>
        <w:numId w:val="0"/>
      </w:numPr>
    </w:pPr>
    <w:rPr>
      <w:b/>
      <w:sz w:val="22"/>
      <w:lang w:val="en-AU" w:eastAsia="en-AU"/>
    </w:rPr>
  </w:style>
  <w:style w:type="paragraph" w:customStyle="1" w:styleId="NoteLevel51">
    <w:name w:val="Note Level 51"/>
    <w:basedOn w:val="Normal"/>
    <w:uiPriority w:val="99"/>
    <w:semiHidden/>
    <w:unhideWhenUsed/>
    <w:rsid w:val="005E4769"/>
    <w:pPr>
      <w:keepNext/>
      <w:numPr>
        <w:ilvl w:val="4"/>
        <w:numId w:val="11"/>
      </w:numPr>
      <w:spacing w:before="240" w:after="0" w:line="240" w:lineRule="auto"/>
      <w:contextualSpacing/>
      <w:outlineLvl w:val="4"/>
    </w:pPr>
    <w:rPr>
      <w:rFonts w:ascii="Verdana" w:eastAsia="MS Gothic" w:hAnsi="Verdana"/>
      <w:sz w:val="20"/>
      <w:szCs w:val="24"/>
      <w:lang w:val="en-US"/>
    </w:rPr>
  </w:style>
  <w:style w:type="paragraph" w:customStyle="1" w:styleId="Heading11">
    <w:name w:val="Heading 11"/>
    <w:basedOn w:val="Heading1"/>
    <w:autoRedefine/>
    <w:qFormat/>
    <w:rsid w:val="005E4769"/>
    <w:pPr>
      <w:keepLines/>
      <w:spacing w:before="480" w:after="0"/>
    </w:pPr>
    <w:rPr>
      <w:rFonts w:ascii="Times New Roman" w:hAnsi="Times New Roman" w:cs="Times New Roman"/>
      <w:bCs/>
      <w:caps w:val="0"/>
      <w:color w:val="000000"/>
      <w:sz w:val="28"/>
      <w:szCs w:val="24"/>
    </w:rPr>
  </w:style>
  <w:style w:type="paragraph" w:customStyle="1" w:styleId="Heading12">
    <w:name w:val="Heading 12"/>
    <w:basedOn w:val="Normal"/>
    <w:autoRedefine/>
    <w:qFormat/>
    <w:rsid w:val="005E4769"/>
    <w:pPr>
      <w:spacing w:before="240" w:after="0" w:line="480" w:lineRule="auto"/>
      <w:jc w:val="both"/>
    </w:pPr>
    <w:rPr>
      <w:rFonts w:ascii="Times New Roman" w:eastAsia="Times New Roman" w:hAnsi="Times New Roman"/>
      <w:b/>
      <w:sz w:val="28"/>
      <w:szCs w:val="24"/>
    </w:rPr>
  </w:style>
  <w:style w:type="paragraph" w:customStyle="1" w:styleId="Style1">
    <w:name w:val="Style1"/>
    <w:basedOn w:val="Heading3"/>
    <w:autoRedefine/>
    <w:qFormat/>
    <w:rsid w:val="005E4769"/>
    <w:pPr>
      <w:spacing w:after="0" w:line="480" w:lineRule="auto"/>
      <w:ind w:left="1224" w:hanging="1224"/>
      <w:jc w:val="both"/>
    </w:pPr>
    <w:rPr>
      <w:rFonts w:ascii="Times New Roman" w:hAnsi="Times New Roman" w:cs="Times New Roman"/>
      <w:bCs/>
      <w:noProof/>
      <w:sz w:val="24"/>
      <w:szCs w:val="24"/>
      <w:lang w:val="en-US"/>
    </w:rPr>
  </w:style>
  <w:style w:type="paragraph" w:customStyle="1" w:styleId="Heading21">
    <w:name w:val="Heading 21"/>
    <w:basedOn w:val="Style1"/>
    <w:autoRedefine/>
    <w:qFormat/>
    <w:rsid w:val="005E4769"/>
  </w:style>
  <w:style w:type="paragraph" w:customStyle="1" w:styleId="Heading41">
    <w:name w:val="Heading 41"/>
    <w:basedOn w:val="Normal"/>
    <w:autoRedefine/>
    <w:qFormat/>
    <w:rsid w:val="005E4769"/>
    <w:pPr>
      <w:spacing w:before="240" w:after="0" w:line="480" w:lineRule="auto"/>
      <w:jc w:val="both"/>
    </w:pPr>
    <w:rPr>
      <w:rFonts w:ascii="Times New Roman" w:eastAsia="Times New Roman" w:hAnsi="Times New Roman"/>
      <w:b/>
      <w:i/>
      <w:sz w:val="20"/>
      <w:szCs w:val="24"/>
    </w:rPr>
  </w:style>
  <w:style w:type="paragraph" w:customStyle="1" w:styleId="h2">
    <w:name w:val="h2"/>
    <w:basedOn w:val="Normal"/>
    <w:autoRedefine/>
    <w:qFormat/>
    <w:rsid w:val="005E4769"/>
    <w:pPr>
      <w:spacing w:before="240" w:after="0" w:line="240" w:lineRule="auto"/>
    </w:pPr>
    <w:rPr>
      <w:rFonts w:ascii="Times New Roman" w:eastAsiaTheme="minorEastAsia" w:hAnsi="Times New Roman"/>
      <w:b/>
      <w:sz w:val="28"/>
      <w:szCs w:val="24"/>
      <w:lang w:eastAsia="en-AU"/>
    </w:rPr>
  </w:style>
  <w:style w:type="paragraph" w:customStyle="1" w:styleId="h1">
    <w:name w:val="h1"/>
    <w:basedOn w:val="Normal"/>
    <w:autoRedefine/>
    <w:qFormat/>
    <w:rsid w:val="005E4769"/>
    <w:pPr>
      <w:spacing w:before="240" w:after="0" w:line="240" w:lineRule="auto"/>
    </w:pPr>
    <w:rPr>
      <w:rFonts w:ascii="Times New Roman" w:eastAsiaTheme="minorEastAsia" w:hAnsi="Times New Roman"/>
      <w:b/>
      <w:sz w:val="32"/>
      <w:szCs w:val="24"/>
      <w:lang w:eastAsia="en-AU"/>
    </w:rPr>
  </w:style>
  <w:style w:type="paragraph" w:customStyle="1" w:styleId="h3">
    <w:name w:val="h3"/>
    <w:basedOn w:val="Heading2"/>
    <w:autoRedefine/>
    <w:qFormat/>
    <w:rsid w:val="005E4769"/>
    <w:pPr>
      <w:spacing w:before="360" w:after="240" w:line="240" w:lineRule="auto"/>
    </w:pPr>
    <w:rPr>
      <w:rFonts w:asciiTheme="minorHAnsi" w:eastAsiaTheme="minorEastAsia" w:hAnsiTheme="minorHAnsi" w:cstheme="minorHAnsi"/>
      <w:bCs/>
      <w:i/>
      <w:iCs/>
      <w:sz w:val="24"/>
      <w:lang w:eastAsia="en-AU"/>
    </w:rPr>
  </w:style>
  <w:style w:type="paragraph" w:customStyle="1" w:styleId="h4">
    <w:name w:val="h4"/>
    <w:basedOn w:val="Normal"/>
    <w:autoRedefine/>
    <w:qFormat/>
    <w:rsid w:val="005E4769"/>
    <w:pPr>
      <w:spacing w:before="240" w:after="0" w:line="240" w:lineRule="auto"/>
    </w:pPr>
    <w:rPr>
      <w:rFonts w:asciiTheme="minorHAnsi" w:eastAsiaTheme="minorEastAsia" w:hAnsiTheme="minorHAnsi" w:cstheme="minorHAnsi"/>
      <w:b/>
      <w:bCs/>
      <w:i/>
      <w:sz w:val="24"/>
      <w:lang w:eastAsia="en-AU"/>
    </w:rPr>
  </w:style>
  <w:style w:type="paragraph" w:customStyle="1" w:styleId="StatementName">
    <w:name w:val="Statement Name"/>
    <w:basedOn w:val="Normal"/>
    <w:next w:val="Normal"/>
    <w:link w:val="StatementNameChar"/>
    <w:autoRedefine/>
    <w:rsid w:val="005E4769"/>
    <w:pPr>
      <w:pBdr>
        <w:bottom w:val="single" w:sz="4" w:space="1" w:color="auto"/>
      </w:pBdr>
      <w:spacing w:after="0" w:line="260" w:lineRule="atLeast"/>
      <w:ind w:left="-540"/>
    </w:pPr>
    <w:rPr>
      <w:rFonts w:eastAsia="Times New Roman" w:cs="Arial"/>
      <w:b/>
      <w:bCs/>
    </w:rPr>
  </w:style>
  <w:style w:type="paragraph" w:customStyle="1" w:styleId="StatementDateHeader">
    <w:name w:val="Statement Date Header"/>
    <w:basedOn w:val="StatementName"/>
    <w:next w:val="Normal"/>
    <w:rsid w:val="005E4769"/>
    <w:rPr>
      <w:b w:val="0"/>
      <w:i/>
      <w:sz w:val="18"/>
    </w:rPr>
  </w:style>
  <w:style w:type="paragraph" w:customStyle="1" w:styleId="NotesHeader">
    <w:name w:val="Notes Header"/>
    <w:basedOn w:val="Normal"/>
    <w:next w:val="Normal"/>
    <w:rsid w:val="005E4769"/>
    <w:pPr>
      <w:spacing w:after="0" w:line="260" w:lineRule="atLeast"/>
      <w:jc w:val="center"/>
    </w:pPr>
    <w:rPr>
      <w:rFonts w:eastAsia="Times New Roman"/>
      <w:b/>
      <w:sz w:val="18"/>
      <w:szCs w:val="20"/>
    </w:rPr>
  </w:style>
  <w:style w:type="paragraph" w:customStyle="1" w:styleId="NotesReferences">
    <w:name w:val="Notes References"/>
    <w:basedOn w:val="Normal"/>
    <w:next w:val="Normal"/>
    <w:rsid w:val="005E4769"/>
    <w:pPr>
      <w:spacing w:after="0" w:line="260" w:lineRule="atLeast"/>
      <w:jc w:val="center"/>
    </w:pPr>
    <w:rPr>
      <w:rFonts w:eastAsia="Times New Roman"/>
      <w:sz w:val="18"/>
      <w:szCs w:val="20"/>
    </w:rPr>
  </w:style>
  <w:style w:type="paragraph" w:customStyle="1" w:styleId="StatementTextLevel3">
    <w:name w:val="Statement Text Level 3"/>
    <w:basedOn w:val="Normal"/>
    <w:next w:val="Normal"/>
    <w:rsid w:val="005E4769"/>
    <w:pPr>
      <w:spacing w:after="0" w:line="260" w:lineRule="atLeast"/>
    </w:pPr>
    <w:rPr>
      <w:rFonts w:eastAsia="Times New Roman"/>
      <w:sz w:val="18"/>
      <w:szCs w:val="20"/>
    </w:rPr>
  </w:style>
  <w:style w:type="paragraph" w:customStyle="1" w:styleId="NotesData">
    <w:name w:val="Notes Data"/>
    <w:basedOn w:val="Normal"/>
    <w:rsid w:val="005E4769"/>
    <w:pPr>
      <w:framePr w:hSpace="180" w:wrap="around" w:vAnchor="text" w:hAnchor="margin" w:y="1"/>
      <w:spacing w:after="0" w:line="260" w:lineRule="atLeast"/>
      <w:jc w:val="center"/>
    </w:pPr>
    <w:rPr>
      <w:rFonts w:ascii="Times New Roman" w:eastAsia="Times New Roman" w:hAnsi="Times New Roman"/>
      <w:sz w:val="20"/>
      <w:szCs w:val="20"/>
    </w:rPr>
  </w:style>
  <w:style w:type="paragraph" w:customStyle="1" w:styleId="TableHeaderLevel1">
    <w:name w:val="Table Header Level 1"/>
    <w:basedOn w:val="Normal"/>
    <w:semiHidden/>
    <w:rsid w:val="005E4769"/>
    <w:pPr>
      <w:spacing w:after="0" w:line="260" w:lineRule="atLeast"/>
      <w:jc w:val="center"/>
    </w:pPr>
    <w:rPr>
      <w:rFonts w:eastAsia="Times New Roman"/>
      <w:b/>
      <w:sz w:val="18"/>
      <w:szCs w:val="18"/>
    </w:rPr>
  </w:style>
  <w:style w:type="paragraph" w:customStyle="1" w:styleId="NotesTextLevel1">
    <w:name w:val="Notes Text Level 1"/>
    <w:basedOn w:val="Normal"/>
    <w:next w:val="Normal"/>
    <w:rsid w:val="005E4769"/>
    <w:pPr>
      <w:spacing w:after="0" w:line="260" w:lineRule="atLeast"/>
    </w:pPr>
    <w:rPr>
      <w:rFonts w:eastAsia="Times New Roman"/>
      <w:b/>
      <w:i/>
      <w:sz w:val="18"/>
      <w:szCs w:val="20"/>
      <w:u w:val="single"/>
    </w:rPr>
  </w:style>
  <w:style w:type="paragraph" w:customStyle="1" w:styleId="StatementTextLevel1bItalic">
    <w:name w:val="Statement Text Level 1(b) + Italic"/>
    <w:basedOn w:val="Normal"/>
    <w:rsid w:val="005E4769"/>
    <w:pPr>
      <w:spacing w:after="0" w:line="260" w:lineRule="atLeast"/>
    </w:pPr>
    <w:rPr>
      <w:rFonts w:eastAsia="Times New Roman"/>
      <w:b/>
      <w:bCs/>
      <w:i/>
      <w:iCs/>
      <w:sz w:val="18"/>
      <w:szCs w:val="18"/>
    </w:rPr>
  </w:style>
  <w:style w:type="paragraph" w:customStyle="1" w:styleId="NotesTextLevel3aboldItalic">
    <w:name w:val="Notes Text Level 3(a) bold + Italic"/>
    <w:basedOn w:val="Normal"/>
    <w:link w:val="NotesTextLevel3aboldItalicChar"/>
    <w:rsid w:val="005E4769"/>
    <w:pPr>
      <w:spacing w:after="0" w:line="260" w:lineRule="atLeast"/>
    </w:pPr>
    <w:rPr>
      <w:rFonts w:eastAsia="Times New Roman"/>
      <w:b/>
      <w:bCs/>
      <w:i/>
      <w:iCs/>
      <w:sz w:val="18"/>
      <w:szCs w:val="20"/>
    </w:rPr>
  </w:style>
  <w:style w:type="character" w:customStyle="1" w:styleId="NotesTextLevel3aboldItalicChar">
    <w:name w:val="Notes Text Level 3(a) bold + Italic Char"/>
    <w:basedOn w:val="DefaultParagraphFont"/>
    <w:link w:val="NotesTextLevel3aboldItalic"/>
    <w:rsid w:val="005E4769"/>
    <w:rPr>
      <w:rFonts w:eastAsia="Times New Roman"/>
      <w:b/>
      <w:bCs/>
      <w:i/>
      <w:iCs/>
      <w:sz w:val="18"/>
      <w:lang w:eastAsia="en-US"/>
    </w:rPr>
  </w:style>
  <w:style w:type="paragraph" w:customStyle="1" w:styleId="Graphic">
    <w:name w:val="Graphic"/>
    <w:basedOn w:val="Signature"/>
    <w:rsid w:val="005E476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5E4769"/>
    <w:pPr>
      <w:spacing w:after="0" w:line="240" w:lineRule="auto"/>
    </w:pPr>
    <w:rPr>
      <w:rFonts w:ascii="Times New Roman" w:eastAsia="Times New Roman" w:hAnsi="Times New Roman"/>
      <w:szCs w:val="20"/>
    </w:rPr>
  </w:style>
  <w:style w:type="character" w:customStyle="1" w:styleId="SignatureChar">
    <w:name w:val="Signature Char"/>
    <w:basedOn w:val="DefaultParagraphFont"/>
    <w:link w:val="Signature"/>
    <w:rsid w:val="005E4769"/>
    <w:rPr>
      <w:rFonts w:ascii="Times New Roman" w:eastAsia="Times New Roman" w:hAnsi="Times New Roman"/>
      <w:sz w:val="22"/>
      <w:lang w:eastAsia="en-US"/>
    </w:rPr>
  </w:style>
  <w:style w:type="paragraph" w:styleId="MacroText">
    <w:name w:val="macro"/>
    <w:link w:val="MacroTextChar"/>
    <w:rsid w:val="005E47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sz w:val="18"/>
      <w:lang w:val="en-GB" w:eastAsia="en-US"/>
    </w:rPr>
  </w:style>
  <w:style w:type="character" w:customStyle="1" w:styleId="MacroTextChar">
    <w:name w:val="Macro Text Char"/>
    <w:basedOn w:val="DefaultParagraphFont"/>
    <w:link w:val="MacroText"/>
    <w:rsid w:val="005E4769"/>
    <w:rPr>
      <w:rFonts w:ascii="Courier New" w:eastAsia="Times New Roman" w:hAnsi="Courier New" w:cs="Courier New"/>
      <w:sz w:val="18"/>
      <w:lang w:val="en-GB" w:eastAsia="en-US"/>
    </w:rPr>
  </w:style>
  <w:style w:type="paragraph" w:customStyle="1" w:styleId="NotesHeading3">
    <w:name w:val="Notes Heading 3"/>
    <w:basedOn w:val="Normal"/>
    <w:autoRedefine/>
    <w:rsid w:val="005E4769"/>
    <w:pPr>
      <w:spacing w:before="80" w:after="40" w:line="260" w:lineRule="atLeast"/>
      <w:ind w:left="113" w:right="113"/>
    </w:pPr>
    <w:rPr>
      <w:rFonts w:ascii="Times New Roman" w:eastAsia="Times New Roman" w:hAnsi="Times New Roman"/>
      <w:szCs w:val="20"/>
      <w:u w:val="single"/>
      <w:lang w:val="en-US"/>
    </w:rPr>
  </w:style>
  <w:style w:type="paragraph" w:customStyle="1" w:styleId="NotesHeading3a">
    <w:name w:val="Notes Heading 3a"/>
    <w:basedOn w:val="Normal"/>
    <w:autoRedefine/>
    <w:rsid w:val="005E4769"/>
    <w:pPr>
      <w:numPr>
        <w:ilvl w:val="2"/>
        <w:numId w:val="17"/>
      </w:numPr>
      <w:spacing w:after="120" w:line="260" w:lineRule="atLeast"/>
      <w:ind w:right="113"/>
      <w:jc w:val="both"/>
    </w:pPr>
    <w:rPr>
      <w:rFonts w:ascii="Times New Roman" w:eastAsia="Times New Roman" w:hAnsi="Times New Roman"/>
      <w:szCs w:val="20"/>
      <w:u w:val="single"/>
      <w:lang w:val="en-US"/>
    </w:rPr>
  </w:style>
  <w:style w:type="paragraph" w:customStyle="1" w:styleId="NotesTotal">
    <w:name w:val="Notes Total"/>
    <w:basedOn w:val="Normal"/>
    <w:autoRedefine/>
    <w:rsid w:val="005E4769"/>
    <w:pPr>
      <w:spacing w:after="0" w:line="260" w:lineRule="atLeast"/>
      <w:ind w:left="139" w:right="57"/>
    </w:pPr>
    <w:rPr>
      <w:rFonts w:ascii="Times New Roman" w:eastAsia="Times New Roman" w:hAnsi="Times New Roman"/>
      <w:b/>
      <w:iCs/>
      <w:sz w:val="20"/>
      <w:szCs w:val="20"/>
    </w:rPr>
  </w:style>
  <w:style w:type="paragraph" w:customStyle="1" w:styleId="Notessub-lineitem">
    <w:name w:val="Notes sub-line item"/>
    <w:basedOn w:val="Normal"/>
    <w:autoRedefine/>
    <w:rsid w:val="005E4769"/>
    <w:pPr>
      <w:framePr w:hSpace="180" w:wrap="around" w:vAnchor="page" w:hAnchor="margin" w:y="1985"/>
      <w:tabs>
        <w:tab w:val="left" w:pos="593"/>
        <w:tab w:val="left" w:pos="1443"/>
      </w:tabs>
      <w:spacing w:after="0" w:line="260" w:lineRule="atLeast"/>
      <w:ind w:left="567" w:right="113"/>
    </w:pPr>
    <w:rPr>
      <w:rFonts w:ascii="Times New Roman" w:eastAsia="Times New Roman" w:hAnsi="Times New Roman"/>
      <w:sz w:val="20"/>
      <w:szCs w:val="20"/>
    </w:rPr>
  </w:style>
  <w:style w:type="paragraph" w:customStyle="1" w:styleId="NotesLineItem">
    <w:name w:val="Notes Line Item"/>
    <w:basedOn w:val="Normal"/>
    <w:autoRedefine/>
    <w:rsid w:val="005E4769"/>
    <w:pPr>
      <w:spacing w:after="0" w:line="260" w:lineRule="atLeast"/>
      <w:ind w:left="34"/>
    </w:pPr>
    <w:rPr>
      <w:rFonts w:ascii="Times New Roman" w:eastAsia="Times New Roman" w:hAnsi="Times New Roman"/>
      <w:iCs/>
      <w:sz w:val="16"/>
      <w:szCs w:val="16"/>
      <w:lang w:eastAsia="en-AU"/>
    </w:rPr>
  </w:style>
  <w:style w:type="paragraph" w:customStyle="1" w:styleId="NoteText">
    <w:name w:val="Note Text"/>
    <w:basedOn w:val="Normal"/>
    <w:autoRedefine/>
    <w:rsid w:val="005E4769"/>
    <w:pPr>
      <w:tabs>
        <w:tab w:val="left" w:pos="284"/>
      </w:tabs>
      <w:spacing w:after="120" w:line="260" w:lineRule="atLeast"/>
      <w:ind w:left="567"/>
    </w:pPr>
    <w:rPr>
      <w:rFonts w:ascii="Times New Roman" w:eastAsia="Times New Roman" w:hAnsi="Times New Roman"/>
      <w:sz w:val="20"/>
      <w:szCs w:val="20"/>
    </w:rPr>
  </w:style>
  <w:style w:type="paragraph" w:customStyle="1" w:styleId="TitlePage">
    <w:name w:val="Title Page"/>
    <w:basedOn w:val="Normal"/>
    <w:autoRedefine/>
    <w:rsid w:val="005E4769"/>
    <w:pPr>
      <w:spacing w:before="1200" w:after="1200" w:line="260" w:lineRule="atLeast"/>
      <w:ind w:left="57" w:right="57"/>
      <w:jc w:val="right"/>
    </w:pPr>
    <w:rPr>
      <w:rFonts w:ascii="Times New Roman" w:eastAsia="Times New Roman" w:hAnsi="Times New Roman"/>
      <w:b/>
      <w:bCs/>
      <w:sz w:val="48"/>
      <w:szCs w:val="20"/>
    </w:rPr>
  </w:style>
  <w:style w:type="paragraph" w:customStyle="1" w:styleId="NotesHeading">
    <w:name w:val="'Notes' Heading"/>
    <w:basedOn w:val="Normal"/>
    <w:autoRedefine/>
    <w:rsid w:val="005E4769"/>
    <w:pPr>
      <w:spacing w:after="0" w:line="260" w:lineRule="atLeast"/>
      <w:ind w:left="57" w:right="57"/>
      <w:jc w:val="center"/>
    </w:pPr>
    <w:rPr>
      <w:rFonts w:ascii="Times New Roman" w:eastAsia="Times New Roman" w:hAnsi="Times New Roman"/>
      <w:b/>
      <w:sz w:val="20"/>
      <w:szCs w:val="20"/>
    </w:rPr>
  </w:style>
  <w:style w:type="paragraph" w:customStyle="1" w:styleId="NotesReference">
    <w:name w:val="'Notes' Reference"/>
    <w:basedOn w:val="Normal"/>
    <w:autoRedefine/>
    <w:rsid w:val="005E4769"/>
    <w:pPr>
      <w:spacing w:after="0" w:line="260" w:lineRule="atLeast"/>
      <w:ind w:left="57" w:right="57"/>
      <w:jc w:val="center"/>
    </w:pPr>
    <w:rPr>
      <w:rFonts w:ascii="Times New Roman" w:eastAsia="Times New Roman" w:hAnsi="Times New Roman"/>
      <w:sz w:val="20"/>
      <w:szCs w:val="20"/>
    </w:rPr>
  </w:style>
  <w:style w:type="paragraph" w:customStyle="1" w:styleId="NotesHeading4">
    <w:name w:val="Notes Heading 4"/>
    <w:basedOn w:val="NoteText"/>
    <w:autoRedefine/>
    <w:rsid w:val="005E4769"/>
    <w:pPr>
      <w:keepNext/>
      <w:spacing w:before="200" w:after="80"/>
      <w:ind w:right="57"/>
    </w:pPr>
  </w:style>
  <w:style w:type="paragraph" w:customStyle="1" w:styleId="NotesHeading3NumberingOff">
    <w:name w:val="Notes Heading 3 Numbering Off"/>
    <w:basedOn w:val="NotesHeading3"/>
    <w:autoRedefine/>
    <w:rsid w:val="005E4769"/>
    <w:pPr>
      <w:tabs>
        <w:tab w:val="left" w:pos="1132"/>
      </w:tabs>
    </w:pPr>
  </w:style>
  <w:style w:type="paragraph" w:customStyle="1" w:styleId="NotesHeadingPlain">
    <w:name w:val="'Notes' Heading Plain"/>
    <w:basedOn w:val="NotesHeading"/>
    <w:autoRedefine/>
    <w:rsid w:val="005E4769"/>
    <w:rPr>
      <w:b w:val="0"/>
    </w:rPr>
  </w:style>
  <w:style w:type="paragraph" w:customStyle="1" w:styleId="NotesHeading5">
    <w:name w:val="Notes Heading 5"/>
    <w:basedOn w:val="Normal"/>
    <w:autoRedefine/>
    <w:rsid w:val="005E4769"/>
    <w:pPr>
      <w:spacing w:before="120" w:after="40" w:line="260" w:lineRule="atLeast"/>
      <w:ind w:left="113" w:right="113"/>
      <w:jc w:val="both"/>
    </w:pPr>
    <w:rPr>
      <w:rFonts w:ascii="Times New Roman" w:eastAsia="Times New Roman" w:hAnsi="Times New Roman"/>
      <w:b/>
      <w:sz w:val="20"/>
      <w:szCs w:val="20"/>
    </w:rPr>
  </w:style>
  <w:style w:type="paragraph" w:customStyle="1" w:styleId="NoteTextBEFOREDotPoint">
    <w:name w:val="Note Text BEFORE Dot Point"/>
    <w:basedOn w:val="NoteText"/>
    <w:rsid w:val="005E4769"/>
    <w:pPr>
      <w:spacing w:after="0"/>
      <w:ind w:left="178" w:right="57"/>
    </w:pPr>
  </w:style>
  <w:style w:type="paragraph" w:styleId="TOC4">
    <w:name w:val="toc 4"/>
    <w:basedOn w:val="Normal"/>
    <w:next w:val="Normal"/>
    <w:autoRedefine/>
    <w:rsid w:val="005E4769"/>
    <w:pPr>
      <w:spacing w:after="0" w:line="260" w:lineRule="atLeast"/>
      <w:ind w:left="660"/>
    </w:pPr>
    <w:rPr>
      <w:rFonts w:ascii="Times New Roman" w:eastAsia="Times New Roman" w:hAnsi="Times New Roman"/>
      <w:sz w:val="20"/>
      <w:szCs w:val="20"/>
    </w:rPr>
  </w:style>
  <w:style w:type="paragraph" w:styleId="TOC5">
    <w:name w:val="toc 5"/>
    <w:basedOn w:val="Normal"/>
    <w:next w:val="Normal"/>
    <w:autoRedefine/>
    <w:rsid w:val="005E4769"/>
    <w:pPr>
      <w:spacing w:after="0" w:line="260" w:lineRule="atLeast"/>
      <w:ind w:left="880"/>
    </w:pPr>
    <w:rPr>
      <w:rFonts w:ascii="Times New Roman" w:eastAsia="Times New Roman" w:hAnsi="Times New Roman"/>
      <w:sz w:val="20"/>
      <w:szCs w:val="20"/>
    </w:rPr>
  </w:style>
  <w:style w:type="paragraph" w:styleId="TOC6">
    <w:name w:val="toc 6"/>
    <w:basedOn w:val="Normal"/>
    <w:next w:val="Normal"/>
    <w:autoRedefine/>
    <w:rsid w:val="005E4769"/>
    <w:pPr>
      <w:spacing w:after="0" w:line="260" w:lineRule="atLeast"/>
      <w:ind w:left="1100"/>
    </w:pPr>
    <w:rPr>
      <w:rFonts w:ascii="Times New Roman" w:eastAsia="Times New Roman" w:hAnsi="Times New Roman"/>
      <w:sz w:val="20"/>
      <w:szCs w:val="20"/>
    </w:rPr>
  </w:style>
  <w:style w:type="paragraph" w:styleId="TOC7">
    <w:name w:val="toc 7"/>
    <w:basedOn w:val="Normal"/>
    <w:next w:val="Normal"/>
    <w:autoRedefine/>
    <w:rsid w:val="005E4769"/>
    <w:pPr>
      <w:spacing w:after="0" w:line="260" w:lineRule="atLeast"/>
      <w:ind w:left="1320"/>
    </w:pPr>
    <w:rPr>
      <w:rFonts w:ascii="Times New Roman" w:eastAsia="Times New Roman" w:hAnsi="Times New Roman"/>
      <w:sz w:val="20"/>
      <w:szCs w:val="20"/>
    </w:rPr>
  </w:style>
  <w:style w:type="paragraph" w:styleId="TOC8">
    <w:name w:val="toc 8"/>
    <w:basedOn w:val="Normal"/>
    <w:next w:val="Normal"/>
    <w:autoRedefine/>
    <w:rsid w:val="005E4769"/>
    <w:pPr>
      <w:spacing w:after="0" w:line="260" w:lineRule="atLeast"/>
      <w:ind w:left="1540"/>
    </w:pPr>
    <w:rPr>
      <w:rFonts w:ascii="Times New Roman" w:eastAsia="Times New Roman" w:hAnsi="Times New Roman"/>
      <w:sz w:val="20"/>
      <w:szCs w:val="20"/>
    </w:rPr>
  </w:style>
  <w:style w:type="paragraph" w:styleId="TOC9">
    <w:name w:val="toc 9"/>
    <w:basedOn w:val="Normal"/>
    <w:next w:val="Normal"/>
    <w:autoRedefine/>
    <w:rsid w:val="005E4769"/>
    <w:pPr>
      <w:spacing w:after="0" w:line="260" w:lineRule="atLeast"/>
      <w:ind w:left="1760"/>
    </w:pPr>
    <w:rPr>
      <w:rFonts w:ascii="Times New Roman" w:eastAsia="Times New Roman" w:hAnsi="Times New Roman"/>
      <w:sz w:val="20"/>
      <w:szCs w:val="20"/>
    </w:rPr>
  </w:style>
  <w:style w:type="paragraph" w:customStyle="1" w:styleId="ItalicLineItem">
    <w:name w:val="Italic Line Item"/>
    <w:basedOn w:val="Normal"/>
    <w:rsid w:val="005E4769"/>
    <w:pPr>
      <w:tabs>
        <w:tab w:val="left" w:pos="566"/>
      </w:tabs>
      <w:spacing w:after="0" w:line="260" w:lineRule="atLeast"/>
      <w:ind w:left="284" w:right="113"/>
      <w:jc w:val="both"/>
    </w:pPr>
    <w:rPr>
      <w:rFonts w:ascii="Times New Roman" w:eastAsia="Times New Roman" w:hAnsi="Times New Roman"/>
      <w:i/>
      <w:sz w:val="20"/>
      <w:szCs w:val="20"/>
      <w:lang w:val="en-US"/>
    </w:rPr>
  </w:style>
  <w:style w:type="paragraph" w:customStyle="1" w:styleId="ItalicHeading">
    <w:name w:val="Italic Heading"/>
    <w:basedOn w:val="ItalicLineItem"/>
    <w:rsid w:val="005E4769"/>
    <w:pPr>
      <w:ind w:left="57" w:right="0"/>
    </w:pPr>
  </w:style>
  <w:style w:type="paragraph" w:customStyle="1" w:styleId="Notes">
    <w:name w:val="'Notes'"/>
    <w:basedOn w:val="Normal"/>
    <w:rsid w:val="005E4769"/>
    <w:pPr>
      <w:spacing w:after="0" w:line="260" w:lineRule="atLeast"/>
      <w:jc w:val="center"/>
    </w:pPr>
    <w:rPr>
      <w:rFonts w:ascii="Times New Roman" w:eastAsia="Times New Roman" w:hAnsi="Times New Roman"/>
      <w:b/>
      <w:szCs w:val="20"/>
    </w:rPr>
  </w:style>
  <w:style w:type="paragraph" w:customStyle="1" w:styleId="Lineitems">
    <w:name w:val="Line items"/>
    <w:basedOn w:val="Normal"/>
    <w:link w:val="LineitemsChar"/>
    <w:autoRedefine/>
    <w:rsid w:val="005E4769"/>
    <w:pPr>
      <w:spacing w:after="0" w:line="260" w:lineRule="atLeast"/>
    </w:pPr>
    <w:rPr>
      <w:rFonts w:ascii="Times New Roman" w:eastAsia="Times New Roman" w:hAnsi="Times New Roman"/>
      <w:sz w:val="20"/>
      <w:szCs w:val="20"/>
    </w:rPr>
  </w:style>
  <w:style w:type="paragraph" w:customStyle="1" w:styleId="Notestext">
    <w:name w:val="Notes text"/>
    <w:basedOn w:val="Notes"/>
    <w:rsid w:val="005E4769"/>
    <w:rPr>
      <w:b w:val="0"/>
    </w:rPr>
  </w:style>
  <w:style w:type="paragraph" w:customStyle="1" w:styleId="Lineitemtable">
    <w:name w:val="Line item table"/>
    <w:basedOn w:val="Lineitems"/>
    <w:rsid w:val="005E4769"/>
  </w:style>
  <w:style w:type="paragraph" w:customStyle="1" w:styleId="12line">
    <w:name w:val="1/2 line"/>
    <w:basedOn w:val="Normal"/>
    <w:rsid w:val="005E4769"/>
    <w:pPr>
      <w:spacing w:before="10" w:after="10" w:line="240" w:lineRule="auto"/>
    </w:pPr>
    <w:rPr>
      <w:rFonts w:ascii="Times New Roman" w:eastAsia="Times New Roman" w:hAnsi="Times New Roman"/>
      <w:sz w:val="20"/>
      <w:szCs w:val="20"/>
    </w:rPr>
  </w:style>
  <w:style w:type="paragraph" w:customStyle="1" w:styleId="lineitemitalic">
    <w:name w:val="line item italic"/>
    <w:basedOn w:val="Normal"/>
    <w:rsid w:val="005E4769"/>
    <w:pPr>
      <w:spacing w:after="0" w:line="260" w:lineRule="atLeast"/>
    </w:pPr>
    <w:rPr>
      <w:rFonts w:ascii="Times New Roman" w:eastAsia="Times New Roman" w:hAnsi="Times New Roman"/>
      <w:i/>
      <w:szCs w:val="20"/>
    </w:rPr>
  </w:style>
  <w:style w:type="paragraph" w:customStyle="1" w:styleId="lineitembold">
    <w:name w:val="line item bold"/>
    <w:basedOn w:val="Normal"/>
    <w:rsid w:val="005E4769"/>
    <w:pPr>
      <w:spacing w:after="0" w:line="260" w:lineRule="atLeast"/>
    </w:pPr>
    <w:rPr>
      <w:rFonts w:ascii="Times New Roman" w:eastAsia="Times New Roman" w:hAnsi="Times New Roman"/>
      <w:b/>
      <w:sz w:val="20"/>
      <w:szCs w:val="20"/>
    </w:rPr>
  </w:style>
  <w:style w:type="paragraph" w:customStyle="1" w:styleId="zcontents">
    <w:name w:val="zcontents"/>
    <w:basedOn w:val="Normal"/>
    <w:semiHidden/>
    <w:rsid w:val="005E4769"/>
    <w:pPr>
      <w:spacing w:after="260" w:line="240" w:lineRule="auto"/>
    </w:pPr>
    <w:rPr>
      <w:rFonts w:ascii="Times New Roman" w:eastAsia="Times New Roman" w:hAnsi="Times New Roman"/>
      <w:b/>
      <w:sz w:val="32"/>
      <w:szCs w:val="20"/>
    </w:rPr>
  </w:style>
  <w:style w:type="paragraph" w:customStyle="1" w:styleId="Normal10pt">
    <w:name w:val="Normal + 10 pt"/>
    <w:aliases w:val="Line spacing:  single"/>
    <w:basedOn w:val="Normal"/>
    <w:rsid w:val="005E4769"/>
    <w:pPr>
      <w:spacing w:before="130" w:after="130" w:line="260" w:lineRule="atLeast"/>
    </w:pPr>
    <w:rPr>
      <w:rFonts w:ascii="Times New Roman" w:eastAsia="Times New Roman" w:hAnsi="Times New Roman"/>
      <w:b/>
      <w:sz w:val="20"/>
      <w:szCs w:val="20"/>
    </w:rPr>
  </w:style>
  <w:style w:type="paragraph" w:styleId="z-BottomofForm">
    <w:name w:val="HTML Bottom of Form"/>
    <w:basedOn w:val="Normal"/>
    <w:next w:val="Normal"/>
    <w:link w:val="z-BottomofFormChar"/>
    <w:hidden/>
    <w:rsid w:val="005E4769"/>
    <w:pPr>
      <w:pBdr>
        <w:top w:val="single" w:sz="6" w:space="1" w:color="auto"/>
      </w:pBdr>
      <w:spacing w:after="0" w:line="260" w:lineRule="atLeast"/>
      <w:jc w:val="center"/>
    </w:pPr>
    <w:rPr>
      <w:rFonts w:eastAsia="Times New Roman" w:cs="Arial"/>
      <w:vanish/>
      <w:sz w:val="16"/>
      <w:szCs w:val="16"/>
    </w:rPr>
  </w:style>
  <w:style w:type="character" w:customStyle="1" w:styleId="z-BottomofFormChar">
    <w:name w:val="z-Bottom of Form Char"/>
    <w:basedOn w:val="DefaultParagraphFont"/>
    <w:link w:val="z-BottomofForm"/>
    <w:rsid w:val="005E4769"/>
    <w:rPr>
      <w:rFonts w:eastAsia="Times New Roman" w:cs="Arial"/>
      <w:vanish/>
      <w:sz w:val="16"/>
      <w:szCs w:val="16"/>
      <w:lang w:eastAsia="en-US"/>
    </w:rPr>
  </w:style>
  <w:style w:type="paragraph" w:styleId="z-TopofForm">
    <w:name w:val="HTML Top of Form"/>
    <w:basedOn w:val="Normal"/>
    <w:next w:val="Normal"/>
    <w:link w:val="z-TopofFormChar"/>
    <w:hidden/>
    <w:rsid w:val="005E4769"/>
    <w:pPr>
      <w:pBdr>
        <w:bottom w:val="single" w:sz="6" w:space="1" w:color="auto"/>
      </w:pBdr>
      <w:spacing w:after="0" w:line="260" w:lineRule="atLeast"/>
      <w:jc w:val="center"/>
    </w:pPr>
    <w:rPr>
      <w:rFonts w:eastAsia="Times New Roman" w:cs="Arial"/>
      <w:vanish/>
      <w:sz w:val="16"/>
      <w:szCs w:val="16"/>
    </w:rPr>
  </w:style>
  <w:style w:type="character" w:customStyle="1" w:styleId="z-TopofFormChar">
    <w:name w:val="z-Top of Form Char"/>
    <w:basedOn w:val="DefaultParagraphFont"/>
    <w:link w:val="z-TopofForm"/>
    <w:rsid w:val="005E4769"/>
    <w:rPr>
      <w:rFonts w:eastAsia="Times New Roman" w:cs="Arial"/>
      <w:vanish/>
      <w:sz w:val="16"/>
      <w:szCs w:val="16"/>
      <w:lang w:eastAsia="en-US"/>
    </w:rPr>
  </w:style>
  <w:style w:type="paragraph" w:customStyle="1" w:styleId="Notesheading0">
    <w:name w:val="Notes heading"/>
    <w:basedOn w:val="Normal"/>
    <w:rsid w:val="005E4769"/>
    <w:pPr>
      <w:spacing w:after="0" w:line="240" w:lineRule="auto"/>
    </w:pPr>
    <w:rPr>
      <w:rFonts w:ascii="Calisto MT" w:eastAsia="Times New Roman" w:hAnsi="Calisto MT"/>
      <w:b/>
      <w:sz w:val="14"/>
      <w:szCs w:val="20"/>
      <w:lang w:eastAsia="en-AU"/>
    </w:rPr>
  </w:style>
  <w:style w:type="paragraph" w:customStyle="1" w:styleId="Notestothefinancialstatements">
    <w:name w:val="Notes to the financial statements"/>
    <w:aliases w:val="Heading"/>
    <w:basedOn w:val="Normal"/>
    <w:rsid w:val="005E4769"/>
    <w:pPr>
      <w:tabs>
        <w:tab w:val="left" w:pos="567"/>
        <w:tab w:val="left" w:pos="1134"/>
        <w:tab w:val="left" w:pos="1701"/>
      </w:tabs>
      <w:spacing w:before="60" w:after="60" w:line="240" w:lineRule="auto"/>
    </w:pPr>
    <w:rPr>
      <w:rFonts w:ascii="Tahoma" w:eastAsia="Times New Roman" w:hAnsi="Tahoma"/>
      <w:b/>
      <w:color w:val="000000"/>
      <w:sz w:val="16"/>
      <w:szCs w:val="20"/>
      <w:lang w:eastAsia="en-AU"/>
    </w:rPr>
  </w:style>
  <w:style w:type="paragraph" w:customStyle="1" w:styleId="NotesBulletPoint">
    <w:name w:val="Notes Bullet Point"/>
    <w:basedOn w:val="Normal"/>
    <w:autoRedefine/>
    <w:rsid w:val="005E4769"/>
    <w:pPr>
      <w:numPr>
        <w:ilvl w:val="1"/>
        <w:numId w:val="15"/>
      </w:numPr>
      <w:tabs>
        <w:tab w:val="left" w:pos="413"/>
      </w:tabs>
      <w:spacing w:after="0" w:line="240" w:lineRule="auto"/>
      <w:ind w:right="113"/>
      <w:jc w:val="both"/>
    </w:pPr>
    <w:rPr>
      <w:rFonts w:ascii="Times New Roman" w:eastAsia="Times New Roman" w:hAnsi="Times New Roman"/>
      <w:snapToGrid w:val="0"/>
      <w:sz w:val="20"/>
      <w:szCs w:val="20"/>
      <w:lang w:val="en-US" w:eastAsia="en-AU"/>
    </w:rPr>
  </w:style>
  <w:style w:type="paragraph" w:styleId="DocumentMap">
    <w:name w:val="Document Map"/>
    <w:basedOn w:val="Normal"/>
    <w:link w:val="DocumentMapChar"/>
    <w:rsid w:val="005E4769"/>
    <w:pPr>
      <w:shd w:val="clear" w:color="auto" w:fill="000080"/>
      <w:spacing w:after="0" w:line="240" w:lineRule="auto"/>
    </w:pPr>
    <w:rPr>
      <w:rFonts w:ascii="Tahoma" w:eastAsia="Times New Roman" w:hAnsi="Tahoma"/>
      <w:sz w:val="20"/>
      <w:szCs w:val="20"/>
      <w:lang w:eastAsia="en-AU"/>
    </w:rPr>
  </w:style>
  <w:style w:type="character" w:customStyle="1" w:styleId="DocumentMapChar">
    <w:name w:val="Document Map Char"/>
    <w:basedOn w:val="DefaultParagraphFont"/>
    <w:link w:val="DocumentMap"/>
    <w:rsid w:val="005E4769"/>
    <w:rPr>
      <w:rFonts w:ascii="Tahoma" w:eastAsia="Times New Roman" w:hAnsi="Tahoma"/>
      <w:shd w:val="clear" w:color="auto" w:fill="000080"/>
    </w:rPr>
  </w:style>
  <w:style w:type="paragraph" w:customStyle="1" w:styleId="Headinga">
    <w:name w:val="Heading a"/>
    <w:basedOn w:val="Normal"/>
    <w:rsid w:val="005E4769"/>
    <w:pPr>
      <w:spacing w:after="0" w:line="240" w:lineRule="auto"/>
    </w:pPr>
    <w:rPr>
      <w:rFonts w:ascii="Times New Roman" w:eastAsia="Times New Roman" w:hAnsi="Times New Roman"/>
      <w:b/>
      <w:bCs/>
      <w:sz w:val="18"/>
      <w:szCs w:val="18"/>
    </w:rPr>
  </w:style>
  <w:style w:type="paragraph" w:customStyle="1" w:styleId="Normal8pt">
    <w:name w:val="Normal + 8 pt"/>
    <w:basedOn w:val="Normal"/>
    <w:rsid w:val="005E4769"/>
    <w:pPr>
      <w:widowControl w:val="0"/>
      <w:autoSpaceDE w:val="0"/>
      <w:autoSpaceDN w:val="0"/>
      <w:spacing w:after="0" w:line="240" w:lineRule="auto"/>
    </w:pPr>
    <w:rPr>
      <w:rFonts w:ascii="Times New Roman" w:eastAsia="Times New Roman" w:hAnsi="Times New Roman"/>
      <w:bCs/>
      <w:iCs/>
      <w:spacing w:val="-6"/>
      <w:sz w:val="16"/>
      <w:szCs w:val="16"/>
      <w:lang w:val="en-US"/>
    </w:rPr>
  </w:style>
  <w:style w:type="paragraph" w:customStyle="1" w:styleId="NormalCalistoMT">
    <w:name w:val="Normal + Calisto MT"/>
    <w:aliases w:val="8 pt,Right"/>
    <w:basedOn w:val="Normal"/>
    <w:rsid w:val="005E4769"/>
    <w:pPr>
      <w:framePr w:hSpace="180" w:wrap="around" w:vAnchor="text" w:hAnchor="margin" w:y="1"/>
      <w:spacing w:after="0" w:line="260" w:lineRule="atLeast"/>
      <w:ind w:right="212"/>
      <w:suppressOverlap/>
      <w:jc w:val="right"/>
    </w:pPr>
    <w:rPr>
      <w:rFonts w:ascii="Calisto MT" w:eastAsia="Times New Roman" w:hAnsi="Calisto MT"/>
      <w:sz w:val="16"/>
      <w:szCs w:val="20"/>
    </w:rPr>
  </w:style>
  <w:style w:type="paragraph" w:customStyle="1" w:styleId="LineitemsTotal">
    <w:name w:val="Line items Total"/>
    <w:basedOn w:val="Lineitems"/>
    <w:rsid w:val="005E4769"/>
    <w:pPr>
      <w:framePr w:hSpace="180" w:wrap="around" w:vAnchor="text" w:hAnchor="margin" w:y="1"/>
    </w:pPr>
    <w:rPr>
      <w:b/>
      <w:i/>
    </w:rPr>
  </w:style>
  <w:style w:type="paragraph" w:customStyle="1" w:styleId="ReferenceText">
    <w:name w:val="Reference Text"/>
    <w:basedOn w:val="Normal"/>
    <w:link w:val="ReferenceTextChar"/>
    <w:rsid w:val="005E4769"/>
    <w:pPr>
      <w:spacing w:after="0" w:line="260" w:lineRule="atLeast"/>
    </w:pPr>
    <w:rPr>
      <w:rFonts w:eastAsia="Times New Roman"/>
      <w:sz w:val="18"/>
      <w:szCs w:val="20"/>
      <w:lang w:eastAsia="en-AU"/>
    </w:rPr>
  </w:style>
  <w:style w:type="paragraph" w:customStyle="1" w:styleId="NotesHeading-Level1">
    <w:name w:val="Notes Heading - Level 1"/>
    <w:basedOn w:val="Normal"/>
    <w:rsid w:val="005E4769"/>
    <w:pPr>
      <w:numPr>
        <w:numId w:val="16"/>
      </w:numPr>
      <w:shd w:val="clear" w:color="auto" w:fill="000000" w:themeFill="text1"/>
      <w:spacing w:after="0" w:line="260" w:lineRule="atLeast"/>
      <w:ind w:right="607"/>
      <w:outlineLvl w:val="0"/>
    </w:pPr>
    <w:rPr>
      <w:rFonts w:eastAsia="Times New Roman"/>
      <w:b/>
      <w:sz w:val="20"/>
      <w:szCs w:val="20"/>
    </w:rPr>
  </w:style>
  <w:style w:type="paragraph" w:customStyle="1" w:styleId="SAPHeading-Level1">
    <w:name w:val="SAP Heading - Level 1"/>
    <w:basedOn w:val="NotesHeading-Level1"/>
    <w:rsid w:val="005E4769"/>
    <w:pPr>
      <w:numPr>
        <w:numId w:val="18"/>
      </w:numPr>
    </w:pPr>
  </w:style>
  <w:style w:type="paragraph" w:customStyle="1" w:styleId="SAPHeading-Level2">
    <w:name w:val="SAP Heading - Level 2"/>
    <w:basedOn w:val="SAPHeading-Level1"/>
    <w:rsid w:val="005E4769"/>
    <w:pPr>
      <w:numPr>
        <w:ilvl w:val="1"/>
      </w:numPr>
      <w:spacing w:before="100" w:after="100" w:line="240" w:lineRule="auto"/>
    </w:pPr>
  </w:style>
  <w:style w:type="paragraph" w:customStyle="1" w:styleId="NotesHeading-Level2">
    <w:name w:val="Notes Heading - Level 2"/>
    <w:basedOn w:val="NotesHeading-Level1"/>
    <w:rsid w:val="005E4769"/>
    <w:pPr>
      <w:framePr w:hSpace="180" w:wrap="around" w:vAnchor="text" w:hAnchor="margin" w:y="1"/>
      <w:numPr>
        <w:ilvl w:val="1"/>
      </w:numPr>
      <w:suppressOverlap/>
    </w:pPr>
    <w:rPr>
      <w:sz w:val="18"/>
    </w:rPr>
  </w:style>
  <w:style w:type="paragraph" w:customStyle="1" w:styleId="SAPHeading-Level3">
    <w:name w:val="SAP Heading - Level 3"/>
    <w:basedOn w:val="SAPHeading-Level2"/>
    <w:rsid w:val="005E4769"/>
    <w:pPr>
      <w:numPr>
        <w:ilvl w:val="2"/>
      </w:numPr>
    </w:pPr>
  </w:style>
  <w:style w:type="paragraph" w:customStyle="1" w:styleId="NotesText0">
    <w:name w:val="Notes Text"/>
    <w:basedOn w:val="ReferenceText"/>
    <w:rsid w:val="005E4769"/>
    <w:pPr>
      <w:spacing w:before="100" w:after="100" w:line="240" w:lineRule="auto"/>
    </w:pPr>
  </w:style>
  <w:style w:type="paragraph" w:customStyle="1" w:styleId="NotesTextHeading">
    <w:name w:val="Notes Text Heading"/>
    <w:basedOn w:val="NotesText0"/>
    <w:rsid w:val="005E4769"/>
    <w:rPr>
      <w:b/>
      <w:i/>
    </w:rPr>
  </w:style>
  <w:style w:type="paragraph" w:customStyle="1" w:styleId="NoteHeading-Level1">
    <w:name w:val="Note Heading - Level 1"/>
    <w:basedOn w:val="Normal"/>
    <w:rsid w:val="005E4769"/>
    <w:pPr>
      <w:spacing w:after="0" w:line="260" w:lineRule="atLeast"/>
    </w:pPr>
    <w:rPr>
      <w:rFonts w:ascii="Times New Roman" w:eastAsia="Times New Roman" w:hAnsi="Times New Roman"/>
      <w:szCs w:val="20"/>
    </w:rPr>
  </w:style>
  <w:style w:type="paragraph" w:customStyle="1" w:styleId="NoteHeading-Level2">
    <w:name w:val="Note Heading - Level 2"/>
    <w:basedOn w:val="Normal"/>
    <w:rsid w:val="005E4769"/>
    <w:pPr>
      <w:spacing w:after="0" w:line="260" w:lineRule="atLeast"/>
    </w:pPr>
    <w:rPr>
      <w:rFonts w:ascii="Times New Roman" w:eastAsia="Times New Roman" w:hAnsi="Times New Roman"/>
      <w:szCs w:val="20"/>
    </w:rPr>
  </w:style>
  <w:style w:type="character" w:customStyle="1" w:styleId="LineitemsChar">
    <w:name w:val="Line items Char"/>
    <w:basedOn w:val="DefaultParagraphFont"/>
    <w:link w:val="Lineitems"/>
    <w:rsid w:val="005E4769"/>
    <w:rPr>
      <w:rFonts w:ascii="Times New Roman" w:eastAsia="Times New Roman" w:hAnsi="Times New Roman"/>
      <w:lang w:eastAsia="en-US"/>
    </w:rPr>
  </w:style>
  <w:style w:type="character" w:customStyle="1" w:styleId="StatementNameChar">
    <w:name w:val="Statement Name Char"/>
    <w:basedOn w:val="DefaultParagraphFont"/>
    <w:link w:val="StatementName"/>
    <w:rsid w:val="005E4769"/>
    <w:rPr>
      <w:rFonts w:eastAsia="Times New Roman" w:cs="Arial"/>
      <w:b/>
      <w:bCs/>
      <w:sz w:val="22"/>
      <w:szCs w:val="22"/>
      <w:lang w:eastAsia="en-US"/>
    </w:rPr>
  </w:style>
  <w:style w:type="paragraph" w:customStyle="1" w:styleId="Notesreferencetext">
    <w:name w:val="Notes reference text"/>
    <w:basedOn w:val="Normal"/>
    <w:next w:val="Normal"/>
    <w:rsid w:val="005E4769"/>
    <w:pPr>
      <w:spacing w:after="0" w:line="260" w:lineRule="atLeast"/>
      <w:jc w:val="center"/>
    </w:pPr>
    <w:rPr>
      <w:rFonts w:ascii="Times New Roman" w:eastAsia="Times New Roman" w:hAnsi="Times New Roman"/>
      <w:sz w:val="18"/>
      <w:szCs w:val="20"/>
    </w:rPr>
  </w:style>
  <w:style w:type="numbering" w:customStyle="1" w:styleId="CurrentList1">
    <w:name w:val="Current List1"/>
    <w:rsid w:val="005E4769"/>
    <w:pPr>
      <w:numPr>
        <w:numId w:val="13"/>
      </w:numPr>
    </w:pPr>
  </w:style>
  <w:style w:type="numbering" w:customStyle="1" w:styleId="CurrentList2">
    <w:name w:val="Current List2"/>
    <w:rsid w:val="005E4769"/>
    <w:pPr>
      <w:numPr>
        <w:numId w:val="14"/>
      </w:numPr>
    </w:pPr>
  </w:style>
  <w:style w:type="character" w:customStyle="1" w:styleId="ReferenceTextChar">
    <w:name w:val="Reference Text Char"/>
    <w:basedOn w:val="DefaultParagraphFont"/>
    <w:link w:val="ReferenceText"/>
    <w:rsid w:val="005E4769"/>
    <w:rPr>
      <w:rFonts w:eastAsia="Times New Roman"/>
      <w:sz w:val="18"/>
    </w:rPr>
  </w:style>
  <w:style w:type="paragraph" w:customStyle="1" w:styleId="StatementHeading">
    <w:name w:val="Statement Heading"/>
    <w:basedOn w:val="Normal"/>
    <w:rsid w:val="005E4769"/>
    <w:pPr>
      <w:spacing w:after="0" w:line="260" w:lineRule="atLeast"/>
      <w:outlineLvl w:val="0"/>
    </w:pPr>
    <w:rPr>
      <w:rFonts w:ascii="Times New Roman" w:eastAsia="Times New Roman" w:hAnsi="Times New Roman"/>
      <w:b/>
      <w:sz w:val="24"/>
      <w:szCs w:val="24"/>
    </w:rPr>
  </w:style>
  <w:style w:type="paragraph" w:styleId="TableofFigures">
    <w:name w:val="table of figures"/>
    <w:basedOn w:val="Normal"/>
    <w:next w:val="Normal"/>
    <w:rsid w:val="005E4769"/>
    <w:pPr>
      <w:spacing w:after="0" w:line="260" w:lineRule="atLeast"/>
    </w:pPr>
    <w:rPr>
      <w:rFonts w:ascii="Times New Roman" w:eastAsia="Times New Roman" w:hAnsi="Times New Roman"/>
      <w:szCs w:val="20"/>
    </w:rPr>
  </w:style>
  <w:style w:type="paragraph" w:customStyle="1" w:styleId="GreyShadeTableBreak">
    <w:name w:val="Grey Shade Table Break"/>
    <w:basedOn w:val="Normal"/>
    <w:qFormat/>
    <w:rsid w:val="005E4769"/>
    <w:pPr>
      <w:shd w:val="clear" w:color="auto" w:fill="D9D9D9" w:themeFill="background1" w:themeFillShade="D9"/>
      <w:tabs>
        <w:tab w:val="left" w:pos="9214"/>
      </w:tabs>
      <w:spacing w:after="0" w:line="260" w:lineRule="atLeast"/>
      <w:ind w:right="607"/>
    </w:pPr>
    <w:rPr>
      <w:rFonts w:ascii="Times New Roman" w:eastAsia="Times New Roman" w:hAnsi="Times New Roman"/>
      <w:szCs w:val="20"/>
    </w:rPr>
  </w:style>
  <w:style w:type="paragraph" w:customStyle="1" w:styleId="GreyShadeTableBreaknon-Standard">
    <w:name w:val="Grey Shade Table Break non-Standard"/>
    <w:qFormat/>
    <w:rsid w:val="005E4769"/>
    <w:pPr>
      <w:shd w:val="clear" w:color="auto" w:fill="D9D9D9" w:themeFill="background1" w:themeFillShade="D9"/>
      <w:ind w:right="57"/>
    </w:pPr>
    <w:rPr>
      <w:rFonts w:ascii="Times New Roman" w:eastAsia="Times New Roman" w:hAnsi="Times New Roman"/>
      <w:sz w:val="22"/>
      <w:lang w:eastAsia="en-US"/>
    </w:rPr>
  </w:style>
  <w:style w:type="paragraph" w:customStyle="1" w:styleId="ReferenceTextLetter">
    <w:name w:val="Reference Text Letter"/>
    <w:basedOn w:val="ReferenceText"/>
    <w:qFormat/>
    <w:rsid w:val="005E4769"/>
    <w:pPr>
      <w:spacing w:line="240" w:lineRule="auto"/>
      <w:ind w:left="567" w:right="567"/>
    </w:pPr>
    <w:rPr>
      <w:rFonts w:cs="Arial"/>
      <w:szCs w:val="18"/>
    </w:rPr>
  </w:style>
  <w:style w:type="paragraph" w:customStyle="1" w:styleId="PrimaryStatementsHeading">
    <w:name w:val="Primary Statements Heading"/>
    <w:basedOn w:val="Normal"/>
    <w:autoRedefine/>
    <w:rsid w:val="005E4769"/>
    <w:pPr>
      <w:spacing w:after="0" w:line="300" w:lineRule="exact"/>
    </w:pPr>
    <w:rPr>
      <w:rFonts w:eastAsia="Times New Roman"/>
      <w:b/>
      <w:i/>
      <w:sz w:val="24"/>
      <w:szCs w:val="20"/>
    </w:rPr>
  </w:style>
  <w:style w:type="paragraph" w:customStyle="1" w:styleId="SAPHeading-Level4">
    <w:name w:val="SAP Heading - Level 4"/>
    <w:basedOn w:val="SAPHeading-Level3"/>
    <w:rsid w:val="005E4769"/>
    <w:pPr>
      <w:numPr>
        <w:ilvl w:val="0"/>
        <w:numId w:val="0"/>
      </w:numPr>
      <w:shd w:val="clear" w:color="auto" w:fill="auto"/>
      <w:tabs>
        <w:tab w:val="num" w:pos="851"/>
      </w:tabs>
      <w:ind w:left="851" w:right="0" w:hanging="851"/>
      <w:outlineLvl w:val="9"/>
    </w:pPr>
    <w:rPr>
      <w:b w:val="0"/>
    </w:rPr>
  </w:style>
  <w:style w:type="paragraph" w:customStyle="1" w:styleId="NotesTextBold">
    <w:name w:val="Notes Text Bold"/>
    <w:basedOn w:val="NotesText0"/>
    <w:qFormat/>
    <w:rsid w:val="005E4769"/>
    <w:pPr>
      <w:spacing w:before="120" w:after="120"/>
    </w:pPr>
    <w:rPr>
      <w:rFonts w:ascii="TimesNewRoman,BoldItalic" w:hAnsi="TimesNewRoman,BoldItalic" w:cs="TimesNewRoman,BoldItalic"/>
      <w:b/>
      <w:bCs/>
      <w:iCs/>
    </w:rPr>
  </w:style>
  <w:style w:type="paragraph" w:customStyle="1" w:styleId="CurrentYear000Header">
    <w:name w:val="Current Year $'000 Header"/>
    <w:basedOn w:val="Normal"/>
    <w:next w:val="Normal"/>
    <w:link w:val="CurrentYear000HeaderCharChar"/>
    <w:rsid w:val="005E4769"/>
    <w:pPr>
      <w:framePr w:hSpace="180" w:wrap="around" w:vAnchor="text" w:hAnchor="text" w:y="1"/>
      <w:spacing w:after="0" w:line="260" w:lineRule="atLeast"/>
      <w:suppressOverlap/>
      <w:jc w:val="right"/>
    </w:pPr>
    <w:rPr>
      <w:rFonts w:eastAsia="Times New Roman"/>
      <w:b/>
      <w:sz w:val="18"/>
      <w:szCs w:val="20"/>
    </w:rPr>
  </w:style>
  <w:style w:type="character" w:customStyle="1" w:styleId="CurrentYear000HeaderCharChar">
    <w:name w:val="Current Year $'000 Header Char Char"/>
    <w:basedOn w:val="DefaultParagraphFont"/>
    <w:link w:val="CurrentYear000Header"/>
    <w:rsid w:val="005E4769"/>
    <w:rPr>
      <w:rFonts w:eastAsia="Times New Roman"/>
      <w:b/>
      <w:sz w:val="18"/>
      <w:lang w:eastAsia="en-US"/>
    </w:rPr>
  </w:style>
  <w:style w:type="character" w:customStyle="1" w:styleId="citetitle">
    <w:name w:val="citetitle"/>
    <w:basedOn w:val="DefaultParagraphFont"/>
    <w:rsid w:val="005E4769"/>
  </w:style>
  <w:style w:type="character" w:customStyle="1" w:styleId="para1">
    <w:name w:val="para1"/>
    <w:basedOn w:val="DefaultParagraphFont"/>
    <w:rsid w:val="005E4769"/>
    <w:rPr>
      <w:rFonts w:ascii="Arial" w:hAnsi="Arial" w:cs="Arial" w:hint="default"/>
      <w:sz w:val="19"/>
      <w:szCs w:val="19"/>
    </w:rPr>
  </w:style>
  <w:style w:type="paragraph" w:customStyle="1" w:styleId="shortt">
    <w:name w:val="shortt"/>
    <w:basedOn w:val="Normal"/>
    <w:rsid w:val="005E476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inancialStatementPriorYearData">
    <w:name w:val="Financial Statement Prior Year Data"/>
    <w:basedOn w:val="Normal"/>
    <w:rsid w:val="005E4769"/>
    <w:pPr>
      <w:spacing w:after="0" w:line="260" w:lineRule="atLeast"/>
      <w:ind w:left="57" w:right="57"/>
      <w:jc w:val="center"/>
    </w:pPr>
    <w:rPr>
      <w:rFonts w:ascii="Times New Roman" w:eastAsia="Times New Roman" w:hAnsi="Times New Roman"/>
      <w:sz w:val="20"/>
      <w:szCs w:val="20"/>
    </w:rPr>
  </w:style>
  <w:style w:type="paragraph" w:customStyle="1" w:styleId="StyleSAPHeading-Level1Auto">
    <w:name w:val="Style SAP Heading - Level 1 + Auto"/>
    <w:basedOn w:val="SAPHeading-Level1"/>
    <w:rsid w:val="005E4769"/>
    <w:pPr>
      <w:numPr>
        <w:numId w:val="0"/>
      </w:numPr>
      <w:shd w:val="clear" w:color="auto" w:fill="auto"/>
      <w:tabs>
        <w:tab w:val="num" w:pos="1134"/>
      </w:tabs>
      <w:ind w:left="1134" w:right="0" w:hanging="1134"/>
      <w:outlineLvl w:val="9"/>
    </w:pPr>
    <w:rPr>
      <w:bCs/>
    </w:rPr>
  </w:style>
  <w:style w:type="paragraph" w:customStyle="1" w:styleId="CM1">
    <w:name w:val="CM1"/>
    <w:basedOn w:val="Normal"/>
    <w:next w:val="Normal"/>
    <w:rsid w:val="005E4769"/>
    <w:pPr>
      <w:autoSpaceDE w:val="0"/>
      <w:autoSpaceDN w:val="0"/>
      <w:adjustRightInd w:val="0"/>
      <w:spacing w:after="0" w:line="248" w:lineRule="atLeast"/>
    </w:pPr>
    <w:rPr>
      <w:rFonts w:ascii="Swiss 72 1 BT" w:eastAsia="Times New Roman" w:hAnsi="Swiss 72 1 BT"/>
      <w:sz w:val="24"/>
      <w:szCs w:val="24"/>
      <w:lang w:eastAsia="en-AU"/>
    </w:rPr>
  </w:style>
  <w:style w:type="paragraph" w:styleId="EndnoteText">
    <w:name w:val="endnote text"/>
    <w:basedOn w:val="Normal"/>
    <w:link w:val="EndnoteTextChar"/>
    <w:uiPriority w:val="99"/>
    <w:unhideWhenUsed/>
    <w:rsid w:val="005E4769"/>
    <w:pPr>
      <w:spacing w:after="0" w:line="240" w:lineRule="auto"/>
    </w:pPr>
    <w:rPr>
      <w:rFonts w:ascii="Times" w:eastAsia="MS Mincho" w:hAnsi="Times"/>
      <w:sz w:val="20"/>
      <w:szCs w:val="20"/>
    </w:rPr>
  </w:style>
  <w:style w:type="character" w:customStyle="1" w:styleId="EndnoteTextChar">
    <w:name w:val="Endnote Text Char"/>
    <w:basedOn w:val="DefaultParagraphFont"/>
    <w:link w:val="EndnoteText"/>
    <w:uiPriority w:val="99"/>
    <w:rsid w:val="005E4769"/>
    <w:rPr>
      <w:rFonts w:ascii="Times" w:eastAsia="MS Mincho" w:hAnsi="Times"/>
      <w:lang w:eastAsia="en-US"/>
    </w:rPr>
  </w:style>
  <w:style w:type="character" w:styleId="EndnoteReference">
    <w:name w:val="endnote reference"/>
    <w:basedOn w:val="DefaultParagraphFont"/>
    <w:uiPriority w:val="99"/>
    <w:unhideWhenUsed/>
    <w:rsid w:val="005E4769"/>
    <w:rPr>
      <w:vertAlign w:val="superscript"/>
    </w:rPr>
  </w:style>
  <w:style w:type="character" w:styleId="HTMLAcronym">
    <w:name w:val="HTML Acronym"/>
    <w:basedOn w:val="DefaultParagraphFont"/>
    <w:uiPriority w:val="99"/>
    <w:unhideWhenUsed/>
    <w:rsid w:val="005E4769"/>
  </w:style>
  <w:style w:type="paragraph" w:customStyle="1" w:styleId="TableText0">
    <w:name w:val="TableText"/>
    <w:basedOn w:val="Normal"/>
    <w:rsid w:val="005E4769"/>
    <w:pPr>
      <w:keepNext/>
      <w:spacing w:before="20" w:after="20" w:line="240" w:lineRule="auto"/>
    </w:pPr>
    <w:rPr>
      <w:rFonts w:ascii="Arial Narrow" w:eastAsia="Times New Roman" w:hAnsi="Arial Narrow"/>
      <w:color w:val="000000"/>
      <w:sz w:val="20"/>
      <w:szCs w:val="21"/>
      <w:lang w:eastAsia="en-AU"/>
    </w:rPr>
  </w:style>
  <w:style w:type="paragraph" w:customStyle="1" w:styleId="TableHeading">
    <w:name w:val="TableHeading"/>
    <w:basedOn w:val="TableText0"/>
    <w:rsid w:val="005E4769"/>
    <w:rPr>
      <w:b/>
      <w:bCs/>
    </w:rPr>
  </w:style>
  <w:style w:type="paragraph" w:customStyle="1" w:styleId="TableName">
    <w:name w:val="TableName"/>
    <w:basedOn w:val="TableText0"/>
    <w:rsid w:val="005E4769"/>
    <w:pPr>
      <w:tabs>
        <w:tab w:val="left" w:pos="1800"/>
      </w:tabs>
      <w:spacing w:before="120" w:after="120"/>
      <w:ind w:left="1800" w:hanging="1080"/>
    </w:pPr>
    <w:rPr>
      <w:b/>
      <w:bCs/>
      <w:sz w:val="22"/>
    </w:rPr>
  </w:style>
  <w:style w:type="paragraph" w:customStyle="1" w:styleId="Bullet">
    <w:name w:val="Bullet"/>
    <w:basedOn w:val="Normal"/>
    <w:rsid w:val="005E4769"/>
    <w:pPr>
      <w:tabs>
        <w:tab w:val="num" w:pos="747"/>
      </w:tabs>
      <w:spacing w:after="240" w:line="240" w:lineRule="auto"/>
      <w:ind w:left="747" w:hanging="567"/>
    </w:pPr>
    <w:rPr>
      <w:rFonts w:ascii="Times New Roman" w:eastAsia="Times New Roman" w:hAnsi="Times New Roman"/>
      <w:sz w:val="24"/>
      <w:szCs w:val="24"/>
    </w:rPr>
  </w:style>
  <w:style w:type="character" w:customStyle="1" w:styleId="CharChar7">
    <w:name w:val="Char Char7"/>
    <w:basedOn w:val="DefaultParagraphFont"/>
    <w:uiPriority w:val="99"/>
    <w:locked/>
    <w:rsid w:val="005E4769"/>
    <w:rPr>
      <w:rFonts w:ascii="Frutiger LT Std 45 Light" w:hAnsi="Frutiger LT Std 45 Light" w:cs="Frutiger LT Std 45 Light"/>
      <w:color w:val="548DD4"/>
      <w:spacing w:val="5"/>
      <w:kern w:val="28"/>
      <w:sz w:val="28"/>
      <w:szCs w:val="28"/>
      <w:lang w:val="en-AU" w:eastAsia="en-US" w:bidi="ar-SA"/>
    </w:rPr>
  </w:style>
  <w:style w:type="paragraph" w:customStyle="1" w:styleId="LegalBodyText1">
    <w:name w:val="Legal Body Text 1"/>
    <w:basedOn w:val="BodyText"/>
    <w:qFormat/>
    <w:rsid w:val="005E4769"/>
    <w:pPr>
      <w:spacing w:before="120" w:line="240" w:lineRule="auto"/>
    </w:pPr>
    <w:rPr>
      <w:rFonts w:eastAsia="Times New Roman" w:cs="Arial"/>
    </w:rPr>
  </w:style>
  <w:style w:type="paragraph" w:styleId="BodyText">
    <w:name w:val="Body Text"/>
    <w:basedOn w:val="Normal"/>
    <w:link w:val="BodyTextChar"/>
    <w:uiPriority w:val="99"/>
    <w:semiHidden/>
    <w:unhideWhenUsed/>
    <w:rsid w:val="005E4769"/>
    <w:pPr>
      <w:spacing w:after="120"/>
    </w:pPr>
  </w:style>
  <w:style w:type="character" w:customStyle="1" w:styleId="BodyTextChar">
    <w:name w:val="Body Text Char"/>
    <w:basedOn w:val="DefaultParagraphFont"/>
    <w:link w:val="BodyText"/>
    <w:uiPriority w:val="99"/>
    <w:semiHidden/>
    <w:rsid w:val="005E4769"/>
    <w:rPr>
      <w:sz w:val="22"/>
      <w:szCs w:val="22"/>
      <w:lang w:eastAsia="en-US"/>
    </w:rPr>
  </w:style>
  <w:style w:type="character" w:customStyle="1" w:styleId="A3">
    <w:name w:val="A3"/>
    <w:uiPriority w:val="99"/>
    <w:rsid w:val="005E4769"/>
    <w:rPr>
      <w:color w:val="000000"/>
      <w:sz w:val="18"/>
      <w:szCs w:val="18"/>
    </w:rPr>
  </w:style>
  <w:style w:type="paragraph" w:customStyle="1" w:styleId="ShortT0">
    <w:name w:val="ShortT"/>
    <w:basedOn w:val="Normal"/>
    <w:next w:val="Normal"/>
    <w:rsid w:val="005E4769"/>
    <w:pPr>
      <w:spacing w:before="360" w:after="0" w:line="260" w:lineRule="atLeast"/>
    </w:pPr>
    <w:rPr>
      <w:rFonts w:ascii="Times" w:eastAsia="Times New Roman" w:hAnsi="Times"/>
      <w:b/>
      <w:sz w:val="40"/>
      <w:szCs w:val="20"/>
      <w:lang w:eastAsia="en-AU"/>
    </w:rPr>
  </w:style>
  <w:style w:type="character" w:customStyle="1" w:styleId="source">
    <w:name w:val="source"/>
    <w:basedOn w:val="DefaultParagraphFont"/>
    <w:rsid w:val="005E4769"/>
  </w:style>
  <w:style w:type="paragraph" w:styleId="Revision">
    <w:name w:val="Revision"/>
    <w:hidden/>
    <w:uiPriority w:val="99"/>
    <w:semiHidden/>
    <w:rsid w:val="005E4769"/>
    <w:rPr>
      <w:rFonts w:ascii="Times" w:eastAsia="MS Mincho"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95096">
      <w:bodyDiv w:val="1"/>
      <w:marLeft w:val="0"/>
      <w:marRight w:val="0"/>
      <w:marTop w:val="0"/>
      <w:marBottom w:val="0"/>
      <w:divBdr>
        <w:top w:val="none" w:sz="0" w:space="0" w:color="auto"/>
        <w:left w:val="none" w:sz="0" w:space="0" w:color="auto"/>
        <w:bottom w:val="none" w:sz="0" w:space="0" w:color="auto"/>
        <w:right w:val="none" w:sz="0" w:space="0" w:color="auto"/>
      </w:divBdr>
    </w:div>
    <w:div w:id="1411586958">
      <w:bodyDiv w:val="1"/>
      <w:marLeft w:val="0"/>
      <w:marRight w:val="0"/>
      <w:marTop w:val="0"/>
      <w:marBottom w:val="0"/>
      <w:divBdr>
        <w:top w:val="none" w:sz="0" w:space="0" w:color="auto"/>
        <w:left w:val="none" w:sz="0" w:space="0" w:color="auto"/>
        <w:bottom w:val="none" w:sz="0" w:space="0" w:color="auto"/>
        <w:right w:val="none" w:sz="0" w:space="0" w:color="auto"/>
      </w:divBdr>
    </w:div>
    <w:div w:id="16301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F5F43-EA43-4AC3-AA44-8840E5B1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5270F543.dotm</Template>
  <TotalTime>2</TotalTime>
  <Pages>11</Pages>
  <Words>3647</Words>
  <Characters>20793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2014-15 ANNUAL REPORT ENVIRONMENTAL INDICATORS</vt:lpstr>
    </vt:vector>
  </TitlesOfParts>
  <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ANNUAL REPORT ENVIRONMENTAL INDICATORS</dc:title>
  <dc:creator>Department of the Environment and Energy</dc:creator>
  <cp:lastModifiedBy>Durack, Bec</cp:lastModifiedBy>
  <cp:revision>2</cp:revision>
  <dcterms:created xsi:type="dcterms:W3CDTF">2017-03-17T03:14:00Z</dcterms:created>
  <dcterms:modified xsi:type="dcterms:W3CDTF">2017-03-17T03:14:00Z</dcterms:modified>
</cp:coreProperties>
</file>