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2048" w14:textId="77777777" w:rsidR="006B14DB" w:rsidRDefault="006B14DB" w:rsidP="00932861"/>
    <w:p w14:paraId="6B7866D6" w14:textId="77777777" w:rsidR="00BB0B4A" w:rsidRPr="00475854" w:rsidRDefault="00BB0B4A" w:rsidP="00475854">
      <w:pPr>
        <w:spacing w:after="0"/>
        <w:jc w:val="center"/>
        <w:rPr>
          <w:b/>
          <w:sz w:val="16"/>
        </w:rPr>
      </w:pPr>
    </w:p>
    <w:p w14:paraId="050E032D" w14:textId="77777777" w:rsidR="00447E9B" w:rsidRPr="00643390" w:rsidRDefault="00643390" w:rsidP="00475854">
      <w:pPr>
        <w:spacing w:after="0"/>
        <w:jc w:val="center"/>
        <w:rPr>
          <w:b/>
        </w:rPr>
      </w:pPr>
      <w:r w:rsidRPr="00643390">
        <w:rPr>
          <w:b/>
        </w:rPr>
        <w:t>Department of the Environment and Energy</w:t>
      </w:r>
    </w:p>
    <w:p w14:paraId="059C8A53" w14:textId="77777777" w:rsidR="00643390" w:rsidRPr="00643390" w:rsidRDefault="00643390" w:rsidP="00475854">
      <w:pPr>
        <w:spacing w:after="160"/>
        <w:jc w:val="center"/>
        <w:rPr>
          <w:b/>
        </w:rPr>
      </w:pPr>
      <w:bookmarkStart w:id="0" w:name="_GoBack"/>
      <w:r w:rsidRPr="00643390">
        <w:rPr>
          <w:b/>
        </w:rPr>
        <w:t>2016-17 Annual Report Environmental Indicators</w:t>
      </w:r>
      <w:bookmarkEnd w:id="0"/>
    </w:p>
    <w:p w14:paraId="617355BC" w14:textId="77777777" w:rsidR="00081A7A" w:rsidRDefault="00643390" w:rsidP="00475854">
      <w:pPr>
        <w:spacing w:after="120"/>
        <w:rPr>
          <w:sz w:val="20"/>
        </w:rPr>
      </w:pPr>
      <w:r>
        <w:rPr>
          <w:sz w:val="20"/>
        </w:rPr>
        <w:t>The following performance indicators should be read in conjunction with the Department’s Annual Report.</w:t>
      </w:r>
      <w:r w:rsidR="00081A7A">
        <w:rPr>
          <w:sz w:val="20"/>
        </w:rPr>
        <w:t xml:space="preserve"> The supplementary report for the 2016-17 period is the first report to combine data for all national operations. </w:t>
      </w:r>
    </w:p>
    <w:p w14:paraId="20AD075B" w14:textId="77777777" w:rsidR="005C6C27" w:rsidRDefault="005C6C27" w:rsidP="00475854">
      <w:pPr>
        <w:spacing w:after="120"/>
        <w:rPr>
          <w:sz w:val="20"/>
          <w:u w:val="single"/>
        </w:rPr>
      </w:pPr>
      <w:r>
        <w:rPr>
          <w:sz w:val="20"/>
          <w:u w:val="single"/>
        </w:rPr>
        <w:t>Sites and Staffing</w:t>
      </w:r>
    </w:p>
    <w:p w14:paraId="290003C7" w14:textId="77777777" w:rsidR="00955F02" w:rsidRDefault="005C6C27" w:rsidP="001A131C">
      <w:pPr>
        <w:spacing w:after="0"/>
        <w:rPr>
          <w:sz w:val="20"/>
        </w:rPr>
      </w:pPr>
      <w:r>
        <w:rPr>
          <w:sz w:val="20"/>
        </w:rPr>
        <w:t>The Department operates nationally, with office facilities in</w:t>
      </w:r>
      <w:r w:rsidR="00955F02">
        <w:rPr>
          <w:sz w:val="20"/>
        </w:rPr>
        <w:t>;</w:t>
      </w:r>
    </w:p>
    <w:p w14:paraId="009DBB58" w14:textId="77777777" w:rsidR="00955F02" w:rsidRDefault="005C6C27" w:rsidP="001A131C">
      <w:pPr>
        <w:pStyle w:val="ListParagraph"/>
        <w:numPr>
          <w:ilvl w:val="0"/>
          <w:numId w:val="49"/>
        </w:numPr>
        <w:spacing w:after="0"/>
        <w:rPr>
          <w:sz w:val="20"/>
        </w:rPr>
      </w:pPr>
      <w:r w:rsidRPr="00955F02">
        <w:rPr>
          <w:sz w:val="20"/>
        </w:rPr>
        <w:t>Canberra,</w:t>
      </w:r>
      <w:r w:rsidR="00955F02" w:rsidRPr="00955F02">
        <w:rPr>
          <w:sz w:val="20"/>
        </w:rPr>
        <w:t xml:space="preserve"> ACT</w:t>
      </w:r>
    </w:p>
    <w:p w14:paraId="3E28CE79" w14:textId="77777777" w:rsidR="00955F02" w:rsidRDefault="00955F02" w:rsidP="001A131C">
      <w:pPr>
        <w:pStyle w:val="ListParagraph"/>
        <w:numPr>
          <w:ilvl w:val="0"/>
          <w:numId w:val="49"/>
        </w:numPr>
        <w:spacing w:after="0"/>
        <w:rPr>
          <w:sz w:val="20"/>
        </w:rPr>
      </w:pPr>
      <w:r>
        <w:rPr>
          <w:sz w:val="20"/>
        </w:rPr>
        <w:t>Darwin, NT</w:t>
      </w:r>
    </w:p>
    <w:p w14:paraId="3E85D7F1" w14:textId="77777777" w:rsidR="00955F02" w:rsidRDefault="00955F02" w:rsidP="001A131C">
      <w:pPr>
        <w:pStyle w:val="ListParagraph"/>
        <w:numPr>
          <w:ilvl w:val="0"/>
          <w:numId w:val="49"/>
        </w:numPr>
        <w:spacing w:after="0"/>
        <w:rPr>
          <w:sz w:val="20"/>
        </w:rPr>
      </w:pPr>
      <w:r>
        <w:rPr>
          <w:sz w:val="20"/>
        </w:rPr>
        <w:t>Jabiru, NT</w:t>
      </w:r>
    </w:p>
    <w:p w14:paraId="2FBA11A4" w14:textId="77777777" w:rsidR="00955F02" w:rsidRPr="00955F02" w:rsidRDefault="006334D1" w:rsidP="001A131C">
      <w:pPr>
        <w:pStyle w:val="ListParagraph"/>
        <w:numPr>
          <w:ilvl w:val="0"/>
          <w:numId w:val="49"/>
        </w:numPr>
        <w:spacing w:after="0"/>
        <w:rPr>
          <w:sz w:val="20"/>
        </w:rPr>
      </w:pPr>
      <w:r>
        <w:rPr>
          <w:sz w:val="20"/>
        </w:rPr>
        <w:t>Kingston, TAS</w:t>
      </w:r>
    </w:p>
    <w:p w14:paraId="1043994C" w14:textId="77777777" w:rsidR="006334D1" w:rsidRDefault="005C6C27" w:rsidP="001A131C">
      <w:pPr>
        <w:spacing w:after="0"/>
        <w:rPr>
          <w:sz w:val="20"/>
        </w:rPr>
      </w:pPr>
      <w:r>
        <w:rPr>
          <w:sz w:val="20"/>
        </w:rPr>
        <w:t>The Department also has laboratories and workshops in</w:t>
      </w:r>
      <w:r w:rsidR="006334D1">
        <w:rPr>
          <w:sz w:val="20"/>
        </w:rPr>
        <w:t>;</w:t>
      </w:r>
    </w:p>
    <w:p w14:paraId="0C5CAE7C" w14:textId="77777777" w:rsidR="006334D1" w:rsidRDefault="006334D1" w:rsidP="001A131C">
      <w:pPr>
        <w:pStyle w:val="ListParagraph"/>
        <w:numPr>
          <w:ilvl w:val="0"/>
          <w:numId w:val="49"/>
        </w:numPr>
        <w:spacing w:after="0"/>
        <w:rPr>
          <w:sz w:val="20"/>
        </w:rPr>
      </w:pPr>
      <w:r>
        <w:rPr>
          <w:sz w:val="20"/>
        </w:rPr>
        <w:t>Darwin, NT</w:t>
      </w:r>
    </w:p>
    <w:p w14:paraId="5A9E9586" w14:textId="77777777" w:rsidR="00D10086" w:rsidRDefault="00D10086" w:rsidP="001A131C">
      <w:pPr>
        <w:pStyle w:val="ListParagraph"/>
        <w:numPr>
          <w:ilvl w:val="0"/>
          <w:numId w:val="49"/>
        </w:numPr>
        <w:spacing w:after="0"/>
        <w:rPr>
          <w:sz w:val="20"/>
        </w:rPr>
      </w:pPr>
      <w:r>
        <w:rPr>
          <w:sz w:val="20"/>
        </w:rPr>
        <w:t>Jabiru, NT</w:t>
      </w:r>
    </w:p>
    <w:p w14:paraId="10DB24A7" w14:textId="77777777" w:rsidR="006334D1" w:rsidRDefault="006334D1" w:rsidP="001A131C">
      <w:pPr>
        <w:pStyle w:val="ListParagraph"/>
        <w:numPr>
          <w:ilvl w:val="0"/>
          <w:numId w:val="49"/>
        </w:numPr>
        <w:spacing w:after="0"/>
        <w:rPr>
          <w:sz w:val="20"/>
        </w:rPr>
      </w:pPr>
      <w:r>
        <w:rPr>
          <w:sz w:val="20"/>
        </w:rPr>
        <w:t>Hobart Port, TAS</w:t>
      </w:r>
    </w:p>
    <w:p w14:paraId="4219CE85" w14:textId="77777777" w:rsidR="006334D1" w:rsidRPr="006334D1" w:rsidRDefault="006334D1" w:rsidP="00866216">
      <w:pPr>
        <w:pStyle w:val="ListParagraph"/>
        <w:numPr>
          <w:ilvl w:val="0"/>
          <w:numId w:val="49"/>
        </w:numPr>
        <w:spacing w:after="120"/>
        <w:rPr>
          <w:sz w:val="20"/>
        </w:rPr>
      </w:pPr>
      <w:r w:rsidRPr="006334D1">
        <w:rPr>
          <w:sz w:val="20"/>
        </w:rPr>
        <w:t>Kingston, TAS</w:t>
      </w:r>
    </w:p>
    <w:p w14:paraId="7743CA60" w14:textId="77777777" w:rsidR="005C6C27" w:rsidRDefault="0091294C" w:rsidP="001A131C">
      <w:pPr>
        <w:spacing w:after="120"/>
        <w:rPr>
          <w:sz w:val="20"/>
        </w:rPr>
      </w:pPr>
      <w:r>
        <w:rPr>
          <w:sz w:val="20"/>
        </w:rPr>
        <w:t>The total area of these premises is 87,999m</w:t>
      </w:r>
      <w:r w:rsidRPr="0091294C">
        <w:rPr>
          <w:sz w:val="20"/>
          <w:vertAlign w:val="superscript"/>
        </w:rPr>
        <w:t>2</w:t>
      </w:r>
      <w:r>
        <w:rPr>
          <w:sz w:val="20"/>
        </w:rPr>
        <w:t xml:space="preserve">. </w:t>
      </w:r>
      <w:r w:rsidR="005C6C27">
        <w:rPr>
          <w:sz w:val="20"/>
        </w:rPr>
        <w:t xml:space="preserve">Antarctic operations are based out of </w:t>
      </w:r>
      <w:r w:rsidR="00D65A35">
        <w:rPr>
          <w:sz w:val="20"/>
        </w:rPr>
        <w:t>one research station</w:t>
      </w:r>
      <w:r w:rsidR="005C6C27">
        <w:rPr>
          <w:sz w:val="20"/>
        </w:rPr>
        <w:t xml:space="preserve"> </w:t>
      </w:r>
      <w:r w:rsidR="00D65A35">
        <w:rPr>
          <w:sz w:val="20"/>
        </w:rPr>
        <w:t>on Macquarie Island and three Antarctic research stations (Casey, Davis and Mawson)</w:t>
      </w:r>
      <w:r w:rsidR="005C6C27">
        <w:rPr>
          <w:sz w:val="20"/>
        </w:rPr>
        <w:t>.</w:t>
      </w:r>
    </w:p>
    <w:p w14:paraId="7EB7BB7C" w14:textId="77777777" w:rsidR="002631AB" w:rsidRDefault="002631AB" w:rsidP="001A131C">
      <w:pPr>
        <w:spacing w:after="120"/>
        <w:rPr>
          <w:sz w:val="20"/>
        </w:rPr>
      </w:pPr>
      <w:r>
        <w:rPr>
          <w:sz w:val="20"/>
        </w:rPr>
        <w:t>The Department also has a number of staff located in other states and territories as well as overseas. The environmental management and reporting for these sites is completed by the organisation/s that are responsible for these locations.</w:t>
      </w:r>
    </w:p>
    <w:p w14:paraId="69A07290" w14:textId="77777777" w:rsidR="00420987" w:rsidRDefault="00D10086" w:rsidP="00475854">
      <w:pPr>
        <w:rPr>
          <w:sz w:val="20"/>
        </w:rPr>
      </w:pPr>
      <w:r w:rsidRPr="00F82D69">
        <w:rPr>
          <w:sz w:val="20"/>
        </w:rPr>
        <w:t>During</w:t>
      </w:r>
      <w:r w:rsidR="00495855" w:rsidRPr="00F82D69">
        <w:rPr>
          <w:sz w:val="20"/>
        </w:rPr>
        <w:t xml:space="preserve"> 2016-17</w:t>
      </w:r>
      <w:r w:rsidRPr="00F82D69">
        <w:rPr>
          <w:sz w:val="20"/>
        </w:rPr>
        <w:t xml:space="preserve">, a </w:t>
      </w:r>
      <w:r w:rsidR="00495855" w:rsidRPr="00F82D69">
        <w:rPr>
          <w:sz w:val="20"/>
        </w:rPr>
        <w:t>Machinery of Government change</w:t>
      </w:r>
      <w:r w:rsidRPr="00F82D69">
        <w:rPr>
          <w:sz w:val="20"/>
        </w:rPr>
        <w:t xml:space="preserve"> resulted in the responsibility for energy policy transferring to the portfolio. The net effect of this is a small increase in staff (FTE) numbers.</w:t>
      </w:r>
    </w:p>
    <w:p w14:paraId="4B57FB84" w14:textId="77777777" w:rsidR="00D65A35" w:rsidRDefault="00D65A35" w:rsidP="00475854">
      <w:pPr>
        <w:rPr>
          <w:sz w:val="20"/>
        </w:rPr>
      </w:pPr>
      <w:r>
        <w:rPr>
          <w:sz w:val="20"/>
        </w:rPr>
        <w:t xml:space="preserve">The total number of staff (FTE) in </w:t>
      </w:r>
      <w:r w:rsidR="0091294C">
        <w:rPr>
          <w:sz w:val="20"/>
        </w:rPr>
        <w:t>Australian-based</w:t>
      </w:r>
      <w:r>
        <w:rPr>
          <w:sz w:val="20"/>
        </w:rPr>
        <w:t xml:space="preserve"> </w:t>
      </w:r>
      <w:r w:rsidR="00302815">
        <w:rPr>
          <w:sz w:val="20"/>
        </w:rPr>
        <w:t>offices for the 2016-17 period was</w:t>
      </w:r>
      <w:r w:rsidR="006334D1">
        <w:rPr>
          <w:sz w:val="20"/>
        </w:rPr>
        <w:t xml:space="preserve"> 1,967</w:t>
      </w:r>
      <w:r>
        <w:rPr>
          <w:sz w:val="20"/>
        </w:rPr>
        <w:t xml:space="preserve">. The total number of staff (FTE) involved in Antarctic operations for the 2016-17 period </w:t>
      </w:r>
      <w:r w:rsidR="00302815">
        <w:rPr>
          <w:sz w:val="20"/>
        </w:rPr>
        <w:t xml:space="preserve">was </w:t>
      </w:r>
      <w:r>
        <w:rPr>
          <w:sz w:val="20"/>
        </w:rPr>
        <w:t>151.</w:t>
      </w:r>
    </w:p>
    <w:p w14:paraId="0958E4CD" w14:textId="77777777" w:rsidR="00D65A35" w:rsidRDefault="00D65A35" w:rsidP="00475854">
      <w:pPr>
        <w:spacing w:after="120"/>
        <w:rPr>
          <w:sz w:val="20"/>
          <w:u w:val="single"/>
        </w:rPr>
      </w:pPr>
      <w:r>
        <w:rPr>
          <w:sz w:val="20"/>
          <w:u w:val="single"/>
        </w:rPr>
        <w:t>Environmental Management</w:t>
      </w:r>
    </w:p>
    <w:p w14:paraId="324E4AE4" w14:textId="77777777" w:rsidR="00837410" w:rsidRDefault="00837410" w:rsidP="001A131C">
      <w:pPr>
        <w:spacing w:after="120"/>
        <w:rPr>
          <w:sz w:val="20"/>
        </w:rPr>
      </w:pPr>
      <w:r>
        <w:rPr>
          <w:sz w:val="20"/>
        </w:rPr>
        <w:t xml:space="preserve">Due to the diverse nature of the Department’s operations the day-to-day management of environmental performance is </w:t>
      </w:r>
      <w:r w:rsidR="002058F8">
        <w:rPr>
          <w:sz w:val="20"/>
        </w:rPr>
        <w:t>completed</w:t>
      </w:r>
      <w:r>
        <w:rPr>
          <w:sz w:val="20"/>
        </w:rPr>
        <w:t xml:space="preserve"> at a local level.</w:t>
      </w:r>
    </w:p>
    <w:p w14:paraId="009BCC12" w14:textId="77777777" w:rsidR="00D65A35" w:rsidRDefault="003E4003" w:rsidP="001A131C">
      <w:pPr>
        <w:spacing w:after="120"/>
        <w:rPr>
          <w:sz w:val="20"/>
        </w:rPr>
      </w:pPr>
      <w:r>
        <w:rPr>
          <w:sz w:val="20"/>
        </w:rPr>
        <w:t>The Department’s Environmental Management System (EMS) provides the framework for the Department to plan, implement and monitor measures to improve environmental performance</w:t>
      </w:r>
      <w:r w:rsidR="00837410">
        <w:rPr>
          <w:sz w:val="20"/>
        </w:rPr>
        <w:t xml:space="preserve"> in Canberra-based offices</w:t>
      </w:r>
      <w:r>
        <w:rPr>
          <w:sz w:val="20"/>
        </w:rPr>
        <w:t xml:space="preserve">. The EMS allows the Department to </w:t>
      </w:r>
      <w:r w:rsidR="000E2B72">
        <w:rPr>
          <w:sz w:val="20"/>
        </w:rPr>
        <w:t xml:space="preserve">strategically </w:t>
      </w:r>
      <w:r>
        <w:rPr>
          <w:sz w:val="20"/>
        </w:rPr>
        <w:t>approach the reduction of operational environmental impacts.</w:t>
      </w:r>
    </w:p>
    <w:p w14:paraId="73F08DB3" w14:textId="77777777" w:rsidR="003E4003" w:rsidRDefault="003E4003" w:rsidP="001A131C">
      <w:pPr>
        <w:spacing w:after="120"/>
        <w:rPr>
          <w:sz w:val="20"/>
        </w:rPr>
      </w:pPr>
      <w:r>
        <w:rPr>
          <w:sz w:val="20"/>
        </w:rPr>
        <w:t>In the 2016-17 period the Australian Antarctic Division</w:t>
      </w:r>
      <w:r w:rsidR="003048B1">
        <w:rPr>
          <w:sz w:val="20"/>
        </w:rPr>
        <w:t>, based in Tasmania,</w:t>
      </w:r>
      <w:r>
        <w:rPr>
          <w:sz w:val="20"/>
        </w:rPr>
        <w:t xml:space="preserve"> retained certification of its Environmental Management System to the international standard ISO 14001:2004. </w:t>
      </w:r>
    </w:p>
    <w:p w14:paraId="6E7910F3" w14:textId="77777777" w:rsidR="00837410" w:rsidRDefault="003048B1" w:rsidP="001A131C">
      <w:pPr>
        <w:spacing w:after="120"/>
        <w:rPr>
          <w:sz w:val="20"/>
        </w:rPr>
      </w:pPr>
      <w:r>
        <w:rPr>
          <w:sz w:val="20"/>
        </w:rPr>
        <w:t>Although no dedicated Environmental Management System is in place at</w:t>
      </w:r>
      <w:r w:rsidRPr="003048B1">
        <w:rPr>
          <w:sz w:val="20"/>
        </w:rPr>
        <w:t xml:space="preserve"> </w:t>
      </w:r>
      <w:r>
        <w:rPr>
          <w:sz w:val="20"/>
        </w:rPr>
        <w:t xml:space="preserve">offices and laboratories located in Darwin and Jabiru, operations are conducted in a manner consistent with the Department’s aim to minimise the ecological impact on the </w:t>
      </w:r>
      <w:r w:rsidR="00D10086">
        <w:rPr>
          <w:sz w:val="20"/>
        </w:rPr>
        <w:t>e</w:t>
      </w:r>
      <w:r>
        <w:rPr>
          <w:sz w:val="20"/>
        </w:rPr>
        <w:t>nvironment.</w:t>
      </w:r>
    </w:p>
    <w:p w14:paraId="358C287F" w14:textId="77777777" w:rsidR="002631AB" w:rsidRDefault="002631AB" w:rsidP="00475854">
      <w:pPr>
        <w:rPr>
          <w:sz w:val="20"/>
        </w:rPr>
      </w:pPr>
      <w:r>
        <w:rPr>
          <w:sz w:val="20"/>
        </w:rPr>
        <w:t xml:space="preserve">Staff based in other states and </w:t>
      </w:r>
      <w:r w:rsidR="007A49FA">
        <w:rPr>
          <w:sz w:val="20"/>
        </w:rPr>
        <w:t>territories</w:t>
      </w:r>
      <w:r>
        <w:rPr>
          <w:sz w:val="20"/>
        </w:rPr>
        <w:t xml:space="preserve"> and overseas endeavour to operate to meet environmental best practice wherever practicable.</w:t>
      </w:r>
    </w:p>
    <w:p w14:paraId="5CFA7178" w14:textId="77777777" w:rsidR="00D10086" w:rsidRDefault="00D10086" w:rsidP="00475854">
      <w:pPr>
        <w:spacing w:after="120"/>
        <w:rPr>
          <w:sz w:val="20"/>
          <w:u w:val="single"/>
        </w:rPr>
      </w:pPr>
    </w:p>
    <w:p w14:paraId="0EDFE090" w14:textId="77777777" w:rsidR="00D10086" w:rsidRDefault="00D10086" w:rsidP="00475854">
      <w:pPr>
        <w:spacing w:after="120"/>
        <w:rPr>
          <w:sz w:val="20"/>
          <w:u w:val="single"/>
        </w:rPr>
      </w:pPr>
    </w:p>
    <w:p w14:paraId="3DB6B13B" w14:textId="77777777" w:rsidR="00D10086" w:rsidRDefault="00D10086" w:rsidP="00475854">
      <w:pPr>
        <w:spacing w:after="120"/>
        <w:rPr>
          <w:sz w:val="20"/>
          <w:u w:val="single"/>
        </w:rPr>
      </w:pPr>
    </w:p>
    <w:p w14:paraId="24B9F1C3" w14:textId="77777777" w:rsidR="00D10086" w:rsidRDefault="00D10086" w:rsidP="00475854">
      <w:pPr>
        <w:spacing w:after="120"/>
        <w:rPr>
          <w:sz w:val="20"/>
          <w:u w:val="single"/>
        </w:rPr>
      </w:pPr>
    </w:p>
    <w:p w14:paraId="0C7C8AB4" w14:textId="77777777" w:rsidR="00D23CA5" w:rsidRDefault="00D23CA5" w:rsidP="00475854">
      <w:pPr>
        <w:spacing w:after="120"/>
        <w:rPr>
          <w:sz w:val="20"/>
          <w:u w:val="single"/>
        </w:rPr>
      </w:pPr>
      <w:r w:rsidRPr="003530AF">
        <w:rPr>
          <w:sz w:val="20"/>
          <w:u w:val="single"/>
        </w:rPr>
        <w:t>Energy</w:t>
      </w:r>
    </w:p>
    <w:p w14:paraId="20E1CC19" w14:textId="77777777" w:rsidR="00D51DE3" w:rsidRDefault="0094079D" w:rsidP="001A131C">
      <w:pPr>
        <w:spacing w:after="120"/>
        <w:rPr>
          <w:sz w:val="20"/>
        </w:rPr>
      </w:pPr>
      <w:r>
        <w:rPr>
          <w:sz w:val="20"/>
        </w:rPr>
        <w:t xml:space="preserve">Electricity and gas usage for national operations increased in the 2016-17 period, and usage per person also increased. </w:t>
      </w:r>
      <w:r w:rsidR="00D51DE3">
        <w:rPr>
          <w:sz w:val="20"/>
        </w:rPr>
        <w:t>Electricity usage in the 2016-17 period equates to 268 MJ/m</w:t>
      </w:r>
      <w:r w:rsidR="00D51DE3" w:rsidRPr="00D51DE3">
        <w:rPr>
          <w:sz w:val="20"/>
          <w:vertAlign w:val="superscript"/>
        </w:rPr>
        <w:t>2</w:t>
      </w:r>
      <w:r w:rsidR="00D51DE3">
        <w:rPr>
          <w:sz w:val="20"/>
        </w:rPr>
        <w:t xml:space="preserve">. </w:t>
      </w:r>
      <w:r>
        <w:rPr>
          <w:sz w:val="20"/>
        </w:rPr>
        <w:t>The Department continues to promote energy efficiency practices to staff and installs energy saving devices wherever practicable.</w:t>
      </w:r>
    </w:p>
    <w:p w14:paraId="115F911C" w14:textId="77777777" w:rsidR="00D51DE3" w:rsidRDefault="00044E44" w:rsidP="001A131C">
      <w:pPr>
        <w:spacing w:after="120"/>
        <w:rPr>
          <w:sz w:val="20"/>
        </w:rPr>
      </w:pPr>
      <w:r>
        <w:rPr>
          <w:sz w:val="20"/>
        </w:rPr>
        <w:t xml:space="preserve">Continued energy practices throughout the period, including test and tagging and condition reports of electrical equipment help to ensure efficient use of electricity. </w:t>
      </w:r>
      <w:r w:rsidR="00D51DE3">
        <w:rPr>
          <w:sz w:val="20"/>
        </w:rPr>
        <w:t>Canberra-based sites</w:t>
      </w:r>
      <w:r>
        <w:rPr>
          <w:sz w:val="20"/>
        </w:rPr>
        <w:t xml:space="preserve"> also</w:t>
      </w:r>
      <w:r w:rsidR="00D51DE3">
        <w:rPr>
          <w:sz w:val="20"/>
        </w:rPr>
        <w:t xml:space="preserve"> continued to purchase 100% Green Power in the 2016-17 period to offset greenhouse gas emissions. </w:t>
      </w:r>
    </w:p>
    <w:p w14:paraId="1A4E913A" w14:textId="77777777" w:rsidR="00044E44" w:rsidRDefault="00044E44" w:rsidP="001A131C">
      <w:pPr>
        <w:spacing w:after="120"/>
        <w:rPr>
          <w:sz w:val="20"/>
        </w:rPr>
      </w:pPr>
      <w:r>
        <w:rPr>
          <w:sz w:val="20"/>
        </w:rPr>
        <w:t xml:space="preserve">The 373 kW solar power system operating at the Department’s Kingston premises produced 1,433,026 MJ of renewable energy. This renewable energy </w:t>
      </w:r>
      <w:r w:rsidR="00EE2E29">
        <w:rPr>
          <w:sz w:val="20"/>
        </w:rPr>
        <w:t xml:space="preserve">directly contributes to the Tasmanian power network. </w:t>
      </w:r>
    </w:p>
    <w:p w14:paraId="53261E6F" w14:textId="77777777" w:rsidR="00044E44" w:rsidRPr="00365D73" w:rsidRDefault="00EE2E29" w:rsidP="001A131C">
      <w:pPr>
        <w:spacing w:after="120"/>
        <w:rPr>
          <w:sz w:val="20"/>
        </w:rPr>
      </w:pPr>
      <w:r w:rsidRPr="00365D73">
        <w:rPr>
          <w:sz w:val="20"/>
        </w:rPr>
        <w:t>Antarctic operations reported an increase in energy use, however due to the increased number of expeditioners’</w:t>
      </w:r>
      <w:r w:rsidR="00D10086">
        <w:rPr>
          <w:sz w:val="20"/>
        </w:rPr>
        <w:t>, the</w:t>
      </w:r>
      <w:r w:rsidRPr="00365D73">
        <w:rPr>
          <w:sz w:val="20"/>
        </w:rPr>
        <w:t xml:space="preserve"> usage per person in the 2016-17 period remained stable. Environmental training is provided by the Australian Antarctic Division to all expeditioners, and energy efficient behaviour is promoted across all stations.</w:t>
      </w:r>
    </w:p>
    <w:p w14:paraId="786A6349" w14:textId="77777777" w:rsidR="00EE2E29" w:rsidRPr="00365D73" w:rsidRDefault="00EE2E29" w:rsidP="009A5E3F">
      <w:pPr>
        <w:spacing w:after="160"/>
        <w:rPr>
          <w:sz w:val="20"/>
        </w:rPr>
      </w:pPr>
      <w:r w:rsidRPr="00365D73">
        <w:rPr>
          <w:sz w:val="20"/>
        </w:rPr>
        <w:t>The decrease in marine diesel oil used in the 2016-17 period can be attributed to favourable sea conditions, resulting in less ice breaking</w:t>
      </w:r>
      <w:r w:rsidR="00365D73" w:rsidRPr="00365D73">
        <w:rPr>
          <w:sz w:val="20"/>
        </w:rPr>
        <w:t xml:space="preserve"> by vessels. The increase in aircraft fuel used during the period is a reflection of the changing nature of the Australian Antarctic Division’s operations, including the use of the Royal Australian Air Force (RAAF) C17-A Globemaster III Aircraft and the ongoing use of the Airbus A319 to transport Australian Antarctic Program personnel and to support other National Antarctic Programs.</w:t>
      </w:r>
    </w:p>
    <w:p w14:paraId="246FD4FE" w14:textId="77777777" w:rsidR="00D23CA5" w:rsidRDefault="00D23CA5" w:rsidP="009A5E3F">
      <w:pPr>
        <w:spacing w:after="60"/>
        <w:rPr>
          <w:sz w:val="20"/>
          <w:u w:val="single"/>
        </w:rPr>
      </w:pPr>
      <w:r w:rsidRPr="00AD448C">
        <w:rPr>
          <w:sz w:val="20"/>
          <w:u w:val="single"/>
        </w:rPr>
        <w:t>Water</w:t>
      </w:r>
    </w:p>
    <w:p w14:paraId="714AD648" w14:textId="3EE2F9BB" w:rsidR="00F0650D" w:rsidRPr="00AD448C" w:rsidRDefault="00BB0B4A" w:rsidP="001A131C">
      <w:pPr>
        <w:spacing w:after="120"/>
        <w:rPr>
          <w:sz w:val="20"/>
        </w:rPr>
      </w:pPr>
      <w:r>
        <w:rPr>
          <w:sz w:val="20"/>
        </w:rPr>
        <w:t>Due to the meter</w:t>
      </w:r>
      <w:r w:rsidR="00F82D69">
        <w:rPr>
          <w:sz w:val="20"/>
        </w:rPr>
        <w:t xml:space="preserve">ing </w:t>
      </w:r>
      <w:r>
        <w:rPr>
          <w:sz w:val="20"/>
        </w:rPr>
        <w:t xml:space="preserve">system at the Nishi building and the type of services </w:t>
      </w:r>
      <w:r w:rsidR="00C11E34">
        <w:rPr>
          <w:sz w:val="20"/>
        </w:rPr>
        <w:t>available</w:t>
      </w:r>
      <w:r>
        <w:rPr>
          <w:sz w:val="20"/>
        </w:rPr>
        <w:t xml:space="preserve"> at the</w:t>
      </w:r>
      <w:r>
        <w:rPr>
          <w:sz w:val="20"/>
        </w:rPr>
        <w:br/>
        <w:t>Jabiru Field Station</w:t>
      </w:r>
      <w:r w:rsidR="00F82D69">
        <w:rPr>
          <w:sz w:val="20"/>
        </w:rPr>
        <w:t>,</w:t>
      </w:r>
      <w:r>
        <w:rPr>
          <w:sz w:val="20"/>
        </w:rPr>
        <w:t xml:space="preserve"> water consumption figures </w:t>
      </w:r>
      <w:r w:rsidR="00F7545F">
        <w:rPr>
          <w:sz w:val="20"/>
        </w:rPr>
        <w:t xml:space="preserve">for the 2016-17 period </w:t>
      </w:r>
      <w:r>
        <w:rPr>
          <w:sz w:val="20"/>
        </w:rPr>
        <w:t>are unavailable</w:t>
      </w:r>
      <w:r w:rsidR="00C0280B">
        <w:rPr>
          <w:sz w:val="20"/>
        </w:rPr>
        <w:t xml:space="preserve"> for these locations</w:t>
      </w:r>
      <w:r>
        <w:rPr>
          <w:sz w:val="20"/>
        </w:rPr>
        <w:t xml:space="preserve">. </w:t>
      </w:r>
    </w:p>
    <w:p w14:paraId="5F0B8955" w14:textId="77777777" w:rsidR="00AD448C" w:rsidRPr="00AD448C" w:rsidRDefault="00AD448C" w:rsidP="009A5E3F">
      <w:pPr>
        <w:spacing w:after="160"/>
        <w:rPr>
          <w:sz w:val="20"/>
          <w:u w:val="single"/>
        </w:rPr>
      </w:pPr>
      <w:r w:rsidRPr="00365D73">
        <w:rPr>
          <w:sz w:val="20"/>
        </w:rPr>
        <w:t xml:space="preserve">Antarctic operations reported an increase in </w:t>
      </w:r>
      <w:r>
        <w:rPr>
          <w:sz w:val="20"/>
        </w:rPr>
        <w:t>water consumption</w:t>
      </w:r>
      <w:r w:rsidRPr="00365D73">
        <w:rPr>
          <w:sz w:val="20"/>
        </w:rPr>
        <w:t>, however due to the increased number of expeditioners’</w:t>
      </w:r>
      <w:r w:rsidR="00D10086">
        <w:rPr>
          <w:sz w:val="20"/>
        </w:rPr>
        <w:t>, the</w:t>
      </w:r>
      <w:r w:rsidRPr="00365D73">
        <w:rPr>
          <w:sz w:val="20"/>
        </w:rPr>
        <w:t xml:space="preserve"> usage per person in the 2016-17 period remained stable.</w:t>
      </w:r>
    </w:p>
    <w:p w14:paraId="58A06169" w14:textId="77777777" w:rsidR="008554AD" w:rsidRDefault="008554AD" w:rsidP="009A5E3F">
      <w:pPr>
        <w:spacing w:after="60"/>
        <w:rPr>
          <w:sz w:val="20"/>
          <w:u w:val="single"/>
        </w:rPr>
      </w:pPr>
      <w:r w:rsidRPr="00B852B3">
        <w:rPr>
          <w:sz w:val="20"/>
          <w:u w:val="single"/>
        </w:rPr>
        <w:t>Transport</w:t>
      </w:r>
    </w:p>
    <w:p w14:paraId="1BC5E9B0" w14:textId="77777777" w:rsidR="00B852B3" w:rsidRPr="00B852B3" w:rsidRDefault="001C5907" w:rsidP="001A131C">
      <w:pPr>
        <w:spacing w:after="120"/>
        <w:rPr>
          <w:sz w:val="20"/>
        </w:rPr>
      </w:pPr>
      <w:r>
        <w:rPr>
          <w:sz w:val="20"/>
        </w:rPr>
        <w:t>The total number of d</w:t>
      </w:r>
      <w:r w:rsidR="00D71674">
        <w:rPr>
          <w:sz w:val="20"/>
        </w:rPr>
        <w:t xml:space="preserve">epartmental fleet vehicles </w:t>
      </w:r>
      <w:r>
        <w:rPr>
          <w:sz w:val="20"/>
        </w:rPr>
        <w:t>decreased in the 2016-17 period. The amount of diesel, unleaded and E10 fuel used also decreased significantly.</w:t>
      </w:r>
    </w:p>
    <w:p w14:paraId="12A2D809" w14:textId="77777777" w:rsidR="001C5907" w:rsidRPr="001C5907" w:rsidRDefault="001C5907" w:rsidP="009A5E3F">
      <w:pPr>
        <w:spacing w:after="160"/>
        <w:rPr>
          <w:sz w:val="20"/>
        </w:rPr>
      </w:pPr>
      <w:r w:rsidRPr="001C5907">
        <w:rPr>
          <w:sz w:val="20"/>
        </w:rPr>
        <w:t xml:space="preserve">The total distance travelled by departmental fleet vehicles in the 2016-17 period was 138,801 km. </w:t>
      </w:r>
    </w:p>
    <w:p w14:paraId="0C46959C" w14:textId="77777777" w:rsidR="00D23CA5" w:rsidRDefault="00BF7508" w:rsidP="009A5E3F">
      <w:pPr>
        <w:spacing w:after="60"/>
        <w:rPr>
          <w:sz w:val="20"/>
          <w:u w:val="single"/>
        </w:rPr>
      </w:pPr>
      <w:r w:rsidRPr="00BF7508">
        <w:rPr>
          <w:sz w:val="20"/>
          <w:u w:val="single"/>
        </w:rPr>
        <w:t>R</w:t>
      </w:r>
      <w:r w:rsidR="00D23CA5" w:rsidRPr="00BF7508">
        <w:rPr>
          <w:sz w:val="20"/>
          <w:u w:val="single"/>
        </w:rPr>
        <w:t>esource Efficiency and Waste</w:t>
      </w:r>
    </w:p>
    <w:p w14:paraId="0AE627F7" w14:textId="29D72CEB" w:rsidR="00D10086" w:rsidRDefault="00C11E34" w:rsidP="001A131C">
      <w:pPr>
        <w:spacing w:after="120"/>
        <w:rPr>
          <w:sz w:val="20"/>
          <w:highlight w:val="yellow"/>
        </w:rPr>
      </w:pPr>
      <w:r w:rsidRPr="00F55ACF">
        <w:rPr>
          <w:sz w:val="20"/>
        </w:rPr>
        <w:t>Due to the type of services available at the Jabiru Field Station</w:t>
      </w:r>
      <w:r w:rsidR="00695EDD" w:rsidRPr="00F55ACF">
        <w:rPr>
          <w:sz w:val="20"/>
        </w:rPr>
        <w:t>,</w:t>
      </w:r>
      <w:r w:rsidR="00C0280B" w:rsidRPr="00F55ACF">
        <w:rPr>
          <w:sz w:val="20"/>
        </w:rPr>
        <w:t xml:space="preserve"> waste figures are not available for this location. </w:t>
      </w:r>
      <w:r w:rsidR="00647850" w:rsidRPr="009B7105">
        <w:rPr>
          <w:sz w:val="20"/>
        </w:rPr>
        <w:t>Waste data for the department’s</w:t>
      </w:r>
      <w:r w:rsidR="00D10086" w:rsidRPr="009B7105">
        <w:rPr>
          <w:sz w:val="20"/>
        </w:rPr>
        <w:t xml:space="preserve"> 51 Allara Street tenancy </w:t>
      </w:r>
      <w:r w:rsidR="00647850" w:rsidRPr="009B7105">
        <w:rPr>
          <w:sz w:val="20"/>
        </w:rPr>
        <w:t>was not available</w:t>
      </w:r>
      <w:r w:rsidR="00D10086" w:rsidRPr="009B7105">
        <w:rPr>
          <w:sz w:val="20"/>
        </w:rPr>
        <w:t xml:space="preserve"> at the time of this report being </w:t>
      </w:r>
      <w:r w:rsidR="00C0280B" w:rsidRPr="009B7105">
        <w:rPr>
          <w:sz w:val="20"/>
        </w:rPr>
        <w:t xml:space="preserve">lodged. </w:t>
      </w:r>
    </w:p>
    <w:p w14:paraId="5ED3EBC7" w14:textId="77777777" w:rsidR="00BF7508" w:rsidRDefault="00BF7508" w:rsidP="001A131C">
      <w:pPr>
        <w:spacing w:after="120"/>
        <w:rPr>
          <w:sz w:val="20"/>
        </w:rPr>
      </w:pPr>
      <w:r>
        <w:rPr>
          <w:sz w:val="20"/>
        </w:rPr>
        <w:t xml:space="preserve">All copy paper purchased by the Department in the 2016-17 period for national operations was made from post-consumer recycled content. Battery and other resource recycling facilities are also made available where practicable. </w:t>
      </w:r>
    </w:p>
    <w:p w14:paraId="030911A8" w14:textId="77777777" w:rsidR="00BF7508" w:rsidRDefault="00BF7508" w:rsidP="001A131C">
      <w:pPr>
        <w:spacing w:after="120"/>
        <w:rPr>
          <w:sz w:val="20"/>
        </w:rPr>
      </w:pPr>
      <w:r>
        <w:rPr>
          <w:sz w:val="20"/>
        </w:rPr>
        <w:t>Canberra-based sites continue to participate in the ACT Smart Office Recycling Program.</w:t>
      </w:r>
    </w:p>
    <w:p w14:paraId="0DF6FDC7" w14:textId="77777777" w:rsidR="00BF7508" w:rsidRDefault="00BF7508" w:rsidP="001A131C">
      <w:pPr>
        <w:spacing w:after="120"/>
        <w:rPr>
          <w:sz w:val="20"/>
        </w:rPr>
      </w:pPr>
      <w:r>
        <w:rPr>
          <w:sz w:val="20"/>
        </w:rPr>
        <w:t>Wastage figures from Antarctic operations can vary greatly dependent upon the type of works occurring. This is reflected in the data for the 2016-17 period with liquid waste returned to Australia increasing by 148.9% and all other wastage types decreasing.</w:t>
      </w:r>
    </w:p>
    <w:p w14:paraId="5772610F" w14:textId="7C1AE452" w:rsidR="0044216C" w:rsidRDefault="0044216C" w:rsidP="001A131C">
      <w:pPr>
        <w:spacing w:after="120" w:line="240" w:lineRule="auto"/>
        <w:rPr>
          <w:sz w:val="20"/>
          <w:highlight w:val="yellow"/>
        </w:rPr>
      </w:pPr>
    </w:p>
    <w:p w14:paraId="5A025BE8" w14:textId="77777777" w:rsidR="0044216C" w:rsidRDefault="0044216C" w:rsidP="00D65A35">
      <w:pPr>
        <w:spacing w:after="120"/>
        <w:rPr>
          <w:sz w:val="20"/>
        </w:rPr>
      </w:pPr>
    </w:p>
    <w:p w14:paraId="278CBCDB" w14:textId="77777777" w:rsidR="0044216C" w:rsidRDefault="0044216C" w:rsidP="00D65A35">
      <w:pPr>
        <w:spacing w:after="120"/>
        <w:rPr>
          <w:sz w:val="20"/>
        </w:rPr>
      </w:pPr>
    </w:p>
    <w:p w14:paraId="5D35F4C6" w14:textId="77777777" w:rsidR="006262C0" w:rsidRPr="006262C0" w:rsidRDefault="006262C0" w:rsidP="00AD7E59">
      <w:pPr>
        <w:spacing w:after="120"/>
        <w:rPr>
          <w:sz w:val="20"/>
          <w:u w:val="single"/>
        </w:rPr>
      </w:pPr>
      <w:r w:rsidRPr="006262C0">
        <w:rPr>
          <w:sz w:val="20"/>
          <w:u w:val="single"/>
        </w:rPr>
        <w:t>Table 1: Summary of Environmental Indicators – Australian-based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366"/>
      </w:tblGrid>
      <w:tr w:rsidR="00A536A0" w14:paraId="4DE6947D" w14:textId="77777777" w:rsidTr="007B5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7F7F7F" w:themeFill="text1" w:themeFillTint="80"/>
          </w:tcPr>
          <w:p w14:paraId="79FC3A40" w14:textId="77777777" w:rsidR="00A536A0" w:rsidRPr="00837410" w:rsidRDefault="00837410" w:rsidP="0083741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Indicator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5C539FC9" w14:textId="77777777" w:rsidR="00A536A0" w:rsidRPr="00837410" w:rsidRDefault="00837410" w:rsidP="0083741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2015-16 Result</w:t>
            </w:r>
          </w:p>
        </w:tc>
        <w:tc>
          <w:tcPr>
            <w:tcW w:w="1985" w:type="dxa"/>
            <w:shd w:val="clear" w:color="auto" w:fill="7F7F7F" w:themeFill="text1" w:themeFillTint="80"/>
          </w:tcPr>
          <w:p w14:paraId="0F25C9A6" w14:textId="77777777" w:rsidR="00A536A0" w:rsidRPr="00837410" w:rsidRDefault="00837410" w:rsidP="0083741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2016-17 Result</w:t>
            </w:r>
          </w:p>
        </w:tc>
        <w:tc>
          <w:tcPr>
            <w:tcW w:w="1366" w:type="dxa"/>
            <w:shd w:val="clear" w:color="auto" w:fill="7F7F7F" w:themeFill="text1" w:themeFillTint="80"/>
          </w:tcPr>
          <w:p w14:paraId="37B5A0CC" w14:textId="77777777" w:rsidR="00A536A0" w:rsidRPr="00837410" w:rsidRDefault="00837410" w:rsidP="0083741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% Change</w:t>
            </w:r>
          </w:p>
        </w:tc>
      </w:tr>
      <w:tr w:rsidR="006262C0" w14:paraId="79D2FD33" w14:textId="77777777" w:rsidTr="0066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1DB6C35" w14:textId="77777777" w:rsidR="006262C0" w:rsidRDefault="006262C0" w:rsidP="00837410">
            <w:pPr>
              <w:spacing w:after="0"/>
              <w:rPr>
                <w:sz w:val="20"/>
              </w:rPr>
            </w:pPr>
            <w:r w:rsidRPr="00837410">
              <w:rPr>
                <w:b/>
                <w:sz w:val="20"/>
              </w:rPr>
              <w:t>Staffing</w:t>
            </w:r>
          </w:p>
        </w:tc>
      </w:tr>
      <w:tr w:rsidR="00A536A0" w14:paraId="3B1D46FB" w14:textId="77777777" w:rsidTr="008374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2E488677" w14:textId="77777777" w:rsidR="00A536A0" w:rsidRDefault="00837410" w:rsidP="00BA2EE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Staffing </w:t>
            </w:r>
            <w:r w:rsidR="00BA2EEC">
              <w:rPr>
                <w:sz w:val="20"/>
              </w:rPr>
              <w:t>Levels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2F5B3D4D" w14:textId="77777777" w:rsidR="00A536A0" w:rsidRDefault="00837410" w:rsidP="008374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1,932</w:t>
            </w:r>
            <w:r w:rsidR="00BA2EEC">
              <w:rPr>
                <w:sz w:val="20"/>
              </w:rPr>
              <w:t xml:space="preserve"> FTE</w:t>
            </w:r>
          </w:p>
        </w:tc>
        <w:tc>
          <w:tcPr>
            <w:tcW w:w="1985" w:type="dxa"/>
          </w:tcPr>
          <w:p w14:paraId="5A4B840B" w14:textId="77777777" w:rsidR="00A536A0" w:rsidRDefault="006334D1" w:rsidP="00837410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1,967</w:t>
            </w:r>
            <w:r w:rsidR="00BA2EEC">
              <w:rPr>
                <w:sz w:val="20"/>
              </w:rPr>
              <w:t xml:space="preserve"> FTE</w:t>
            </w:r>
          </w:p>
        </w:tc>
        <w:tc>
          <w:tcPr>
            <w:tcW w:w="1366" w:type="dxa"/>
          </w:tcPr>
          <w:p w14:paraId="1E15885E" w14:textId="77777777" w:rsidR="00A536A0" w:rsidRDefault="006334D1" w:rsidP="00BC7467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1.8</w:t>
            </w:r>
            <w:r w:rsidR="003048B1">
              <w:rPr>
                <w:sz w:val="20"/>
              </w:rPr>
              <w:t>%</w:t>
            </w:r>
          </w:p>
        </w:tc>
      </w:tr>
      <w:tr w:rsidR="0091294C" w14:paraId="38278657" w14:textId="77777777" w:rsidTr="00B7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D38D3F0" w14:textId="77777777" w:rsidR="0091294C" w:rsidRPr="0091294C" w:rsidRDefault="0091294C" w:rsidP="0091294C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Energy Use</w:t>
            </w:r>
          </w:p>
        </w:tc>
      </w:tr>
      <w:tr w:rsidR="00702DEF" w14:paraId="435AD15A" w14:textId="77777777" w:rsidTr="00EC7C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bottom w:val="single" w:sz="4" w:space="0" w:color="auto"/>
            </w:tcBorders>
          </w:tcPr>
          <w:p w14:paraId="5F597DA9" w14:textId="77777777" w:rsidR="00702DEF" w:rsidRDefault="00702DEF" w:rsidP="00702DE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Electricity and Gas</w:t>
            </w:r>
            <w:r w:rsidR="00795B40">
              <w:rPr>
                <w:sz w:val="20"/>
              </w:rPr>
              <w:t>^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36B63B" w14:textId="77777777" w:rsidR="00702DEF" w:rsidRDefault="000C5E8A" w:rsidP="00702DE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21,979,580 MJ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F9B63F" w14:textId="77777777" w:rsidR="00702DEF" w:rsidRDefault="00702DEF" w:rsidP="00702DE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23,582,264 MJ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ED16D4B" w14:textId="77777777" w:rsidR="00702DEF" w:rsidRDefault="00BC7467" w:rsidP="00702DE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7.3%</w:t>
            </w:r>
          </w:p>
        </w:tc>
      </w:tr>
      <w:tr w:rsidR="00702DEF" w14:paraId="2E920334" w14:textId="77777777" w:rsidTr="00DF3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0E1E5452" w14:textId="77777777" w:rsidR="00702DEF" w:rsidRDefault="00702DEF" w:rsidP="00702DE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Electricity Use per Person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379" w14:textId="77777777" w:rsidR="00702DEF" w:rsidRDefault="00B1706F" w:rsidP="00702DEF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11,377 MJ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FF3" w14:textId="77777777" w:rsidR="00702DEF" w:rsidRDefault="006334D1" w:rsidP="006334D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702DEF">
              <w:rPr>
                <w:sz w:val="20"/>
              </w:rPr>
              <w:t>,</w:t>
            </w:r>
            <w:r>
              <w:rPr>
                <w:sz w:val="20"/>
              </w:rPr>
              <w:t>989</w:t>
            </w:r>
            <w:r w:rsidR="00702DEF">
              <w:rPr>
                <w:sz w:val="20"/>
              </w:rPr>
              <w:t xml:space="preserve"> MJ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</w:tcPr>
          <w:p w14:paraId="3A38C2B2" w14:textId="77777777" w:rsidR="00702DEF" w:rsidRDefault="006334D1" w:rsidP="006334D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5.4</w:t>
            </w:r>
            <w:r w:rsidR="00BC7467">
              <w:rPr>
                <w:sz w:val="20"/>
              </w:rPr>
              <w:t>%</w:t>
            </w:r>
          </w:p>
        </w:tc>
      </w:tr>
      <w:tr w:rsidR="008C4E89" w14:paraId="79F4910F" w14:textId="77777777" w:rsidTr="00DF3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bottom w:val="nil"/>
              <w:right w:val="nil"/>
            </w:tcBorders>
          </w:tcPr>
          <w:p w14:paraId="3291A1E1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John Gorton Building, Canberra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7FC133A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C7A4D6B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7,254,266 MJ</w:t>
            </w:r>
          </w:p>
        </w:tc>
        <w:tc>
          <w:tcPr>
            <w:tcW w:w="1366" w:type="dxa"/>
            <w:tcBorders>
              <w:left w:val="nil"/>
              <w:bottom w:val="nil"/>
            </w:tcBorders>
          </w:tcPr>
          <w:p w14:paraId="3AF8E84C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171CC72C" w14:textId="77777777" w:rsidTr="00DF3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366DEA68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33 Allara St, Canberra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C6584C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361E26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179,399 MJ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342F56AC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4255F9E8" w14:textId="77777777" w:rsidTr="00DF3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4611AFC9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51 Allara St, Canberra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9192D4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BA9C90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1,760,313 MJ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58154070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42E3C4AF" w14:textId="77777777" w:rsidTr="00DF3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7760FE5D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Nishi Building, Canberra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0B21C1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1ADF93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1,587,301 MJ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26FFEAE9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2AAF800C" w14:textId="77777777" w:rsidTr="00DF3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36FD57D3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3 Pederson Rd, Darwin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1F02DC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BD7728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4,148,535 MJ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6F910D13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5F88BE49" w14:textId="77777777" w:rsidTr="00DF3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29D026CD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Jabiru Field Station, Jabiru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6D432A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B6810B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2,041 MJ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3F815438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73BEA761" w14:textId="77777777" w:rsidTr="00DF3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1BF8DD79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Channel Hwy, Kingston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553476" w14:textId="0906DE42" w:rsidR="008C4E89" w:rsidRDefault="00E321C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7,784,358</w:t>
            </w:r>
            <w:r w:rsidR="008C4E89">
              <w:rPr>
                <w:sz w:val="20"/>
              </w:rPr>
              <w:t xml:space="preserve"> MJ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CA73FA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7,844,719 MJ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11D000E2" w14:textId="45EB6D7E" w:rsidR="008C4E89" w:rsidRDefault="00E321C9" w:rsidP="00E321C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0.8%</w:t>
            </w:r>
          </w:p>
        </w:tc>
      </w:tr>
      <w:tr w:rsidR="008C4E89" w14:paraId="3C1A32E3" w14:textId="77777777" w:rsidTr="00DF3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742826CD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Hobart Port Cargo Facility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657C56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766,688 MJ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5FBE71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789,494 MJ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1F19CEAB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3.0%</w:t>
            </w:r>
          </w:p>
        </w:tc>
      </w:tr>
      <w:tr w:rsidR="008C4E89" w14:paraId="68A73C0C" w14:textId="77777777" w:rsidTr="00DF39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541F1437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Kettering Facility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77572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14,674 MJ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16CBC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16,196 MJ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45F5255D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10.4%</w:t>
            </w:r>
          </w:p>
        </w:tc>
      </w:tr>
      <w:tr w:rsidR="008C4E89" w14:paraId="05BB5CA3" w14:textId="77777777" w:rsidTr="0085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2B786CD" w14:textId="77777777" w:rsidR="008C4E89" w:rsidRPr="008554AD" w:rsidRDefault="008C4E89" w:rsidP="008C4E89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Greenhouse Gas Emissions</w:t>
            </w:r>
          </w:p>
        </w:tc>
      </w:tr>
      <w:tr w:rsidR="008C4E89" w14:paraId="22F3C0F2" w14:textId="77777777" w:rsidTr="00632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bottom w:val="single" w:sz="4" w:space="0" w:color="auto"/>
            </w:tcBorders>
          </w:tcPr>
          <w:p w14:paraId="7FDD9DEC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Greenhouse Gas Emissions</w:t>
            </w:r>
            <w:r w:rsidR="00795B40">
              <w:rPr>
                <w:sz w:val="20"/>
              </w:rPr>
              <w:t>^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00563A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F8D3B3" w14:textId="77777777" w:rsidR="008C4E89" w:rsidRPr="0067152A" w:rsidRDefault="008C4E89" w:rsidP="008C4E89">
            <w:pPr>
              <w:spacing w:after="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4,206.99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3DE51C5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54BE9499" w14:textId="77777777" w:rsidTr="0063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bottom w:val="nil"/>
              <w:right w:val="nil"/>
            </w:tcBorders>
          </w:tcPr>
          <w:p w14:paraId="7C3DB73D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John Gorton Building, Canberra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66AB8942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DBD8A9B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1,757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left w:val="nil"/>
              <w:bottom w:val="nil"/>
            </w:tcBorders>
          </w:tcPr>
          <w:p w14:paraId="4B7B5026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65BE674B" w14:textId="77777777" w:rsidTr="00632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2E57A6C5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33 Allara St, Canberra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A5B0B3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78BAC4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43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50A1AEDE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7AD5923E" w14:textId="77777777" w:rsidTr="0063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548D909F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51 Allara St, Canberra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F1FE93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C02CF0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425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4A88BD5E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24BD478A" w14:textId="77777777" w:rsidTr="00632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6E583F38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Nishi Building, Canberra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7E3A5C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91AE5E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223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5ADB28E9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32B753CB" w14:textId="77777777" w:rsidTr="0063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0C6E4B42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3 Pederson Rd, Darwin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49D972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27ECA3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795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00AE1DBC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40397A94" w14:textId="77777777" w:rsidTr="00632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3E1669D0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Jabiru Field Station, Jabiru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E63872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107AE1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.39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3E46E12E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22F37CC2" w14:textId="77777777" w:rsidTr="0063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78204393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Channel Hwy, Kingston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CD4702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883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29BAB8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911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49ECF804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3.2%</w:t>
            </w:r>
          </w:p>
        </w:tc>
      </w:tr>
      <w:tr w:rsidR="008C4E89" w14:paraId="5BE0B37A" w14:textId="77777777" w:rsidTr="00632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7205E701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Hobart Port Cargo Facility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7C0AF8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47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BDC4CE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50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</w:tcBorders>
          </w:tcPr>
          <w:p w14:paraId="3733DE37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6.4%</w:t>
            </w:r>
          </w:p>
        </w:tc>
      </w:tr>
      <w:tr w:rsidR="008C4E89" w14:paraId="476DD754" w14:textId="77777777" w:rsidTr="0063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top w:val="nil"/>
              <w:right w:val="nil"/>
            </w:tcBorders>
          </w:tcPr>
          <w:p w14:paraId="565244CF" w14:textId="77777777" w:rsidR="008C4E89" w:rsidRPr="00D124F5" w:rsidRDefault="008C4E89" w:rsidP="008C4E89">
            <w:pPr>
              <w:spacing w:after="0"/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Kettering Facility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D268BD9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0.90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3ACFC4B8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366" w:type="dxa"/>
            <w:tcBorders>
              <w:top w:val="nil"/>
              <w:left w:val="nil"/>
            </w:tcBorders>
          </w:tcPr>
          <w:p w14:paraId="4FBAAC39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11.1%</w:t>
            </w:r>
          </w:p>
        </w:tc>
      </w:tr>
      <w:tr w:rsidR="008C4E89" w14:paraId="5280563E" w14:textId="77777777" w:rsidTr="00632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5BEA9C70" w14:textId="77777777" w:rsidR="008C4E89" w:rsidRPr="0063250B" w:rsidRDefault="008C4E89" w:rsidP="008C4E89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Transport</w:t>
            </w:r>
          </w:p>
        </w:tc>
      </w:tr>
      <w:tr w:rsidR="008C4E89" w14:paraId="3FB99738" w14:textId="77777777" w:rsidTr="00DB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tcBorders>
              <w:bottom w:val="single" w:sz="4" w:space="0" w:color="auto"/>
            </w:tcBorders>
          </w:tcPr>
          <w:p w14:paraId="20797566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Number of Fleet Vehicles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997A9B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018120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1C36300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- 27.6% </w:t>
            </w:r>
          </w:p>
        </w:tc>
      </w:tr>
      <w:tr w:rsidR="008C4E89" w14:paraId="5437633E" w14:textId="77777777" w:rsidTr="00912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4DEB1D3B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Unleaded Fuel Used by Fleet Vehicles</w:t>
            </w:r>
          </w:p>
        </w:tc>
        <w:tc>
          <w:tcPr>
            <w:tcW w:w="1984" w:type="dxa"/>
          </w:tcPr>
          <w:p w14:paraId="4FCD41C4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4,590 L</w:t>
            </w:r>
          </w:p>
        </w:tc>
        <w:tc>
          <w:tcPr>
            <w:tcW w:w="1985" w:type="dxa"/>
          </w:tcPr>
          <w:p w14:paraId="1060D42C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2,984 L</w:t>
            </w:r>
          </w:p>
        </w:tc>
        <w:tc>
          <w:tcPr>
            <w:tcW w:w="1366" w:type="dxa"/>
          </w:tcPr>
          <w:p w14:paraId="6DB858E6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- 35%</w:t>
            </w:r>
          </w:p>
        </w:tc>
      </w:tr>
      <w:tr w:rsidR="008C4E89" w14:paraId="64741203" w14:textId="77777777" w:rsidTr="00912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6BE72CBE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E10 Fuel Used by Fleet Vehicles</w:t>
            </w:r>
          </w:p>
        </w:tc>
        <w:tc>
          <w:tcPr>
            <w:tcW w:w="1984" w:type="dxa"/>
          </w:tcPr>
          <w:p w14:paraId="1EAC7275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2,337 L</w:t>
            </w:r>
          </w:p>
        </w:tc>
        <w:tc>
          <w:tcPr>
            <w:tcW w:w="1985" w:type="dxa"/>
          </w:tcPr>
          <w:p w14:paraId="58AFA8AD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1,746 L</w:t>
            </w:r>
          </w:p>
        </w:tc>
        <w:tc>
          <w:tcPr>
            <w:tcW w:w="1366" w:type="dxa"/>
          </w:tcPr>
          <w:p w14:paraId="65E6DB33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- 25.3%</w:t>
            </w:r>
          </w:p>
        </w:tc>
      </w:tr>
      <w:tr w:rsidR="008C4E89" w14:paraId="1345913B" w14:textId="77777777" w:rsidTr="00912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53E3D8CD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Diesel Fuel Used by Fleet Vehicles</w:t>
            </w:r>
          </w:p>
        </w:tc>
        <w:tc>
          <w:tcPr>
            <w:tcW w:w="1984" w:type="dxa"/>
          </w:tcPr>
          <w:p w14:paraId="670116E6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16,772 L</w:t>
            </w:r>
          </w:p>
        </w:tc>
        <w:tc>
          <w:tcPr>
            <w:tcW w:w="1985" w:type="dxa"/>
          </w:tcPr>
          <w:p w14:paraId="2FD85B02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9,937 L</w:t>
            </w:r>
          </w:p>
        </w:tc>
        <w:tc>
          <w:tcPr>
            <w:tcW w:w="1366" w:type="dxa"/>
          </w:tcPr>
          <w:p w14:paraId="1A283352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- 40.8%</w:t>
            </w:r>
          </w:p>
        </w:tc>
      </w:tr>
      <w:tr w:rsidR="008C4E89" w14:paraId="52612959" w14:textId="77777777" w:rsidTr="004A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EE14000" w14:textId="77777777" w:rsidR="008C4E89" w:rsidRPr="004A37A4" w:rsidRDefault="008C4E89" w:rsidP="008C4E89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Resource Efficiency and Waste</w:t>
            </w:r>
          </w:p>
        </w:tc>
      </w:tr>
      <w:tr w:rsidR="008C4E89" w14:paraId="0BDB6134" w14:textId="77777777" w:rsidTr="00912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747C2427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Office Copy Paper Purchased</w:t>
            </w:r>
          </w:p>
        </w:tc>
        <w:tc>
          <w:tcPr>
            <w:tcW w:w="1984" w:type="dxa"/>
          </w:tcPr>
          <w:p w14:paraId="5983F0CA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12,745 Reams</w:t>
            </w:r>
          </w:p>
        </w:tc>
        <w:tc>
          <w:tcPr>
            <w:tcW w:w="1985" w:type="dxa"/>
          </w:tcPr>
          <w:p w14:paraId="35B962B4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16,301 Reams</w:t>
            </w:r>
          </w:p>
        </w:tc>
        <w:tc>
          <w:tcPr>
            <w:tcW w:w="1366" w:type="dxa"/>
          </w:tcPr>
          <w:p w14:paraId="240C6DC2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27.9%</w:t>
            </w:r>
          </w:p>
        </w:tc>
      </w:tr>
      <w:tr w:rsidR="008C4E89" w14:paraId="59484DFA" w14:textId="77777777" w:rsidTr="00912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7A2CC46E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Copy Paper per Person</w:t>
            </w:r>
          </w:p>
        </w:tc>
        <w:tc>
          <w:tcPr>
            <w:tcW w:w="1984" w:type="dxa"/>
          </w:tcPr>
          <w:p w14:paraId="2278A72D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6.6 Reams</w:t>
            </w:r>
          </w:p>
        </w:tc>
        <w:tc>
          <w:tcPr>
            <w:tcW w:w="1985" w:type="dxa"/>
          </w:tcPr>
          <w:p w14:paraId="09B21C87" w14:textId="77777777" w:rsidR="008C4E89" w:rsidRDefault="006334D1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8.3</w:t>
            </w:r>
            <w:r w:rsidR="008C4E89">
              <w:rPr>
                <w:sz w:val="20"/>
              </w:rPr>
              <w:t xml:space="preserve"> Reams</w:t>
            </w:r>
          </w:p>
        </w:tc>
        <w:tc>
          <w:tcPr>
            <w:tcW w:w="1366" w:type="dxa"/>
          </w:tcPr>
          <w:p w14:paraId="10FD1CD8" w14:textId="77777777" w:rsidR="008C4E89" w:rsidRDefault="008C4E89" w:rsidP="006334D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6334D1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6334D1">
              <w:rPr>
                <w:sz w:val="20"/>
              </w:rPr>
              <w:t>8</w:t>
            </w:r>
            <w:r>
              <w:rPr>
                <w:sz w:val="20"/>
              </w:rPr>
              <w:t>%</w:t>
            </w:r>
          </w:p>
        </w:tc>
      </w:tr>
      <w:tr w:rsidR="008C4E89" w14:paraId="24B2F406" w14:textId="77777777" w:rsidTr="00912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45E462E9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Office Paper Recycling*</w:t>
            </w:r>
          </w:p>
        </w:tc>
        <w:tc>
          <w:tcPr>
            <w:tcW w:w="1984" w:type="dxa"/>
          </w:tcPr>
          <w:p w14:paraId="65B35E7B" w14:textId="77777777" w:rsidR="008C4E89" w:rsidRDefault="008C4E89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160.3 t</w:t>
            </w:r>
          </w:p>
        </w:tc>
        <w:tc>
          <w:tcPr>
            <w:tcW w:w="1985" w:type="dxa"/>
          </w:tcPr>
          <w:p w14:paraId="2D3C8CB8" w14:textId="77777777" w:rsidR="008C4E89" w:rsidRPr="004B4E25" w:rsidRDefault="008C4E89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127.27 t</w:t>
            </w:r>
          </w:p>
        </w:tc>
        <w:tc>
          <w:tcPr>
            <w:tcW w:w="1366" w:type="dxa"/>
          </w:tcPr>
          <w:p w14:paraId="06EF483D" w14:textId="77777777" w:rsidR="008C4E89" w:rsidRPr="004B4E25" w:rsidRDefault="008C4E89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 xml:space="preserve">- 20.6% </w:t>
            </w:r>
          </w:p>
        </w:tc>
      </w:tr>
      <w:tr w:rsidR="008C4E89" w14:paraId="1AD89774" w14:textId="77777777" w:rsidTr="00DD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004855F0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Co-Mingled/Cardboard Recycling*</w:t>
            </w:r>
            <w:r w:rsidR="00DD140A">
              <w:rPr>
                <w:sz w:val="20"/>
              </w:rPr>
              <w:t>^^</w:t>
            </w:r>
          </w:p>
        </w:tc>
        <w:tc>
          <w:tcPr>
            <w:tcW w:w="1984" w:type="dxa"/>
          </w:tcPr>
          <w:p w14:paraId="72157DCC" w14:textId="77777777" w:rsidR="008C4E89" w:rsidRDefault="000B5AAC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190.78 t</w:t>
            </w:r>
          </w:p>
        </w:tc>
        <w:tc>
          <w:tcPr>
            <w:tcW w:w="1985" w:type="dxa"/>
            <w:shd w:val="clear" w:color="auto" w:fill="auto"/>
          </w:tcPr>
          <w:p w14:paraId="3D88025B" w14:textId="77777777" w:rsidR="008C4E89" w:rsidRPr="004B4E25" w:rsidRDefault="00DD140A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149.67 t</w:t>
            </w:r>
          </w:p>
        </w:tc>
        <w:tc>
          <w:tcPr>
            <w:tcW w:w="1366" w:type="dxa"/>
            <w:shd w:val="clear" w:color="auto" w:fill="auto"/>
          </w:tcPr>
          <w:p w14:paraId="25CF400A" w14:textId="77777777" w:rsidR="008C4E89" w:rsidRPr="004B4E25" w:rsidRDefault="00DD140A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n/a</w:t>
            </w:r>
          </w:p>
        </w:tc>
      </w:tr>
      <w:tr w:rsidR="008C4E89" w14:paraId="327E4FD9" w14:textId="77777777" w:rsidTr="00DD14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0236EC20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Organic Waste*</w:t>
            </w:r>
            <w:r w:rsidR="00DD140A">
              <w:rPr>
                <w:sz w:val="20"/>
              </w:rPr>
              <w:t>^^</w:t>
            </w:r>
          </w:p>
        </w:tc>
        <w:tc>
          <w:tcPr>
            <w:tcW w:w="1984" w:type="dxa"/>
          </w:tcPr>
          <w:p w14:paraId="100D36D5" w14:textId="77777777" w:rsidR="008C4E89" w:rsidRDefault="001443C6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18.82 t</w:t>
            </w:r>
          </w:p>
        </w:tc>
        <w:tc>
          <w:tcPr>
            <w:tcW w:w="1985" w:type="dxa"/>
            <w:shd w:val="clear" w:color="auto" w:fill="auto"/>
          </w:tcPr>
          <w:p w14:paraId="65FD4D7D" w14:textId="77777777" w:rsidR="008C4E89" w:rsidRPr="004B4E25" w:rsidRDefault="00DD140A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23.25 t</w:t>
            </w:r>
          </w:p>
        </w:tc>
        <w:tc>
          <w:tcPr>
            <w:tcW w:w="1366" w:type="dxa"/>
            <w:shd w:val="clear" w:color="auto" w:fill="auto"/>
          </w:tcPr>
          <w:p w14:paraId="4192A986" w14:textId="77777777" w:rsidR="008C4E89" w:rsidRPr="004B4E25" w:rsidRDefault="00DD140A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n/a</w:t>
            </w:r>
          </w:p>
        </w:tc>
      </w:tr>
      <w:tr w:rsidR="008C4E89" w14:paraId="0F7824DF" w14:textId="77777777" w:rsidTr="00DD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32CA0D54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Waste to Landfill*</w:t>
            </w:r>
            <w:r w:rsidR="00DD140A">
              <w:rPr>
                <w:sz w:val="20"/>
              </w:rPr>
              <w:t>^^</w:t>
            </w:r>
          </w:p>
        </w:tc>
        <w:tc>
          <w:tcPr>
            <w:tcW w:w="1984" w:type="dxa"/>
          </w:tcPr>
          <w:p w14:paraId="0C6E0CA9" w14:textId="77777777" w:rsidR="008C4E89" w:rsidRDefault="001443C6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214.41 t</w:t>
            </w:r>
          </w:p>
        </w:tc>
        <w:tc>
          <w:tcPr>
            <w:tcW w:w="1985" w:type="dxa"/>
            <w:shd w:val="clear" w:color="auto" w:fill="auto"/>
          </w:tcPr>
          <w:p w14:paraId="74E86B42" w14:textId="77777777" w:rsidR="008C4E89" w:rsidRPr="004B4E25" w:rsidRDefault="00DD140A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173.75 t</w:t>
            </w:r>
          </w:p>
        </w:tc>
        <w:tc>
          <w:tcPr>
            <w:tcW w:w="1366" w:type="dxa"/>
            <w:shd w:val="clear" w:color="auto" w:fill="auto"/>
          </w:tcPr>
          <w:p w14:paraId="1367C834" w14:textId="77777777" w:rsidR="008C4E89" w:rsidRPr="004B4E25" w:rsidRDefault="00DD140A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n/a</w:t>
            </w:r>
          </w:p>
        </w:tc>
      </w:tr>
      <w:tr w:rsidR="008C4E89" w14:paraId="35AB47E6" w14:textId="77777777" w:rsidTr="00DD14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0F2B3869" w14:textId="77777777" w:rsidR="008C4E89" w:rsidRDefault="00DD140A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Waste per Person</w:t>
            </w:r>
          </w:p>
        </w:tc>
        <w:tc>
          <w:tcPr>
            <w:tcW w:w="1984" w:type="dxa"/>
          </w:tcPr>
          <w:p w14:paraId="081FCCDE" w14:textId="77777777" w:rsidR="008C4E89" w:rsidRDefault="001443C6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302 kg</w:t>
            </w:r>
          </w:p>
        </w:tc>
        <w:tc>
          <w:tcPr>
            <w:tcW w:w="1985" w:type="dxa"/>
            <w:shd w:val="clear" w:color="auto" w:fill="auto"/>
          </w:tcPr>
          <w:p w14:paraId="47032761" w14:textId="77777777" w:rsidR="008C4E89" w:rsidRPr="004B4E25" w:rsidRDefault="00DD140A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n/a</w:t>
            </w:r>
          </w:p>
        </w:tc>
        <w:tc>
          <w:tcPr>
            <w:tcW w:w="1366" w:type="dxa"/>
            <w:shd w:val="clear" w:color="auto" w:fill="auto"/>
          </w:tcPr>
          <w:p w14:paraId="5F0AA00F" w14:textId="77777777" w:rsidR="008C4E89" w:rsidRPr="004B4E25" w:rsidRDefault="00DD140A" w:rsidP="008C4E89">
            <w:pPr>
              <w:spacing w:after="0"/>
              <w:jc w:val="right"/>
              <w:rPr>
                <w:sz w:val="20"/>
              </w:rPr>
            </w:pPr>
            <w:r w:rsidRPr="004B4E25">
              <w:rPr>
                <w:sz w:val="20"/>
              </w:rPr>
              <w:t>n/a</w:t>
            </w:r>
          </w:p>
        </w:tc>
      </w:tr>
      <w:tr w:rsidR="008C4E89" w14:paraId="1268D2A8" w14:textId="77777777" w:rsidTr="008C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06F22457" w14:textId="77777777" w:rsidR="008C4E89" w:rsidRPr="008C5F83" w:rsidRDefault="008C4E89" w:rsidP="00DF15BD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Water Consumption</w:t>
            </w:r>
          </w:p>
        </w:tc>
      </w:tr>
      <w:tr w:rsidR="008C4E89" w14:paraId="439A6E7B" w14:textId="77777777" w:rsidTr="00B377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5A664195" w14:textId="61F1D2BC" w:rsidR="008C4E89" w:rsidRDefault="00B3770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Water Use**</w:t>
            </w:r>
            <w:r w:rsidR="00DF15BD"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1FEEE711" w14:textId="77777777" w:rsidR="008C4E89" w:rsidRDefault="00422BE7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41,976 kL</w:t>
            </w:r>
          </w:p>
        </w:tc>
        <w:tc>
          <w:tcPr>
            <w:tcW w:w="1985" w:type="dxa"/>
            <w:shd w:val="clear" w:color="auto" w:fill="auto"/>
          </w:tcPr>
          <w:p w14:paraId="2B234D45" w14:textId="5D292357" w:rsidR="008C4E89" w:rsidRDefault="00B37709" w:rsidP="004B4E2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B4E25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4B4E25">
              <w:rPr>
                <w:sz w:val="20"/>
              </w:rPr>
              <w:t>661</w:t>
            </w:r>
            <w:r>
              <w:rPr>
                <w:sz w:val="20"/>
              </w:rPr>
              <w:t xml:space="preserve"> kL</w:t>
            </w:r>
          </w:p>
        </w:tc>
        <w:tc>
          <w:tcPr>
            <w:tcW w:w="1366" w:type="dxa"/>
            <w:shd w:val="clear" w:color="auto" w:fill="auto"/>
          </w:tcPr>
          <w:p w14:paraId="04581E98" w14:textId="77777777" w:rsidR="008C4E89" w:rsidRDefault="00DD140A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46C64894" w14:textId="77777777" w:rsidTr="00B3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168D468B" w14:textId="77777777" w:rsidR="008C4E89" w:rsidRDefault="008C4E89" w:rsidP="008C4E8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Water Use per </w:t>
            </w:r>
            <w:r w:rsidR="00B37709">
              <w:rPr>
                <w:sz w:val="20"/>
              </w:rPr>
              <w:t>Person</w:t>
            </w:r>
          </w:p>
        </w:tc>
        <w:tc>
          <w:tcPr>
            <w:tcW w:w="1984" w:type="dxa"/>
          </w:tcPr>
          <w:p w14:paraId="44D7FE84" w14:textId="77777777" w:rsidR="008C4E89" w:rsidRDefault="00422BE7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21.7 kL</w:t>
            </w:r>
          </w:p>
        </w:tc>
        <w:tc>
          <w:tcPr>
            <w:tcW w:w="1985" w:type="dxa"/>
            <w:shd w:val="clear" w:color="auto" w:fill="auto"/>
          </w:tcPr>
          <w:p w14:paraId="2D4BD463" w14:textId="7003EEEC" w:rsidR="008C4E89" w:rsidRDefault="004B4E25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366" w:type="dxa"/>
            <w:shd w:val="clear" w:color="auto" w:fill="auto"/>
          </w:tcPr>
          <w:p w14:paraId="511FA9EA" w14:textId="77777777" w:rsidR="008C4E89" w:rsidRDefault="00DD140A" w:rsidP="008C4E89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C4E89" w14:paraId="7AF15587" w14:textId="77777777" w:rsidTr="00DC3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4"/>
          </w:tcPr>
          <w:p w14:paraId="3FDB360C" w14:textId="77777777" w:rsidR="00826DD4" w:rsidRPr="00AD7E59" w:rsidRDefault="00826DD4" w:rsidP="008C4E89">
            <w:pPr>
              <w:spacing w:after="0"/>
              <w:rPr>
                <w:sz w:val="14"/>
              </w:rPr>
            </w:pPr>
            <w:r w:rsidRPr="00AD7E59">
              <w:rPr>
                <w:sz w:val="14"/>
              </w:rPr>
              <w:t xml:space="preserve">^Prior to the 2016-17 period this information was </w:t>
            </w:r>
            <w:r w:rsidR="00795B40" w:rsidRPr="00AD7E59">
              <w:rPr>
                <w:sz w:val="14"/>
              </w:rPr>
              <w:t>only available on a city level.</w:t>
            </w:r>
          </w:p>
          <w:p w14:paraId="57B553DB" w14:textId="77777777" w:rsidR="00AD7E59" w:rsidRPr="004B4E25" w:rsidRDefault="00DF15BD" w:rsidP="008C4E89">
            <w:pPr>
              <w:spacing w:after="0"/>
              <w:rPr>
                <w:sz w:val="14"/>
              </w:rPr>
            </w:pPr>
            <w:r w:rsidRPr="004B4E25">
              <w:rPr>
                <w:sz w:val="14"/>
              </w:rPr>
              <w:t>^^Waste</w:t>
            </w:r>
            <w:r w:rsidR="00AD7E59" w:rsidRPr="004B4E25">
              <w:rPr>
                <w:sz w:val="14"/>
              </w:rPr>
              <w:t xml:space="preserve"> figures do not include 51 Allara Street premises.</w:t>
            </w:r>
          </w:p>
          <w:p w14:paraId="6F0A3310" w14:textId="6284966F" w:rsidR="008C4E89" w:rsidRPr="00AD7E59" w:rsidRDefault="008C4E89" w:rsidP="008C4E89">
            <w:pPr>
              <w:spacing w:after="0"/>
              <w:rPr>
                <w:sz w:val="14"/>
              </w:rPr>
            </w:pPr>
            <w:r w:rsidRPr="00AD7E59">
              <w:rPr>
                <w:sz w:val="14"/>
              </w:rPr>
              <w:t>*Due to the regional location and type of services available in Jabiru</w:t>
            </w:r>
            <w:r w:rsidR="00DF15BD">
              <w:rPr>
                <w:sz w:val="14"/>
              </w:rPr>
              <w:t>,</w:t>
            </w:r>
            <w:r w:rsidRPr="00AD7E59">
              <w:rPr>
                <w:sz w:val="14"/>
              </w:rPr>
              <w:t xml:space="preserve"> water consumption and </w:t>
            </w:r>
            <w:r w:rsidR="00866216" w:rsidRPr="00AD7E59">
              <w:rPr>
                <w:sz w:val="14"/>
              </w:rPr>
              <w:t>waste</w:t>
            </w:r>
            <w:r w:rsidRPr="00AD7E59">
              <w:rPr>
                <w:sz w:val="14"/>
              </w:rPr>
              <w:t xml:space="preserve"> figures for the 2016-17 period are unavailable. </w:t>
            </w:r>
          </w:p>
          <w:p w14:paraId="7555E2F9" w14:textId="77777777" w:rsidR="008C4E89" w:rsidRPr="00A91E37" w:rsidRDefault="008C4E89" w:rsidP="008C4E89">
            <w:pPr>
              <w:spacing w:after="0"/>
              <w:rPr>
                <w:sz w:val="16"/>
              </w:rPr>
            </w:pPr>
            <w:r w:rsidRPr="00AD7E59">
              <w:rPr>
                <w:sz w:val="14"/>
              </w:rPr>
              <w:t>*</w:t>
            </w:r>
            <w:r w:rsidR="00B37709">
              <w:rPr>
                <w:sz w:val="14"/>
              </w:rPr>
              <w:t>*</w:t>
            </w:r>
            <w:r w:rsidRPr="00AD7E59">
              <w:rPr>
                <w:sz w:val="14"/>
              </w:rPr>
              <w:t>Due to the meter system</w:t>
            </w:r>
            <w:r w:rsidR="00826DD4" w:rsidRPr="00AD7E59">
              <w:rPr>
                <w:sz w:val="14"/>
              </w:rPr>
              <w:t xml:space="preserve"> used</w:t>
            </w:r>
            <w:r w:rsidRPr="00AD7E59">
              <w:rPr>
                <w:sz w:val="14"/>
              </w:rPr>
              <w:t xml:space="preserve"> at the Nishi Building</w:t>
            </w:r>
            <w:r w:rsidR="00DF15BD">
              <w:rPr>
                <w:sz w:val="14"/>
              </w:rPr>
              <w:t>,</w:t>
            </w:r>
            <w:r w:rsidRPr="00AD7E59">
              <w:rPr>
                <w:sz w:val="14"/>
              </w:rPr>
              <w:t xml:space="preserve"> water usage figures for tenanted areas is unavailable.</w:t>
            </w:r>
          </w:p>
        </w:tc>
      </w:tr>
    </w:tbl>
    <w:p w14:paraId="176B0B9D" w14:textId="77777777" w:rsidR="00D65A35" w:rsidRDefault="00D65A35" w:rsidP="005C6C27">
      <w:pPr>
        <w:spacing w:after="120"/>
        <w:rPr>
          <w:sz w:val="20"/>
        </w:rPr>
      </w:pPr>
    </w:p>
    <w:p w14:paraId="00A94B59" w14:textId="77777777" w:rsidR="00FF2847" w:rsidRDefault="00FF2847" w:rsidP="005C6C27">
      <w:pPr>
        <w:spacing w:after="120"/>
        <w:rPr>
          <w:sz w:val="20"/>
        </w:rPr>
      </w:pPr>
    </w:p>
    <w:p w14:paraId="79BC497B" w14:textId="77777777" w:rsidR="00BB0B4A" w:rsidRDefault="00BB0B4A" w:rsidP="00AD7E59">
      <w:pPr>
        <w:spacing w:after="120"/>
        <w:rPr>
          <w:sz w:val="20"/>
          <w:u w:val="single"/>
        </w:rPr>
      </w:pPr>
    </w:p>
    <w:p w14:paraId="475BDDB5" w14:textId="77777777" w:rsidR="006262C0" w:rsidRPr="006262C0" w:rsidRDefault="006262C0" w:rsidP="00AD7E59">
      <w:pPr>
        <w:spacing w:after="120"/>
        <w:rPr>
          <w:sz w:val="20"/>
          <w:u w:val="single"/>
        </w:rPr>
      </w:pPr>
      <w:r>
        <w:rPr>
          <w:sz w:val="20"/>
          <w:u w:val="single"/>
        </w:rPr>
        <w:t>Table 2</w:t>
      </w:r>
      <w:r w:rsidRPr="006262C0">
        <w:rPr>
          <w:sz w:val="20"/>
          <w:u w:val="single"/>
        </w:rPr>
        <w:t xml:space="preserve">: Summary of Environmental Indicators – </w:t>
      </w:r>
      <w:r>
        <w:rPr>
          <w:sz w:val="20"/>
          <w:u w:val="single"/>
        </w:rPr>
        <w:t>Antarctic</w:t>
      </w:r>
      <w:r w:rsidRPr="006262C0">
        <w:rPr>
          <w:sz w:val="20"/>
          <w:u w:val="single"/>
        </w:rPr>
        <w:t xml:space="preserve">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366"/>
      </w:tblGrid>
      <w:tr w:rsidR="006262C0" w14:paraId="29067C0C" w14:textId="77777777" w:rsidTr="007B5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7F7F7F" w:themeFill="text1" w:themeFillTint="80"/>
          </w:tcPr>
          <w:p w14:paraId="2A554F08" w14:textId="77777777" w:rsidR="006262C0" w:rsidRPr="00837410" w:rsidRDefault="006262C0" w:rsidP="007720B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Indicator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25C5BD6D" w14:textId="77777777" w:rsidR="006262C0" w:rsidRPr="00837410" w:rsidRDefault="006262C0" w:rsidP="007720B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2015-16 Result</w:t>
            </w:r>
          </w:p>
        </w:tc>
        <w:tc>
          <w:tcPr>
            <w:tcW w:w="1985" w:type="dxa"/>
            <w:shd w:val="clear" w:color="auto" w:fill="7F7F7F" w:themeFill="text1" w:themeFillTint="80"/>
          </w:tcPr>
          <w:p w14:paraId="2E00B812" w14:textId="77777777" w:rsidR="006262C0" w:rsidRPr="00837410" w:rsidRDefault="006262C0" w:rsidP="007720B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2016-17 Result</w:t>
            </w:r>
          </w:p>
        </w:tc>
        <w:tc>
          <w:tcPr>
            <w:tcW w:w="1366" w:type="dxa"/>
            <w:shd w:val="clear" w:color="auto" w:fill="7F7F7F" w:themeFill="text1" w:themeFillTint="80"/>
          </w:tcPr>
          <w:p w14:paraId="6CA24A3A" w14:textId="77777777" w:rsidR="006262C0" w:rsidRPr="00837410" w:rsidRDefault="006262C0" w:rsidP="007720B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% Change</w:t>
            </w:r>
          </w:p>
        </w:tc>
      </w:tr>
      <w:tr w:rsidR="006262C0" w14:paraId="1CB1829A" w14:textId="77777777" w:rsidTr="00772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8D19E44" w14:textId="77777777" w:rsidR="006262C0" w:rsidRDefault="006262C0" w:rsidP="007720BC">
            <w:pPr>
              <w:spacing w:after="0"/>
              <w:rPr>
                <w:sz w:val="20"/>
              </w:rPr>
            </w:pPr>
            <w:r w:rsidRPr="00837410">
              <w:rPr>
                <w:b/>
                <w:sz w:val="20"/>
              </w:rPr>
              <w:t>Staffing</w:t>
            </w:r>
          </w:p>
        </w:tc>
      </w:tr>
      <w:tr w:rsidR="00887883" w14:paraId="2E063624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60EC1700" w14:textId="77777777" w:rsidR="00887883" w:rsidRDefault="00B95AAE" w:rsidP="00D7331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Staffing Levels </w:t>
            </w:r>
          </w:p>
        </w:tc>
        <w:tc>
          <w:tcPr>
            <w:tcW w:w="1984" w:type="dxa"/>
          </w:tcPr>
          <w:p w14:paraId="5C3B38A9" w14:textId="77777777" w:rsidR="00887883" w:rsidRDefault="00887883" w:rsidP="0088788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  <w:r w:rsidR="00B95AAE">
              <w:rPr>
                <w:sz w:val="20"/>
              </w:rPr>
              <w:t xml:space="preserve"> FTE</w:t>
            </w:r>
          </w:p>
        </w:tc>
        <w:tc>
          <w:tcPr>
            <w:tcW w:w="1985" w:type="dxa"/>
          </w:tcPr>
          <w:p w14:paraId="66F9872E" w14:textId="77777777" w:rsidR="00887883" w:rsidRDefault="00887883" w:rsidP="0088788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  <w:r w:rsidR="00B95AAE">
              <w:rPr>
                <w:sz w:val="20"/>
              </w:rPr>
              <w:t xml:space="preserve"> FTE</w:t>
            </w:r>
          </w:p>
        </w:tc>
        <w:tc>
          <w:tcPr>
            <w:tcW w:w="1366" w:type="dxa"/>
          </w:tcPr>
          <w:p w14:paraId="0DC3DD1C" w14:textId="77777777" w:rsidR="00887883" w:rsidRDefault="00BC7467" w:rsidP="0088788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  <w:r w:rsidR="00887883">
              <w:rPr>
                <w:sz w:val="20"/>
              </w:rPr>
              <w:t>%</w:t>
            </w:r>
          </w:p>
        </w:tc>
      </w:tr>
      <w:tr w:rsidR="00B95AAE" w14:paraId="287B1847" w14:textId="77777777" w:rsidTr="00B95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F57DB0B" w14:textId="77777777" w:rsidR="00B95AAE" w:rsidRPr="00B95AAE" w:rsidRDefault="00B95AAE" w:rsidP="00B95AAE">
            <w:pPr>
              <w:spacing w:after="0"/>
              <w:rPr>
                <w:b/>
                <w:sz w:val="20"/>
              </w:rPr>
            </w:pPr>
            <w:r w:rsidRPr="00B95AAE">
              <w:rPr>
                <w:b/>
                <w:sz w:val="20"/>
              </w:rPr>
              <w:t>Energy Use</w:t>
            </w:r>
          </w:p>
        </w:tc>
      </w:tr>
      <w:tr w:rsidR="006262C0" w14:paraId="43FC8713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155F291F" w14:textId="77777777" w:rsidR="006262C0" w:rsidRDefault="00B95AAE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Electricity Generated by Diesel</w:t>
            </w:r>
          </w:p>
        </w:tc>
        <w:tc>
          <w:tcPr>
            <w:tcW w:w="1984" w:type="dxa"/>
          </w:tcPr>
          <w:p w14:paraId="7EB94F1E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18,518,764 MJ</w:t>
            </w:r>
          </w:p>
        </w:tc>
        <w:tc>
          <w:tcPr>
            <w:tcW w:w="1985" w:type="dxa"/>
          </w:tcPr>
          <w:p w14:paraId="261D2F55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19,729,922 MJ</w:t>
            </w:r>
          </w:p>
        </w:tc>
        <w:tc>
          <w:tcPr>
            <w:tcW w:w="1366" w:type="dxa"/>
          </w:tcPr>
          <w:p w14:paraId="48AD860D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6.5%</w:t>
            </w:r>
          </w:p>
        </w:tc>
      </w:tr>
      <w:tr w:rsidR="006262C0" w14:paraId="50B0D1B1" w14:textId="77777777" w:rsidTr="00772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</w:tcPr>
          <w:p w14:paraId="49D6C263" w14:textId="77777777" w:rsidR="006262C0" w:rsidRDefault="00D7331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Renewable Energy Generated</w:t>
            </w:r>
          </w:p>
        </w:tc>
        <w:tc>
          <w:tcPr>
            <w:tcW w:w="1984" w:type="dxa"/>
          </w:tcPr>
          <w:p w14:paraId="4EEC2BAD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5,438,271 MJ</w:t>
            </w:r>
          </w:p>
        </w:tc>
        <w:tc>
          <w:tcPr>
            <w:tcW w:w="1985" w:type="dxa"/>
          </w:tcPr>
          <w:p w14:paraId="55547246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5,915,326 MJ</w:t>
            </w:r>
          </w:p>
        </w:tc>
        <w:tc>
          <w:tcPr>
            <w:tcW w:w="1366" w:type="dxa"/>
          </w:tcPr>
          <w:p w14:paraId="23B0CCE2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8.8%</w:t>
            </w:r>
          </w:p>
        </w:tc>
      </w:tr>
      <w:tr w:rsidR="006262C0" w14:paraId="2F874FED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2A695A1B" w14:textId="77777777" w:rsidR="006262C0" w:rsidRDefault="00D7331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Electricity Use per Person</w:t>
            </w:r>
          </w:p>
        </w:tc>
        <w:tc>
          <w:tcPr>
            <w:tcW w:w="1984" w:type="dxa"/>
          </w:tcPr>
          <w:p w14:paraId="26B27961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166,368 MJ</w:t>
            </w:r>
          </w:p>
        </w:tc>
        <w:tc>
          <w:tcPr>
            <w:tcW w:w="1985" w:type="dxa"/>
          </w:tcPr>
          <w:p w14:paraId="27E7413A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169,836 MJ</w:t>
            </w:r>
          </w:p>
        </w:tc>
        <w:tc>
          <w:tcPr>
            <w:tcW w:w="1366" w:type="dxa"/>
          </w:tcPr>
          <w:p w14:paraId="6DBE1061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2.1%</w:t>
            </w:r>
          </w:p>
        </w:tc>
      </w:tr>
      <w:tr w:rsidR="006262C0" w14:paraId="30F86148" w14:textId="77777777" w:rsidTr="00D7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81" w:type="dxa"/>
          </w:tcPr>
          <w:p w14:paraId="75120625" w14:textId="77777777" w:rsidR="006262C0" w:rsidRDefault="00D7331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Operational Diesel Fuel</w:t>
            </w:r>
          </w:p>
        </w:tc>
        <w:tc>
          <w:tcPr>
            <w:tcW w:w="1984" w:type="dxa"/>
          </w:tcPr>
          <w:p w14:paraId="4F82AB7B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2,268,650 L</w:t>
            </w:r>
          </w:p>
        </w:tc>
        <w:tc>
          <w:tcPr>
            <w:tcW w:w="1985" w:type="dxa"/>
          </w:tcPr>
          <w:p w14:paraId="62F97934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2,093,559 L</w:t>
            </w:r>
          </w:p>
        </w:tc>
        <w:tc>
          <w:tcPr>
            <w:tcW w:w="1366" w:type="dxa"/>
          </w:tcPr>
          <w:p w14:paraId="17ABB2D5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- 7.7%</w:t>
            </w:r>
          </w:p>
        </w:tc>
      </w:tr>
      <w:tr w:rsidR="006262C0" w14:paraId="5ACB6F40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43B8E112" w14:textId="77777777" w:rsidR="006262C0" w:rsidRDefault="00D7331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Marine Diesel Oil (Shipping)</w:t>
            </w:r>
          </w:p>
        </w:tc>
        <w:tc>
          <w:tcPr>
            <w:tcW w:w="1984" w:type="dxa"/>
          </w:tcPr>
          <w:p w14:paraId="269F482E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3,337,744 L</w:t>
            </w:r>
          </w:p>
        </w:tc>
        <w:tc>
          <w:tcPr>
            <w:tcW w:w="1985" w:type="dxa"/>
          </w:tcPr>
          <w:p w14:paraId="47A0E1FB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3,134,025 L</w:t>
            </w:r>
          </w:p>
        </w:tc>
        <w:tc>
          <w:tcPr>
            <w:tcW w:w="1366" w:type="dxa"/>
          </w:tcPr>
          <w:p w14:paraId="020A28CA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- 6.1%</w:t>
            </w:r>
          </w:p>
        </w:tc>
      </w:tr>
      <w:tr w:rsidR="006262C0" w14:paraId="4E9093E9" w14:textId="77777777" w:rsidTr="00772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</w:tcPr>
          <w:p w14:paraId="4977C7FD" w14:textId="77777777" w:rsidR="006262C0" w:rsidRDefault="00D7331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Aircraft Fuel </w:t>
            </w:r>
          </w:p>
        </w:tc>
        <w:tc>
          <w:tcPr>
            <w:tcW w:w="1984" w:type="dxa"/>
          </w:tcPr>
          <w:p w14:paraId="1340084F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1,494,239 L</w:t>
            </w:r>
          </w:p>
        </w:tc>
        <w:tc>
          <w:tcPr>
            <w:tcW w:w="1985" w:type="dxa"/>
          </w:tcPr>
          <w:p w14:paraId="1A8B788C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1,555,730 L</w:t>
            </w:r>
          </w:p>
        </w:tc>
        <w:tc>
          <w:tcPr>
            <w:tcW w:w="1366" w:type="dxa"/>
          </w:tcPr>
          <w:p w14:paraId="739C4F06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4.1%</w:t>
            </w:r>
          </w:p>
        </w:tc>
      </w:tr>
      <w:tr w:rsidR="006262C0" w14:paraId="5492874C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1B873FDE" w14:textId="77777777" w:rsidR="006262C0" w:rsidRDefault="00D7331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Number of Operational Vehicles</w:t>
            </w:r>
          </w:p>
        </w:tc>
        <w:tc>
          <w:tcPr>
            <w:tcW w:w="1984" w:type="dxa"/>
          </w:tcPr>
          <w:p w14:paraId="2EA9E28B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985" w:type="dxa"/>
          </w:tcPr>
          <w:p w14:paraId="4664BF7E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366" w:type="dxa"/>
          </w:tcPr>
          <w:p w14:paraId="22132C2D" w14:textId="77777777" w:rsidR="006262C0" w:rsidRDefault="00D7331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- 7.5%</w:t>
            </w:r>
          </w:p>
        </w:tc>
      </w:tr>
      <w:tr w:rsidR="004C40B8" w14:paraId="5CD3315E" w14:textId="77777777" w:rsidTr="004C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45D5D5B" w14:textId="77777777" w:rsidR="004C40B8" w:rsidRPr="004C40B8" w:rsidRDefault="004C40B8" w:rsidP="004C40B8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Greenhouse Gas Emissions</w:t>
            </w:r>
          </w:p>
        </w:tc>
      </w:tr>
      <w:tr w:rsidR="006262C0" w14:paraId="5F28F691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2D19BDAA" w14:textId="77777777" w:rsidR="006262C0" w:rsidRDefault="004C40B8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Station Emissions – Diesel Fuel</w:t>
            </w:r>
          </w:p>
        </w:tc>
        <w:tc>
          <w:tcPr>
            <w:tcW w:w="1984" w:type="dxa"/>
          </w:tcPr>
          <w:p w14:paraId="4F8DE66B" w14:textId="77777777" w:rsidR="006262C0" w:rsidRDefault="004C40B8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6,086</w:t>
            </w:r>
            <w:r w:rsidR="00F90FB4">
              <w:rPr>
                <w:sz w:val="20"/>
              </w:rPr>
              <w:t xml:space="preserve"> t CO</w:t>
            </w:r>
            <w:r w:rsidR="00F90FB4" w:rsidRPr="00F90FB4">
              <w:rPr>
                <w:sz w:val="20"/>
                <w:vertAlign w:val="subscript"/>
              </w:rPr>
              <w:t>2</w:t>
            </w:r>
            <w:r w:rsidR="00F90FB4">
              <w:rPr>
                <w:sz w:val="20"/>
              </w:rPr>
              <w:t>-e</w:t>
            </w:r>
          </w:p>
        </w:tc>
        <w:tc>
          <w:tcPr>
            <w:tcW w:w="1985" w:type="dxa"/>
          </w:tcPr>
          <w:p w14:paraId="11CD718A" w14:textId="77777777" w:rsidR="006262C0" w:rsidRDefault="004C40B8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5,616</w:t>
            </w:r>
            <w:r w:rsidR="00F90FB4">
              <w:rPr>
                <w:sz w:val="20"/>
              </w:rPr>
              <w:t xml:space="preserve"> t CO</w:t>
            </w:r>
            <w:r w:rsidR="00F90FB4" w:rsidRPr="00F90FB4">
              <w:rPr>
                <w:sz w:val="20"/>
                <w:vertAlign w:val="subscript"/>
              </w:rPr>
              <w:t>2</w:t>
            </w:r>
            <w:r w:rsidR="00F90FB4">
              <w:rPr>
                <w:sz w:val="20"/>
              </w:rPr>
              <w:t>-e</w:t>
            </w:r>
          </w:p>
        </w:tc>
        <w:tc>
          <w:tcPr>
            <w:tcW w:w="1366" w:type="dxa"/>
          </w:tcPr>
          <w:p w14:paraId="1189665F" w14:textId="77777777" w:rsidR="006262C0" w:rsidRDefault="004C40B8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- 7.7%</w:t>
            </w:r>
          </w:p>
        </w:tc>
      </w:tr>
      <w:tr w:rsidR="006262C0" w14:paraId="703F047D" w14:textId="77777777" w:rsidTr="00772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</w:tcPr>
          <w:p w14:paraId="41881163" w14:textId="77777777" w:rsidR="006262C0" w:rsidRDefault="004C40B8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Emissions – Antarctic Operations</w:t>
            </w:r>
          </w:p>
        </w:tc>
        <w:tc>
          <w:tcPr>
            <w:tcW w:w="1984" w:type="dxa"/>
          </w:tcPr>
          <w:p w14:paraId="1C0FCE58" w14:textId="77777777" w:rsidR="006262C0" w:rsidRDefault="004C40B8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19,894</w:t>
            </w:r>
            <w:r w:rsidR="00F90FB4">
              <w:rPr>
                <w:sz w:val="20"/>
              </w:rPr>
              <w:t xml:space="preserve"> t CO</w:t>
            </w:r>
            <w:r w:rsidR="00F90FB4" w:rsidRPr="00F90FB4">
              <w:rPr>
                <w:sz w:val="20"/>
                <w:vertAlign w:val="subscript"/>
              </w:rPr>
              <w:t>2</w:t>
            </w:r>
            <w:r w:rsidR="00F90FB4">
              <w:rPr>
                <w:sz w:val="20"/>
              </w:rPr>
              <w:t>-e</w:t>
            </w:r>
          </w:p>
        </w:tc>
        <w:tc>
          <w:tcPr>
            <w:tcW w:w="1985" w:type="dxa"/>
          </w:tcPr>
          <w:p w14:paraId="256BD578" w14:textId="77777777" w:rsidR="006262C0" w:rsidRDefault="004C40B8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19,002</w:t>
            </w:r>
            <w:r w:rsidR="00F90FB4">
              <w:rPr>
                <w:sz w:val="20"/>
              </w:rPr>
              <w:t xml:space="preserve"> t CO</w:t>
            </w:r>
            <w:r w:rsidR="00F90FB4" w:rsidRPr="00F90FB4">
              <w:rPr>
                <w:sz w:val="20"/>
                <w:vertAlign w:val="subscript"/>
              </w:rPr>
              <w:t>2</w:t>
            </w:r>
            <w:r w:rsidR="00F90FB4">
              <w:rPr>
                <w:sz w:val="20"/>
              </w:rPr>
              <w:t>-e</w:t>
            </w:r>
          </w:p>
        </w:tc>
        <w:tc>
          <w:tcPr>
            <w:tcW w:w="1366" w:type="dxa"/>
          </w:tcPr>
          <w:p w14:paraId="34E92BB8" w14:textId="77777777" w:rsidR="006262C0" w:rsidRDefault="004C40B8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- 4.5%</w:t>
            </w:r>
          </w:p>
        </w:tc>
      </w:tr>
      <w:tr w:rsidR="00F90FB4" w14:paraId="4B1E36EC" w14:textId="77777777" w:rsidTr="00F9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C9C16A9" w14:textId="77777777" w:rsidR="00F90FB4" w:rsidRPr="00F90FB4" w:rsidRDefault="00F90FB4" w:rsidP="00F90FB4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Water Consumption</w:t>
            </w:r>
          </w:p>
        </w:tc>
      </w:tr>
      <w:tr w:rsidR="006262C0" w14:paraId="4D22D0F5" w14:textId="77777777" w:rsidTr="00772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</w:tcPr>
          <w:p w14:paraId="612DDA4B" w14:textId="77777777" w:rsidR="006262C0" w:rsidRDefault="00F90FB4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Water Use</w:t>
            </w:r>
          </w:p>
        </w:tc>
        <w:tc>
          <w:tcPr>
            <w:tcW w:w="1984" w:type="dxa"/>
          </w:tcPr>
          <w:p w14:paraId="371C51ED" w14:textId="77777777" w:rsidR="006262C0" w:rsidRDefault="00F90FB4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6,270</w:t>
            </w:r>
            <w:r w:rsidR="005E4F32">
              <w:rPr>
                <w:sz w:val="20"/>
              </w:rPr>
              <w:t xml:space="preserve"> kL</w:t>
            </w:r>
          </w:p>
        </w:tc>
        <w:tc>
          <w:tcPr>
            <w:tcW w:w="1985" w:type="dxa"/>
          </w:tcPr>
          <w:p w14:paraId="547FD367" w14:textId="77777777" w:rsidR="006262C0" w:rsidRDefault="00F90FB4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6,786</w:t>
            </w:r>
            <w:r w:rsidR="005E4F32">
              <w:rPr>
                <w:sz w:val="20"/>
              </w:rPr>
              <w:t xml:space="preserve"> kL</w:t>
            </w:r>
          </w:p>
        </w:tc>
        <w:tc>
          <w:tcPr>
            <w:tcW w:w="1366" w:type="dxa"/>
          </w:tcPr>
          <w:p w14:paraId="46DDFC3F" w14:textId="77777777" w:rsidR="006262C0" w:rsidRDefault="00F90FB4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8.2%</w:t>
            </w:r>
          </w:p>
        </w:tc>
      </w:tr>
      <w:tr w:rsidR="006262C0" w14:paraId="41F73767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4BB71933" w14:textId="77777777" w:rsidR="006262C0" w:rsidRDefault="00F90FB4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Water Use per Person</w:t>
            </w:r>
          </w:p>
        </w:tc>
        <w:tc>
          <w:tcPr>
            <w:tcW w:w="1984" w:type="dxa"/>
          </w:tcPr>
          <w:p w14:paraId="4A4E9D55" w14:textId="77777777" w:rsidR="006262C0" w:rsidRDefault="005E4F3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43.5 kL</w:t>
            </w:r>
          </w:p>
        </w:tc>
        <w:tc>
          <w:tcPr>
            <w:tcW w:w="1985" w:type="dxa"/>
          </w:tcPr>
          <w:p w14:paraId="44F69D9F" w14:textId="77777777" w:rsidR="006262C0" w:rsidRDefault="005E4F3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44.9 kL</w:t>
            </w:r>
          </w:p>
        </w:tc>
        <w:tc>
          <w:tcPr>
            <w:tcW w:w="1366" w:type="dxa"/>
          </w:tcPr>
          <w:p w14:paraId="4409AB23" w14:textId="77777777" w:rsidR="006262C0" w:rsidRDefault="005E4F3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3.2%</w:t>
            </w:r>
          </w:p>
        </w:tc>
      </w:tr>
      <w:tr w:rsidR="00192292" w14:paraId="01582D97" w14:textId="77777777" w:rsidTr="0019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4155484" w14:textId="77777777" w:rsidR="00192292" w:rsidRPr="00192292" w:rsidRDefault="00192292" w:rsidP="00192292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Waste Returned to Australia</w:t>
            </w:r>
          </w:p>
        </w:tc>
      </w:tr>
      <w:tr w:rsidR="006262C0" w14:paraId="1B77225D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2ED9A0F8" w14:textId="77777777" w:rsidR="006262C0" w:rsidRDefault="0019229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Liquid Waste – Treated and Disposed</w:t>
            </w:r>
          </w:p>
        </w:tc>
        <w:tc>
          <w:tcPr>
            <w:tcW w:w="1984" w:type="dxa"/>
          </w:tcPr>
          <w:p w14:paraId="6E011CE3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17.4 t</w:t>
            </w:r>
          </w:p>
        </w:tc>
        <w:tc>
          <w:tcPr>
            <w:tcW w:w="1985" w:type="dxa"/>
          </w:tcPr>
          <w:p w14:paraId="3BBE3128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43.3 t</w:t>
            </w:r>
          </w:p>
        </w:tc>
        <w:tc>
          <w:tcPr>
            <w:tcW w:w="1366" w:type="dxa"/>
          </w:tcPr>
          <w:p w14:paraId="0A7090FE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148.9%</w:t>
            </w:r>
          </w:p>
        </w:tc>
      </w:tr>
      <w:tr w:rsidR="006262C0" w14:paraId="0F7F3484" w14:textId="77777777" w:rsidTr="00772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</w:tcPr>
          <w:p w14:paraId="446E0534" w14:textId="77777777" w:rsidR="006262C0" w:rsidRDefault="0019229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Waste Sent to Recycling Facilities</w:t>
            </w:r>
          </w:p>
        </w:tc>
        <w:tc>
          <w:tcPr>
            <w:tcW w:w="1984" w:type="dxa"/>
          </w:tcPr>
          <w:p w14:paraId="4BCA774E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46.5 t</w:t>
            </w:r>
          </w:p>
        </w:tc>
        <w:tc>
          <w:tcPr>
            <w:tcW w:w="1985" w:type="dxa"/>
          </w:tcPr>
          <w:p w14:paraId="314FB5E4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30.2 t</w:t>
            </w:r>
          </w:p>
        </w:tc>
        <w:tc>
          <w:tcPr>
            <w:tcW w:w="1366" w:type="dxa"/>
          </w:tcPr>
          <w:p w14:paraId="5A01BB67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- 35.1%</w:t>
            </w:r>
          </w:p>
        </w:tc>
      </w:tr>
      <w:tr w:rsidR="006262C0" w14:paraId="7E5670C8" w14:textId="77777777" w:rsidTr="00772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1" w:type="dxa"/>
          </w:tcPr>
          <w:p w14:paraId="1E0E541E" w14:textId="77777777" w:rsidR="006262C0" w:rsidRDefault="0019229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Waste to Landfill</w:t>
            </w:r>
          </w:p>
        </w:tc>
        <w:tc>
          <w:tcPr>
            <w:tcW w:w="1984" w:type="dxa"/>
          </w:tcPr>
          <w:p w14:paraId="26BDC42A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173.8 t</w:t>
            </w:r>
          </w:p>
        </w:tc>
        <w:tc>
          <w:tcPr>
            <w:tcW w:w="1985" w:type="dxa"/>
          </w:tcPr>
          <w:p w14:paraId="591B3AC0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146.7 t</w:t>
            </w:r>
          </w:p>
        </w:tc>
        <w:tc>
          <w:tcPr>
            <w:tcW w:w="1366" w:type="dxa"/>
          </w:tcPr>
          <w:p w14:paraId="04A9BA23" w14:textId="77777777" w:rsidR="006262C0" w:rsidRDefault="00192292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- 15.6%</w:t>
            </w:r>
          </w:p>
        </w:tc>
      </w:tr>
      <w:tr w:rsidR="006262C0" w14:paraId="6AB2B18B" w14:textId="77777777" w:rsidTr="00772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</w:tcPr>
          <w:p w14:paraId="55319EF8" w14:textId="77777777" w:rsidR="006262C0" w:rsidRDefault="00192292" w:rsidP="007720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Total Waste per Person</w:t>
            </w:r>
          </w:p>
        </w:tc>
        <w:tc>
          <w:tcPr>
            <w:tcW w:w="1984" w:type="dxa"/>
          </w:tcPr>
          <w:p w14:paraId="6BAC62BD" w14:textId="77777777" w:rsidR="006262C0" w:rsidRDefault="006C60EF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1.53 t</w:t>
            </w:r>
          </w:p>
        </w:tc>
        <w:tc>
          <w:tcPr>
            <w:tcW w:w="1985" w:type="dxa"/>
          </w:tcPr>
          <w:p w14:paraId="4F54D3E9" w14:textId="77777777" w:rsidR="006262C0" w:rsidRDefault="006C60EF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1.17 t</w:t>
            </w:r>
          </w:p>
        </w:tc>
        <w:tc>
          <w:tcPr>
            <w:tcW w:w="1366" w:type="dxa"/>
          </w:tcPr>
          <w:p w14:paraId="0452772D" w14:textId="77777777" w:rsidR="006262C0" w:rsidRDefault="006C60EF" w:rsidP="00D73312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75B61">
              <w:rPr>
                <w:sz w:val="20"/>
              </w:rPr>
              <w:t>23.5</w:t>
            </w:r>
            <w:r>
              <w:rPr>
                <w:sz w:val="20"/>
              </w:rPr>
              <w:t>%</w:t>
            </w:r>
          </w:p>
        </w:tc>
      </w:tr>
    </w:tbl>
    <w:p w14:paraId="6452042D" w14:textId="77777777" w:rsidR="00447E9B" w:rsidRPr="00447E9B" w:rsidRDefault="00447E9B" w:rsidP="00447E9B"/>
    <w:p w14:paraId="397714A8" w14:textId="77777777" w:rsidR="00447E9B" w:rsidRPr="00447E9B" w:rsidRDefault="00447E9B" w:rsidP="00447E9B"/>
    <w:p w14:paraId="2860307F" w14:textId="77777777" w:rsidR="00447E9B" w:rsidRPr="00447E9B" w:rsidRDefault="00447E9B" w:rsidP="00447E9B"/>
    <w:p w14:paraId="0D314C36" w14:textId="77777777" w:rsidR="00447E9B" w:rsidRPr="00447E9B" w:rsidRDefault="00447E9B" w:rsidP="00447E9B"/>
    <w:p w14:paraId="37455F73" w14:textId="77777777" w:rsidR="00447E9B" w:rsidRPr="00447E9B" w:rsidRDefault="00447E9B" w:rsidP="00447E9B"/>
    <w:p w14:paraId="7B6BA294" w14:textId="77777777" w:rsidR="00447E9B" w:rsidRPr="00447E9B" w:rsidRDefault="00447E9B" w:rsidP="00447E9B"/>
    <w:p w14:paraId="6B4905DE" w14:textId="77777777" w:rsidR="00447E9B" w:rsidRPr="00447E9B" w:rsidRDefault="00447E9B" w:rsidP="00447E9B"/>
    <w:p w14:paraId="6B730A76" w14:textId="77777777" w:rsidR="00447E9B" w:rsidRPr="00447E9B" w:rsidRDefault="00447E9B" w:rsidP="00447E9B"/>
    <w:p w14:paraId="3765319A" w14:textId="77777777" w:rsidR="00447E9B" w:rsidRPr="00447E9B" w:rsidRDefault="00447E9B" w:rsidP="00447E9B"/>
    <w:p w14:paraId="402CA79A" w14:textId="77777777" w:rsidR="00447E9B" w:rsidRPr="00447E9B" w:rsidRDefault="00447E9B" w:rsidP="00447E9B"/>
    <w:p w14:paraId="0C26A3CD" w14:textId="77777777" w:rsidR="00447E9B" w:rsidRDefault="00447E9B" w:rsidP="00447E9B"/>
    <w:p w14:paraId="4166B5AE" w14:textId="77777777" w:rsidR="00447E9B" w:rsidRPr="00447E9B" w:rsidRDefault="00447E9B" w:rsidP="00447E9B"/>
    <w:sectPr w:rsidR="00447E9B" w:rsidRPr="00447E9B" w:rsidSect="00447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8D3FA" w14:textId="77777777" w:rsidR="00FF36B5" w:rsidRDefault="00FF36B5" w:rsidP="00A60185">
      <w:pPr>
        <w:spacing w:after="0" w:line="240" w:lineRule="auto"/>
      </w:pPr>
      <w:r>
        <w:separator/>
      </w:r>
    </w:p>
  </w:endnote>
  <w:endnote w:type="continuationSeparator" w:id="0">
    <w:p w14:paraId="02AE5E76" w14:textId="77777777" w:rsidR="00FF36B5" w:rsidRDefault="00FF36B5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080A1" w14:textId="77777777" w:rsidR="00693D76" w:rsidRDefault="00693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201802890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EDCADC6" w14:textId="77777777" w:rsidR="00447E9B" w:rsidRPr="004C40B8" w:rsidRDefault="00447E9B" w:rsidP="00693D76">
        <w:pPr>
          <w:pStyle w:val="Footer"/>
          <w:jc w:val="right"/>
          <w:rPr>
            <w:rFonts w:cs="Arial"/>
            <w:sz w:val="20"/>
          </w:rPr>
        </w:pPr>
        <w:r w:rsidRPr="004C40B8">
          <w:rPr>
            <w:rFonts w:cs="Arial"/>
            <w:sz w:val="20"/>
          </w:rPr>
          <w:fldChar w:fldCharType="begin"/>
        </w:r>
        <w:r w:rsidRPr="004C40B8">
          <w:rPr>
            <w:rFonts w:cs="Arial"/>
            <w:sz w:val="20"/>
          </w:rPr>
          <w:instrText xml:space="preserve"> PAGE   \* MERGEFORMAT </w:instrText>
        </w:r>
        <w:r w:rsidRPr="004C40B8">
          <w:rPr>
            <w:rFonts w:cs="Arial"/>
            <w:sz w:val="20"/>
          </w:rPr>
          <w:fldChar w:fldCharType="separate"/>
        </w:r>
        <w:r w:rsidR="00DE50AE">
          <w:rPr>
            <w:rFonts w:cs="Arial"/>
            <w:noProof/>
            <w:sz w:val="20"/>
          </w:rPr>
          <w:t>2</w:t>
        </w:r>
        <w:r w:rsidRPr="004C40B8">
          <w:rPr>
            <w:rFonts w:cs="Arial"/>
            <w:noProof/>
            <w:sz w:val="20"/>
          </w:rPr>
          <w:fldChar w:fldCharType="end"/>
        </w:r>
      </w:p>
    </w:sdtContent>
  </w:sdt>
  <w:p w14:paraId="0303527C" w14:textId="77777777" w:rsidR="00100BEF" w:rsidRPr="004C40B8" w:rsidRDefault="00447E9B" w:rsidP="00447E9B">
    <w:pPr>
      <w:pStyle w:val="Footer"/>
      <w:rPr>
        <w:rFonts w:cs="Arial"/>
        <w:sz w:val="20"/>
      </w:rPr>
    </w:pPr>
    <w:r w:rsidRPr="004C40B8">
      <w:rPr>
        <w:rFonts w:cs="Arial"/>
        <w:bCs/>
        <w:sz w:val="18"/>
        <w:szCs w:val="20"/>
      </w:rPr>
      <w:t>2016-17 Annual Report Environmental Indicators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704F" w14:textId="77777777" w:rsidR="00447E9B" w:rsidRDefault="00447E9B">
    <w:pPr>
      <w:pStyle w:val="Footer"/>
    </w:pPr>
    <w:r>
      <w:rPr>
        <w:rFonts w:cs="Arial"/>
        <w:sz w:val="16"/>
        <w:szCs w:val="12"/>
      </w:rPr>
      <w:t>Use of Canberra-Based Pool Vehicles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85C6" w14:textId="77777777" w:rsidR="00FF36B5" w:rsidRDefault="00FF36B5" w:rsidP="00A60185">
      <w:pPr>
        <w:spacing w:after="0" w:line="240" w:lineRule="auto"/>
      </w:pPr>
      <w:r>
        <w:separator/>
      </w:r>
    </w:p>
  </w:footnote>
  <w:footnote w:type="continuationSeparator" w:id="0">
    <w:p w14:paraId="78EF6D67" w14:textId="77777777" w:rsidR="00FF36B5" w:rsidRDefault="00FF36B5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7A40" w14:textId="77777777" w:rsidR="00693D76" w:rsidRDefault="00693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A65D1" w14:textId="70FC6A89" w:rsidR="00447E9B" w:rsidRDefault="00447E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2FBB9BC1" wp14:editId="4B53047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3517265" cy="608965"/>
          <wp:effectExtent l="0" t="0" r="6985" b="635"/>
          <wp:wrapNone/>
          <wp:docPr id="3" name="Picture 0" descr="Description: Department of th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Department of th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6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4ADF42C4" wp14:editId="72112481">
          <wp:simplePos x="0" y="0"/>
          <wp:positionH relativeFrom="page">
            <wp:posOffset>-9525</wp:posOffset>
          </wp:positionH>
          <wp:positionV relativeFrom="page">
            <wp:posOffset>-64135</wp:posOffset>
          </wp:positionV>
          <wp:extent cx="7559675" cy="1439545"/>
          <wp:effectExtent l="0" t="0" r="0" b="0"/>
          <wp:wrapNone/>
          <wp:docPr id="4" name="Picture 2" descr="A4_Word_Header_Pl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_Word_Header_Pla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0907C" w14:textId="77777777" w:rsidR="00100BEF" w:rsidRPr="00447E9B" w:rsidRDefault="00447E9B" w:rsidP="00447E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16B257C3" wp14:editId="52DD80B9">
          <wp:simplePos x="0" y="0"/>
          <wp:positionH relativeFrom="page">
            <wp:posOffset>376555</wp:posOffset>
          </wp:positionH>
          <wp:positionV relativeFrom="page">
            <wp:posOffset>374015</wp:posOffset>
          </wp:positionV>
          <wp:extent cx="3517265" cy="608965"/>
          <wp:effectExtent l="0" t="0" r="6985" b="635"/>
          <wp:wrapNone/>
          <wp:docPr id="5" name="Picture 0" descr="Description: Department of th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Department of th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6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16A00B7B" wp14:editId="14E53219">
          <wp:simplePos x="0" y="0"/>
          <wp:positionH relativeFrom="page">
            <wp:posOffset>-13970</wp:posOffset>
          </wp:positionH>
          <wp:positionV relativeFrom="page">
            <wp:posOffset>-73660</wp:posOffset>
          </wp:positionV>
          <wp:extent cx="7559675" cy="1439545"/>
          <wp:effectExtent l="0" t="0" r="0" b="0"/>
          <wp:wrapNone/>
          <wp:docPr id="6" name="Picture 2" descr="A4_Word_Header_Pl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_Word_Header_Pla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42729D"/>
    <w:multiLevelType w:val="hybridMultilevel"/>
    <w:tmpl w:val="148C7E8E"/>
    <w:lvl w:ilvl="0" w:tplc="D11EE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16F9C"/>
    <w:multiLevelType w:val="multilevel"/>
    <w:tmpl w:val="E5E89F92"/>
    <w:numStyleLink w:val="BulletList"/>
  </w:abstractNum>
  <w:abstractNum w:abstractNumId="26" w15:restartNumberingAfterBreak="0">
    <w:nsid w:val="3B351B82"/>
    <w:multiLevelType w:val="multilevel"/>
    <w:tmpl w:val="E5E89F92"/>
    <w:numStyleLink w:val="BulletList"/>
  </w:abstractNum>
  <w:abstractNum w:abstractNumId="27" w15:restartNumberingAfterBreak="0">
    <w:nsid w:val="48B871CF"/>
    <w:multiLevelType w:val="multilevel"/>
    <w:tmpl w:val="E5E89F92"/>
    <w:numStyleLink w:val="BulletList"/>
  </w:abstractNum>
  <w:abstractNum w:abstractNumId="28" w15:restartNumberingAfterBreak="0">
    <w:nsid w:val="49016841"/>
    <w:multiLevelType w:val="multilevel"/>
    <w:tmpl w:val="E5E89F92"/>
    <w:numStyleLink w:val="BulletList"/>
  </w:abstractNum>
  <w:abstractNum w:abstractNumId="29" w15:restartNumberingAfterBreak="0">
    <w:nsid w:val="51A44175"/>
    <w:multiLevelType w:val="multilevel"/>
    <w:tmpl w:val="E5E89F92"/>
    <w:numStyleLink w:val="BulletList"/>
  </w:abstractNum>
  <w:abstractNum w:abstractNumId="30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C6E22"/>
    <w:multiLevelType w:val="hybridMultilevel"/>
    <w:tmpl w:val="AFE69430"/>
    <w:lvl w:ilvl="0" w:tplc="5E08B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56429"/>
    <w:multiLevelType w:val="multilevel"/>
    <w:tmpl w:val="E898CC72"/>
    <w:numStyleLink w:val="KeyPoints"/>
  </w:abstractNum>
  <w:abstractNum w:abstractNumId="33" w15:restartNumberingAfterBreak="0">
    <w:nsid w:val="672E0C2A"/>
    <w:multiLevelType w:val="multilevel"/>
    <w:tmpl w:val="E5E89F92"/>
    <w:numStyleLink w:val="BulletList"/>
  </w:abstractNum>
  <w:abstractNum w:abstractNumId="34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A823B13"/>
    <w:multiLevelType w:val="multilevel"/>
    <w:tmpl w:val="E5E89F92"/>
    <w:numStyleLink w:val="BulletList"/>
  </w:abstractNum>
  <w:abstractNum w:abstractNumId="37" w15:restartNumberingAfterBreak="0">
    <w:nsid w:val="6DF2198A"/>
    <w:multiLevelType w:val="multilevel"/>
    <w:tmpl w:val="E5E89F92"/>
    <w:numStyleLink w:val="BulletList"/>
  </w:abstractNum>
  <w:abstractNum w:abstractNumId="38" w15:restartNumberingAfterBreak="0">
    <w:nsid w:val="6F032444"/>
    <w:multiLevelType w:val="multilevel"/>
    <w:tmpl w:val="E5E89F92"/>
    <w:numStyleLink w:val="BulletList"/>
  </w:abstractNum>
  <w:abstractNum w:abstractNumId="39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700E0"/>
    <w:multiLevelType w:val="multilevel"/>
    <w:tmpl w:val="E898CC72"/>
    <w:numStyleLink w:val="KeyPoints"/>
  </w:abstractNum>
  <w:abstractNum w:abstractNumId="42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3" w15:restartNumberingAfterBreak="0">
    <w:nsid w:val="788260C9"/>
    <w:multiLevelType w:val="multilevel"/>
    <w:tmpl w:val="E898CC72"/>
    <w:numStyleLink w:val="KeyPoints"/>
  </w:abstractNum>
  <w:abstractNum w:abstractNumId="44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708B3"/>
    <w:multiLevelType w:val="multilevel"/>
    <w:tmpl w:val="E5E89F92"/>
    <w:numStyleLink w:val="BulletList"/>
  </w:abstractNum>
  <w:num w:numId="1">
    <w:abstractNumId w:val="42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7"/>
  </w:num>
  <w:num w:numId="5">
    <w:abstractNumId w:val="39"/>
  </w:num>
  <w:num w:numId="6">
    <w:abstractNumId w:val="40"/>
  </w:num>
  <w:num w:numId="7">
    <w:abstractNumId w:val="3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4"/>
  </w:num>
  <w:num w:numId="17">
    <w:abstractNumId w:val="12"/>
  </w:num>
  <w:num w:numId="18">
    <w:abstractNumId w:val="33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8"/>
  </w:num>
  <w:num w:numId="24">
    <w:abstractNumId w:val="38"/>
  </w:num>
  <w:num w:numId="25">
    <w:abstractNumId w:val="34"/>
  </w:num>
  <w:num w:numId="26">
    <w:abstractNumId w:val="26"/>
  </w:num>
  <w:num w:numId="27">
    <w:abstractNumId w:val="4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</w:num>
  <w:num w:numId="31">
    <w:abstractNumId w:val="37"/>
  </w:num>
  <w:num w:numId="32">
    <w:abstractNumId w:val="34"/>
  </w:num>
  <w:num w:numId="33">
    <w:abstractNumId w:val="29"/>
  </w:num>
  <w:num w:numId="34">
    <w:abstractNumId w:val="17"/>
  </w:num>
  <w:num w:numId="35">
    <w:abstractNumId w:val="30"/>
  </w:num>
  <w:num w:numId="36">
    <w:abstractNumId w:val="45"/>
  </w:num>
  <w:num w:numId="37">
    <w:abstractNumId w:val="45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3"/>
  </w:num>
  <w:num w:numId="45">
    <w:abstractNumId w:val="36"/>
  </w:num>
  <w:num w:numId="46">
    <w:abstractNumId w:val="46"/>
  </w:num>
  <w:num w:numId="47">
    <w:abstractNumId w:val="32"/>
  </w:num>
  <w:num w:numId="48">
    <w:abstractNumId w:val="18"/>
  </w:num>
  <w:num w:numId="49">
    <w:abstractNumId w:val="3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447E9B"/>
    <w:rsid w:val="00003C6D"/>
    <w:rsid w:val="00004AEE"/>
    <w:rsid w:val="00005CAA"/>
    <w:rsid w:val="00010210"/>
    <w:rsid w:val="00012D66"/>
    <w:rsid w:val="00015ADA"/>
    <w:rsid w:val="00020C99"/>
    <w:rsid w:val="0002707B"/>
    <w:rsid w:val="00042B7D"/>
    <w:rsid w:val="00044E44"/>
    <w:rsid w:val="0005148E"/>
    <w:rsid w:val="000606DD"/>
    <w:rsid w:val="00072C5A"/>
    <w:rsid w:val="000759E5"/>
    <w:rsid w:val="000773AF"/>
    <w:rsid w:val="00081A7A"/>
    <w:rsid w:val="00084AC6"/>
    <w:rsid w:val="00091608"/>
    <w:rsid w:val="0009333C"/>
    <w:rsid w:val="0009704F"/>
    <w:rsid w:val="0009795D"/>
    <w:rsid w:val="000A0F11"/>
    <w:rsid w:val="000A125A"/>
    <w:rsid w:val="000A57CD"/>
    <w:rsid w:val="000B3758"/>
    <w:rsid w:val="000B5AAC"/>
    <w:rsid w:val="000B7681"/>
    <w:rsid w:val="000B7B42"/>
    <w:rsid w:val="000C02B7"/>
    <w:rsid w:val="000C5100"/>
    <w:rsid w:val="000C5342"/>
    <w:rsid w:val="000C5E8A"/>
    <w:rsid w:val="000C706A"/>
    <w:rsid w:val="000D2887"/>
    <w:rsid w:val="000D6D63"/>
    <w:rsid w:val="000E0081"/>
    <w:rsid w:val="000E07CF"/>
    <w:rsid w:val="000E2B72"/>
    <w:rsid w:val="000E31C1"/>
    <w:rsid w:val="000F2CF2"/>
    <w:rsid w:val="00100BEF"/>
    <w:rsid w:val="00111326"/>
    <w:rsid w:val="0011498E"/>
    <w:rsid w:val="00117A45"/>
    <w:rsid w:val="001224AE"/>
    <w:rsid w:val="001337D4"/>
    <w:rsid w:val="001443C6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75B61"/>
    <w:rsid w:val="00175ED3"/>
    <w:rsid w:val="001842A2"/>
    <w:rsid w:val="00187FA8"/>
    <w:rsid w:val="00192292"/>
    <w:rsid w:val="00192F5E"/>
    <w:rsid w:val="00197772"/>
    <w:rsid w:val="001A131C"/>
    <w:rsid w:val="001A51C8"/>
    <w:rsid w:val="001B4CA8"/>
    <w:rsid w:val="001B5EA1"/>
    <w:rsid w:val="001C4F3D"/>
    <w:rsid w:val="001C5907"/>
    <w:rsid w:val="001D0CDC"/>
    <w:rsid w:val="001D1D82"/>
    <w:rsid w:val="001D4CE5"/>
    <w:rsid w:val="001E1182"/>
    <w:rsid w:val="001F28B5"/>
    <w:rsid w:val="00202C90"/>
    <w:rsid w:val="002058F8"/>
    <w:rsid w:val="00213DE8"/>
    <w:rsid w:val="00216118"/>
    <w:rsid w:val="002209AB"/>
    <w:rsid w:val="002251E3"/>
    <w:rsid w:val="00226721"/>
    <w:rsid w:val="00227A95"/>
    <w:rsid w:val="002316BD"/>
    <w:rsid w:val="00232706"/>
    <w:rsid w:val="002473FC"/>
    <w:rsid w:val="00252E3C"/>
    <w:rsid w:val="00262198"/>
    <w:rsid w:val="002631AB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2815"/>
    <w:rsid w:val="0030326F"/>
    <w:rsid w:val="003048B1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30AF"/>
    <w:rsid w:val="0035460C"/>
    <w:rsid w:val="003556BD"/>
    <w:rsid w:val="00365147"/>
    <w:rsid w:val="00365D73"/>
    <w:rsid w:val="0037016E"/>
    <w:rsid w:val="00372908"/>
    <w:rsid w:val="00383020"/>
    <w:rsid w:val="00394D7E"/>
    <w:rsid w:val="003975FD"/>
    <w:rsid w:val="003B057D"/>
    <w:rsid w:val="003B60CC"/>
    <w:rsid w:val="003B6945"/>
    <w:rsid w:val="003C1B25"/>
    <w:rsid w:val="003C2443"/>
    <w:rsid w:val="003C5DA3"/>
    <w:rsid w:val="003D4BCD"/>
    <w:rsid w:val="003D6C2B"/>
    <w:rsid w:val="003E01D8"/>
    <w:rsid w:val="003E2100"/>
    <w:rsid w:val="003E4003"/>
    <w:rsid w:val="003F6F5B"/>
    <w:rsid w:val="0040342D"/>
    <w:rsid w:val="0041192D"/>
    <w:rsid w:val="00413EE1"/>
    <w:rsid w:val="00420987"/>
    <w:rsid w:val="0042128E"/>
    <w:rsid w:val="00422BE7"/>
    <w:rsid w:val="00432B60"/>
    <w:rsid w:val="00436450"/>
    <w:rsid w:val="00440698"/>
    <w:rsid w:val="0044216C"/>
    <w:rsid w:val="00447E9B"/>
    <w:rsid w:val="004540E2"/>
    <w:rsid w:val="00454454"/>
    <w:rsid w:val="00467924"/>
    <w:rsid w:val="004712A5"/>
    <w:rsid w:val="0047266F"/>
    <w:rsid w:val="00475854"/>
    <w:rsid w:val="00476D6B"/>
    <w:rsid w:val="00492C16"/>
    <w:rsid w:val="0049542E"/>
    <w:rsid w:val="00495855"/>
    <w:rsid w:val="004A03EB"/>
    <w:rsid w:val="004A0678"/>
    <w:rsid w:val="004A27F1"/>
    <w:rsid w:val="004A37A4"/>
    <w:rsid w:val="004A48A3"/>
    <w:rsid w:val="004B0D92"/>
    <w:rsid w:val="004B0EC0"/>
    <w:rsid w:val="004B4E25"/>
    <w:rsid w:val="004B66F1"/>
    <w:rsid w:val="004C3B93"/>
    <w:rsid w:val="004C3EA0"/>
    <w:rsid w:val="004C40B8"/>
    <w:rsid w:val="004E2639"/>
    <w:rsid w:val="004F6C1A"/>
    <w:rsid w:val="004F7169"/>
    <w:rsid w:val="00500D66"/>
    <w:rsid w:val="00514C8E"/>
    <w:rsid w:val="0053092D"/>
    <w:rsid w:val="00531DBF"/>
    <w:rsid w:val="00545759"/>
    <w:rsid w:val="00545B95"/>
    <w:rsid w:val="00545BE0"/>
    <w:rsid w:val="00546930"/>
    <w:rsid w:val="00554C6A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A6E0E"/>
    <w:rsid w:val="005A7EDA"/>
    <w:rsid w:val="005B140D"/>
    <w:rsid w:val="005C1FEA"/>
    <w:rsid w:val="005C3495"/>
    <w:rsid w:val="005C6C27"/>
    <w:rsid w:val="005E3DFC"/>
    <w:rsid w:val="005E4F32"/>
    <w:rsid w:val="005E5942"/>
    <w:rsid w:val="005E60AF"/>
    <w:rsid w:val="005F1DEA"/>
    <w:rsid w:val="00607FC9"/>
    <w:rsid w:val="00622FE1"/>
    <w:rsid w:val="0062521C"/>
    <w:rsid w:val="006262C0"/>
    <w:rsid w:val="00630A2B"/>
    <w:rsid w:val="0063250B"/>
    <w:rsid w:val="00632DC7"/>
    <w:rsid w:val="006334D1"/>
    <w:rsid w:val="006357FB"/>
    <w:rsid w:val="006406FC"/>
    <w:rsid w:val="00640E57"/>
    <w:rsid w:val="00642D4C"/>
    <w:rsid w:val="00643390"/>
    <w:rsid w:val="00646122"/>
    <w:rsid w:val="00647850"/>
    <w:rsid w:val="00653E16"/>
    <w:rsid w:val="00657220"/>
    <w:rsid w:val="00657362"/>
    <w:rsid w:val="0066104B"/>
    <w:rsid w:val="006655EE"/>
    <w:rsid w:val="00667C10"/>
    <w:rsid w:val="00667EF4"/>
    <w:rsid w:val="0067152A"/>
    <w:rsid w:val="00676FCA"/>
    <w:rsid w:val="00677177"/>
    <w:rsid w:val="00682E65"/>
    <w:rsid w:val="0068612E"/>
    <w:rsid w:val="00687C92"/>
    <w:rsid w:val="006909CB"/>
    <w:rsid w:val="00693D76"/>
    <w:rsid w:val="0069534E"/>
    <w:rsid w:val="00695EDD"/>
    <w:rsid w:val="0069669C"/>
    <w:rsid w:val="006A1200"/>
    <w:rsid w:val="006A3D09"/>
    <w:rsid w:val="006A4F4E"/>
    <w:rsid w:val="006A6C23"/>
    <w:rsid w:val="006B14DB"/>
    <w:rsid w:val="006B21C4"/>
    <w:rsid w:val="006C4A1A"/>
    <w:rsid w:val="006C60EF"/>
    <w:rsid w:val="006D0393"/>
    <w:rsid w:val="006D1A83"/>
    <w:rsid w:val="006D5E1F"/>
    <w:rsid w:val="006E1CFE"/>
    <w:rsid w:val="006F10C4"/>
    <w:rsid w:val="006F40E9"/>
    <w:rsid w:val="006F5603"/>
    <w:rsid w:val="006F7B87"/>
    <w:rsid w:val="00701400"/>
    <w:rsid w:val="00702DEF"/>
    <w:rsid w:val="007037CF"/>
    <w:rsid w:val="007167C0"/>
    <w:rsid w:val="00720481"/>
    <w:rsid w:val="00733193"/>
    <w:rsid w:val="00733F88"/>
    <w:rsid w:val="00744DDA"/>
    <w:rsid w:val="00745E03"/>
    <w:rsid w:val="0075456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1A69"/>
    <w:rsid w:val="007752F1"/>
    <w:rsid w:val="00776768"/>
    <w:rsid w:val="0078187A"/>
    <w:rsid w:val="00794ED8"/>
    <w:rsid w:val="00795B40"/>
    <w:rsid w:val="007A2573"/>
    <w:rsid w:val="007A49FA"/>
    <w:rsid w:val="007B106C"/>
    <w:rsid w:val="007B1A4E"/>
    <w:rsid w:val="007B3D05"/>
    <w:rsid w:val="007B3D40"/>
    <w:rsid w:val="007B53BE"/>
    <w:rsid w:val="007B5503"/>
    <w:rsid w:val="007C179C"/>
    <w:rsid w:val="007C6BB3"/>
    <w:rsid w:val="007D14B4"/>
    <w:rsid w:val="007D3AD7"/>
    <w:rsid w:val="007E24F6"/>
    <w:rsid w:val="00800F64"/>
    <w:rsid w:val="00801050"/>
    <w:rsid w:val="00801C5B"/>
    <w:rsid w:val="00802F0B"/>
    <w:rsid w:val="0080546E"/>
    <w:rsid w:val="00810A67"/>
    <w:rsid w:val="00826DD4"/>
    <w:rsid w:val="00833CF7"/>
    <w:rsid w:val="00834CDE"/>
    <w:rsid w:val="00837410"/>
    <w:rsid w:val="00842464"/>
    <w:rsid w:val="00845601"/>
    <w:rsid w:val="008554AD"/>
    <w:rsid w:val="00855C5C"/>
    <w:rsid w:val="00866216"/>
    <w:rsid w:val="00866DD7"/>
    <w:rsid w:val="00887883"/>
    <w:rsid w:val="008A3C96"/>
    <w:rsid w:val="008B4019"/>
    <w:rsid w:val="008B65C9"/>
    <w:rsid w:val="008C2D4A"/>
    <w:rsid w:val="008C4E89"/>
    <w:rsid w:val="008C5F83"/>
    <w:rsid w:val="008D3900"/>
    <w:rsid w:val="008D6E1D"/>
    <w:rsid w:val="008F39B4"/>
    <w:rsid w:val="008F4162"/>
    <w:rsid w:val="00903E02"/>
    <w:rsid w:val="0091294C"/>
    <w:rsid w:val="00913175"/>
    <w:rsid w:val="00916EDB"/>
    <w:rsid w:val="00917571"/>
    <w:rsid w:val="00920861"/>
    <w:rsid w:val="00922B13"/>
    <w:rsid w:val="009242EF"/>
    <w:rsid w:val="00932291"/>
    <w:rsid w:val="00932861"/>
    <w:rsid w:val="0093408E"/>
    <w:rsid w:val="0094079D"/>
    <w:rsid w:val="00952DDF"/>
    <w:rsid w:val="00954768"/>
    <w:rsid w:val="00955F02"/>
    <w:rsid w:val="009610A3"/>
    <w:rsid w:val="00963B6A"/>
    <w:rsid w:val="00970950"/>
    <w:rsid w:val="00973A09"/>
    <w:rsid w:val="009812D4"/>
    <w:rsid w:val="009920D8"/>
    <w:rsid w:val="009952F5"/>
    <w:rsid w:val="009A5E3F"/>
    <w:rsid w:val="009A6DB7"/>
    <w:rsid w:val="009B38BE"/>
    <w:rsid w:val="009B7105"/>
    <w:rsid w:val="009C3D0F"/>
    <w:rsid w:val="009D7B73"/>
    <w:rsid w:val="009E1B19"/>
    <w:rsid w:val="009F35E2"/>
    <w:rsid w:val="009F65F9"/>
    <w:rsid w:val="009F68BA"/>
    <w:rsid w:val="009F71C1"/>
    <w:rsid w:val="00A06277"/>
    <w:rsid w:val="00A079DC"/>
    <w:rsid w:val="00A111C2"/>
    <w:rsid w:val="00A338E7"/>
    <w:rsid w:val="00A35CAA"/>
    <w:rsid w:val="00A36E7F"/>
    <w:rsid w:val="00A41E65"/>
    <w:rsid w:val="00A43E0A"/>
    <w:rsid w:val="00A43F90"/>
    <w:rsid w:val="00A530C7"/>
    <w:rsid w:val="00A536A0"/>
    <w:rsid w:val="00A55F5B"/>
    <w:rsid w:val="00A5711D"/>
    <w:rsid w:val="00A60185"/>
    <w:rsid w:val="00A654A2"/>
    <w:rsid w:val="00A661EA"/>
    <w:rsid w:val="00A830E5"/>
    <w:rsid w:val="00A8678B"/>
    <w:rsid w:val="00A87135"/>
    <w:rsid w:val="00A91E37"/>
    <w:rsid w:val="00A93280"/>
    <w:rsid w:val="00A951EA"/>
    <w:rsid w:val="00AA2548"/>
    <w:rsid w:val="00AA58C4"/>
    <w:rsid w:val="00AA7003"/>
    <w:rsid w:val="00AB11C8"/>
    <w:rsid w:val="00AC08A8"/>
    <w:rsid w:val="00AD448C"/>
    <w:rsid w:val="00AD56C8"/>
    <w:rsid w:val="00AD58F2"/>
    <w:rsid w:val="00AD7E59"/>
    <w:rsid w:val="00B0512A"/>
    <w:rsid w:val="00B0529F"/>
    <w:rsid w:val="00B1418B"/>
    <w:rsid w:val="00B15718"/>
    <w:rsid w:val="00B1706F"/>
    <w:rsid w:val="00B21195"/>
    <w:rsid w:val="00B24B22"/>
    <w:rsid w:val="00B25310"/>
    <w:rsid w:val="00B32F8F"/>
    <w:rsid w:val="00B3492A"/>
    <w:rsid w:val="00B37709"/>
    <w:rsid w:val="00B54DE9"/>
    <w:rsid w:val="00B553EC"/>
    <w:rsid w:val="00B55E3F"/>
    <w:rsid w:val="00B63C1E"/>
    <w:rsid w:val="00B852B3"/>
    <w:rsid w:val="00B85B73"/>
    <w:rsid w:val="00B86F50"/>
    <w:rsid w:val="00B93DD0"/>
    <w:rsid w:val="00B95AAE"/>
    <w:rsid w:val="00B97732"/>
    <w:rsid w:val="00BA1E1C"/>
    <w:rsid w:val="00BA2EEC"/>
    <w:rsid w:val="00BA65A8"/>
    <w:rsid w:val="00BA6D19"/>
    <w:rsid w:val="00BA7461"/>
    <w:rsid w:val="00BA7DA9"/>
    <w:rsid w:val="00BB0B4A"/>
    <w:rsid w:val="00BC4215"/>
    <w:rsid w:val="00BC7467"/>
    <w:rsid w:val="00BD1A6F"/>
    <w:rsid w:val="00BE6D3C"/>
    <w:rsid w:val="00BE7852"/>
    <w:rsid w:val="00BF7508"/>
    <w:rsid w:val="00BF7CEE"/>
    <w:rsid w:val="00C0280B"/>
    <w:rsid w:val="00C03880"/>
    <w:rsid w:val="00C11E34"/>
    <w:rsid w:val="00C135CF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B4314"/>
    <w:rsid w:val="00CC0C19"/>
    <w:rsid w:val="00CC4365"/>
    <w:rsid w:val="00CD11B0"/>
    <w:rsid w:val="00CE71C2"/>
    <w:rsid w:val="00CF34E9"/>
    <w:rsid w:val="00CF42D5"/>
    <w:rsid w:val="00CF4EDA"/>
    <w:rsid w:val="00D021CB"/>
    <w:rsid w:val="00D10086"/>
    <w:rsid w:val="00D10F1A"/>
    <w:rsid w:val="00D116F8"/>
    <w:rsid w:val="00D124F5"/>
    <w:rsid w:val="00D17596"/>
    <w:rsid w:val="00D21D54"/>
    <w:rsid w:val="00D22640"/>
    <w:rsid w:val="00D23CA5"/>
    <w:rsid w:val="00D26D3A"/>
    <w:rsid w:val="00D31D94"/>
    <w:rsid w:val="00D36AAC"/>
    <w:rsid w:val="00D45EE3"/>
    <w:rsid w:val="00D50618"/>
    <w:rsid w:val="00D509E9"/>
    <w:rsid w:val="00D51DE3"/>
    <w:rsid w:val="00D53B1C"/>
    <w:rsid w:val="00D65A35"/>
    <w:rsid w:val="00D71674"/>
    <w:rsid w:val="00D73312"/>
    <w:rsid w:val="00D9075A"/>
    <w:rsid w:val="00D94FB5"/>
    <w:rsid w:val="00DA1B12"/>
    <w:rsid w:val="00DA25D3"/>
    <w:rsid w:val="00DA54C9"/>
    <w:rsid w:val="00DA6739"/>
    <w:rsid w:val="00DA6CAE"/>
    <w:rsid w:val="00DB1A9E"/>
    <w:rsid w:val="00DB31D6"/>
    <w:rsid w:val="00DB4005"/>
    <w:rsid w:val="00DB6F7B"/>
    <w:rsid w:val="00DC34EB"/>
    <w:rsid w:val="00DC706F"/>
    <w:rsid w:val="00DD140A"/>
    <w:rsid w:val="00DE50AE"/>
    <w:rsid w:val="00DF15BD"/>
    <w:rsid w:val="00DF1E5B"/>
    <w:rsid w:val="00DF2275"/>
    <w:rsid w:val="00DF397A"/>
    <w:rsid w:val="00DF3F5E"/>
    <w:rsid w:val="00DF5653"/>
    <w:rsid w:val="00E027BC"/>
    <w:rsid w:val="00E0596E"/>
    <w:rsid w:val="00E06F66"/>
    <w:rsid w:val="00E27D7E"/>
    <w:rsid w:val="00E321C9"/>
    <w:rsid w:val="00E356E5"/>
    <w:rsid w:val="00E36F81"/>
    <w:rsid w:val="00E45765"/>
    <w:rsid w:val="00E5098C"/>
    <w:rsid w:val="00E60213"/>
    <w:rsid w:val="00E661B2"/>
    <w:rsid w:val="00E66B89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C7C4A"/>
    <w:rsid w:val="00ED7AE5"/>
    <w:rsid w:val="00EE2E29"/>
    <w:rsid w:val="00EE3146"/>
    <w:rsid w:val="00EF2771"/>
    <w:rsid w:val="00EF50BB"/>
    <w:rsid w:val="00EF53FF"/>
    <w:rsid w:val="00F00192"/>
    <w:rsid w:val="00F01DF6"/>
    <w:rsid w:val="00F0340D"/>
    <w:rsid w:val="00F059A6"/>
    <w:rsid w:val="00F0650D"/>
    <w:rsid w:val="00F23756"/>
    <w:rsid w:val="00F2523A"/>
    <w:rsid w:val="00F25D3D"/>
    <w:rsid w:val="00F25FFA"/>
    <w:rsid w:val="00F310D2"/>
    <w:rsid w:val="00F36F3D"/>
    <w:rsid w:val="00F475C4"/>
    <w:rsid w:val="00F477BD"/>
    <w:rsid w:val="00F53491"/>
    <w:rsid w:val="00F55ACF"/>
    <w:rsid w:val="00F64A97"/>
    <w:rsid w:val="00F65A1C"/>
    <w:rsid w:val="00F66F50"/>
    <w:rsid w:val="00F7545F"/>
    <w:rsid w:val="00F82D69"/>
    <w:rsid w:val="00F82FF8"/>
    <w:rsid w:val="00F8330D"/>
    <w:rsid w:val="00F84305"/>
    <w:rsid w:val="00F8485C"/>
    <w:rsid w:val="00F87149"/>
    <w:rsid w:val="00F87FFE"/>
    <w:rsid w:val="00F90FB4"/>
    <w:rsid w:val="00F954C9"/>
    <w:rsid w:val="00FA4CF0"/>
    <w:rsid w:val="00FA61AA"/>
    <w:rsid w:val="00FA69A4"/>
    <w:rsid w:val="00FB1279"/>
    <w:rsid w:val="00FB1495"/>
    <w:rsid w:val="00FC34D2"/>
    <w:rsid w:val="00FD1694"/>
    <w:rsid w:val="00FD7636"/>
    <w:rsid w:val="00FE3229"/>
    <w:rsid w:val="00FE74C3"/>
    <w:rsid w:val="00FF215C"/>
    <w:rsid w:val="00FF2847"/>
    <w:rsid w:val="00FF36B5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33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447E9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6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6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5F68-8AF3-420C-AE3B-59A84DC3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533DD7BC.dotm</Template>
  <TotalTime>0</TotalTime>
  <Pages>4</Pages>
  <Words>1347</Words>
  <Characters>7705</Characters>
  <Application>Microsoft Office Word</Application>
  <DocSecurity>0</DocSecurity>
  <Lines>256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2016-17 Annual Report Environmental Indicators</vt:lpstr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2016-17 Annual Report Environmental Indicators</dc:title>
  <dc:subject/>
  <dc:creator/>
  <cp:keywords/>
  <dc:description/>
  <cp:lastModifiedBy/>
  <cp:revision>1</cp:revision>
  <dcterms:created xsi:type="dcterms:W3CDTF">2018-01-17T22:12:00Z</dcterms:created>
  <dcterms:modified xsi:type="dcterms:W3CDTF">2018-01-17T22:12:00Z</dcterms:modified>
</cp:coreProperties>
</file>