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51166" w14:textId="5F5E42F1" w:rsidR="007D0BD1" w:rsidRDefault="007D0BD1" w:rsidP="00601472">
      <w:pPr>
        <w:pStyle w:val="Heading1"/>
        <w:tabs>
          <w:tab w:val="left" w:pos="5103"/>
        </w:tabs>
      </w:pPr>
      <w:bookmarkStart w:id="0" w:name="_Toc511918005"/>
      <w:bookmarkStart w:id="1" w:name="_GoBack"/>
      <w:bookmarkEnd w:id="1"/>
      <w:r w:rsidRPr="000718DF">
        <w:rPr>
          <w:noProof/>
          <w:lang w:eastAsia="en-AU"/>
        </w:rPr>
        <w:drawing>
          <wp:anchor distT="0" distB="0" distL="114300" distR="114300" simplePos="0" relativeHeight="251659264" behindDoc="0" locked="0" layoutInCell="1" allowOverlap="1" wp14:anchorId="3E3B0998" wp14:editId="1528C882">
            <wp:simplePos x="0" y="0"/>
            <wp:positionH relativeFrom="margin">
              <wp:align>left</wp:align>
            </wp:positionH>
            <wp:positionV relativeFrom="paragraph">
              <wp:posOffset>8890</wp:posOffset>
            </wp:positionV>
            <wp:extent cx="3219450" cy="549910"/>
            <wp:effectExtent l="0" t="0" r="0" b="2540"/>
            <wp:wrapTopAndBottom/>
            <wp:docPr id="6" name="Picture 6" descr="Australia Government&#10;Department of the environment and energy" title="Australia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285" cy="561732"/>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1443DB5C" w14:textId="00B56452" w:rsidR="005169D4" w:rsidRPr="00C71548" w:rsidRDefault="00605797" w:rsidP="00601472">
      <w:pPr>
        <w:pStyle w:val="Heading1"/>
        <w:tabs>
          <w:tab w:val="left" w:pos="5103"/>
        </w:tabs>
        <w:rPr>
          <w:color w:val="1F497D" w:themeColor="text2"/>
        </w:rPr>
      </w:pPr>
      <w:r w:rsidRPr="00C71548">
        <w:rPr>
          <w:color w:val="1F497D" w:themeColor="text2"/>
        </w:rPr>
        <w:t xml:space="preserve">Methodology for the 2017 projections </w:t>
      </w:r>
    </w:p>
    <w:p w14:paraId="33D79CD4" w14:textId="3526E231" w:rsidR="002A53D5" w:rsidRDefault="002A53D5" w:rsidP="00E4600F">
      <w:pPr>
        <w:spacing w:after="120"/>
      </w:pPr>
      <w:r>
        <w:t xml:space="preserve">Australia’s </w:t>
      </w:r>
      <w:r w:rsidR="00FB329E">
        <w:t>emissions projections</w:t>
      </w:r>
      <w:r>
        <w:t xml:space="preserve"> incorporate a variety of key data inputs, assumptions and methods.</w:t>
      </w:r>
      <w:r w:rsidR="002B607E">
        <w:t xml:space="preserve"> This methodology</w:t>
      </w:r>
      <w:r w:rsidR="00FF3F0E">
        <w:t xml:space="preserve"> document</w:t>
      </w:r>
      <w:r w:rsidR="002B607E">
        <w:t xml:space="preserve"> provides information on how the Department of the Environment and Energy </w:t>
      </w:r>
      <w:r w:rsidR="0075755F">
        <w:t xml:space="preserve">(the Department) </w:t>
      </w:r>
      <w:r w:rsidR="002B607E">
        <w:t>has estimated the 2017 projections of greenhouse gas (GHG) emissions.</w:t>
      </w:r>
      <w:r w:rsidR="00D27785">
        <w:t xml:space="preserve"> </w:t>
      </w:r>
    </w:p>
    <w:p w14:paraId="0C78E504" w14:textId="7FD0821C" w:rsidR="00E4600F" w:rsidRDefault="0046424F" w:rsidP="00E4600F">
      <w:pPr>
        <w:spacing w:after="120"/>
      </w:pPr>
      <w:r>
        <w:t xml:space="preserve">The projections are prepared at a sectoral level consistent with </w:t>
      </w:r>
      <w:r w:rsidR="00E4600F" w:rsidRPr="008B0FB7">
        <w:t>international guidelines adopted by the U</w:t>
      </w:r>
      <w:r w:rsidR="00E4600F">
        <w:t xml:space="preserve">nited </w:t>
      </w:r>
      <w:r w:rsidR="00E4600F" w:rsidRPr="008B0FB7">
        <w:t>N</w:t>
      </w:r>
      <w:r w:rsidR="00E4600F">
        <w:t xml:space="preserve">ations </w:t>
      </w:r>
      <w:r w:rsidR="00E4600F" w:rsidRPr="008B0FB7">
        <w:t>F</w:t>
      </w:r>
      <w:r w:rsidR="00E4600F">
        <w:t xml:space="preserve">ramework </w:t>
      </w:r>
      <w:r w:rsidR="00E4600F" w:rsidRPr="008B0FB7">
        <w:t>C</w:t>
      </w:r>
      <w:r w:rsidR="00E4600F">
        <w:t xml:space="preserve">onvention on </w:t>
      </w:r>
      <w:r w:rsidR="00E4600F" w:rsidRPr="008B0FB7">
        <w:t>C</w:t>
      </w:r>
      <w:r w:rsidR="00E4600F">
        <w:t xml:space="preserve">limate </w:t>
      </w:r>
      <w:r w:rsidR="00E4600F" w:rsidRPr="008B0FB7">
        <w:t>C</w:t>
      </w:r>
      <w:r w:rsidR="00E4600F">
        <w:t>hange (UNFCCC).</w:t>
      </w:r>
    </w:p>
    <w:p w14:paraId="471B59E1" w14:textId="3E4FDE5A" w:rsidR="00E4600F" w:rsidRDefault="00E4600F" w:rsidP="00E4600F">
      <w:pPr>
        <w:spacing w:after="120"/>
      </w:pPr>
      <w:r>
        <w:t xml:space="preserve">The projections use </w:t>
      </w:r>
      <w:r w:rsidRPr="008B0FB7">
        <w:t xml:space="preserve">public data sources </w:t>
      </w:r>
      <w:r>
        <w:t>from</w:t>
      </w:r>
      <w:r w:rsidRPr="008B0FB7">
        <w:t xml:space="preserve"> government agencies and other bodies</w:t>
      </w:r>
      <w:r>
        <w:t xml:space="preserve"> to inform production estimates. Emissions factors are consistent with Australia’s </w:t>
      </w:r>
      <w:r w:rsidR="0075755F">
        <w:t xml:space="preserve">national </w:t>
      </w:r>
      <w:r>
        <w:t>greenhouse gas inventory</w:t>
      </w:r>
      <w:r w:rsidR="00FF3F0E">
        <w:t xml:space="preserve">. The projections include </w:t>
      </w:r>
      <w:r>
        <w:t xml:space="preserve">estimates of abatement from policies and measures where appropriate. </w:t>
      </w:r>
    </w:p>
    <w:p w14:paraId="4449C996" w14:textId="2A8CB4E4" w:rsidR="00484C3E" w:rsidRDefault="006C2568" w:rsidP="00484C3E">
      <w:r>
        <w:t>G</w:t>
      </w:r>
      <w:r w:rsidR="00EF6000">
        <w:t xml:space="preserve">reenhouse gas </w:t>
      </w:r>
      <w:r>
        <w:t>emission estimates</w:t>
      </w:r>
      <w:r w:rsidR="00F45680">
        <w:t xml:space="preserve"> are expressed in terms of carbon dioxide equivalent (CO</w:t>
      </w:r>
      <w:r w:rsidR="00F45680" w:rsidRPr="00F45680">
        <w:rPr>
          <w:vertAlign w:val="subscript"/>
        </w:rPr>
        <w:t>2</w:t>
      </w:r>
      <w:r w:rsidR="00F45680">
        <w:t>-e)</w:t>
      </w:r>
      <w:r w:rsidR="00EF6000">
        <w:t xml:space="preserve"> using</w:t>
      </w:r>
      <w:r w:rsidR="00F45680">
        <w:t xml:space="preserve"> the 100 year global warming potentials contained in the Intergovernmental Panel on Climate Change’s </w:t>
      </w:r>
      <w:r w:rsidR="00F45680" w:rsidRPr="00F45680">
        <w:rPr>
          <w:i/>
        </w:rPr>
        <w:t>Fourth Assessment Report</w:t>
      </w:r>
      <w:r w:rsidR="00F45680">
        <w:t xml:space="preserve"> (IPCC 2007). </w:t>
      </w:r>
      <w:r w:rsidR="00EF6000">
        <w:t xml:space="preserve">As greenhouse gases vary in their radiative activity, and in their atmospheric </w:t>
      </w:r>
      <w:r w:rsidR="0014244D">
        <w:t>resistance time, converting emissions into CO</w:t>
      </w:r>
      <w:r w:rsidR="0014244D" w:rsidRPr="0014244D">
        <w:rPr>
          <w:vertAlign w:val="subscript"/>
        </w:rPr>
        <w:t>2</w:t>
      </w:r>
      <w:r w:rsidR="0014244D">
        <w:t>-e allows the integrated effect of emissions of the various gases to be compared.</w:t>
      </w:r>
    </w:p>
    <w:p w14:paraId="1C50AAA9" w14:textId="0075D4FE" w:rsidR="00E90B63" w:rsidRDefault="00E17550" w:rsidP="00484C3E">
      <w:r>
        <w:t>Australia’s</w:t>
      </w:r>
      <w:r w:rsidR="00FB329E">
        <w:t xml:space="preserve"> </w:t>
      </w:r>
      <w:r w:rsidR="008F5261">
        <w:t xml:space="preserve">emission </w:t>
      </w:r>
      <w:r>
        <w:t xml:space="preserve">projections </w:t>
      </w:r>
      <w:r w:rsidR="002B607E">
        <w:t xml:space="preserve">includes </w:t>
      </w:r>
      <w:r>
        <w:t>the following elements:</w:t>
      </w:r>
    </w:p>
    <w:p w14:paraId="0F892790" w14:textId="14EF6D5B" w:rsidR="0014244D" w:rsidRDefault="00E17550" w:rsidP="00E17550">
      <w:pPr>
        <w:pStyle w:val="ListBullet"/>
      </w:pPr>
      <w:r>
        <w:t>historical emissions</w:t>
      </w:r>
      <w:r w:rsidR="00DB3D87">
        <w:t xml:space="preserve"> data taken from the</w:t>
      </w:r>
      <w:r>
        <w:t xml:space="preserve"> </w:t>
      </w:r>
      <w:r w:rsidRPr="00E17550">
        <w:rPr>
          <w:i/>
        </w:rPr>
        <w:t>National Inventory Report</w:t>
      </w:r>
      <w:r>
        <w:t xml:space="preserve">, released in </w:t>
      </w:r>
      <w:r w:rsidR="00FC7166">
        <w:t>June</w:t>
      </w:r>
      <w:r>
        <w:t xml:space="preserve"> 2017</w:t>
      </w:r>
      <w:r w:rsidR="00F86066">
        <w:t xml:space="preserve"> </w:t>
      </w:r>
      <w:r w:rsidR="00152C38">
        <w:t>(</w:t>
      </w:r>
      <w:proofErr w:type="spellStart"/>
      <w:r w:rsidR="00152C38">
        <w:t>DoEE</w:t>
      </w:r>
      <w:proofErr w:type="spellEnd"/>
      <w:r w:rsidR="00152C38">
        <w:t xml:space="preserve"> 2017</w:t>
      </w:r>
      <w:r w:rsidR="00F86066">
        <w:t>)</w:t>
      </w:r>
    </w:p>
    <w:p w14:paraId="49DB897A" w14:textId="3DD627A5" w:rsidR="00E17550" w:rsidRDefault="00E17550" w:rsidP="00E17550">
      <w:pPr>
        <w:pStyle w:val="ListBullet"/>
      </w:pPr>
      <w:proofErr w:type="gramStart"/>
      <w:r>
        <w:t>sector</w:t>
      </w:r>
      <w:proofErr w:type="gramEnd"/>
      <w:r>
        <w:t xml:space="preserve"> specific emissions estimation processes</w:t>
      </w:r>
      <w:r w:rsidR="004E7D0E">
        <w:t>.</w:t>
      </w:r>
    </w:p>
    <w:p w14:paraId="341C043C" w14:textId="0D0F8335" w:rsidR="00386E62" w:rsidRDefault="004E7D0E" w:rsidP="00FB329E">
      <w:pPr>
        <w:pStyle w:val="ListBullet"/>
        <w:numPr>
          <w:ilvl w:val="0"/>
          <w:numId w:val="0"/>
        </w:numPr>
      </w:pPr>
      <w:r>
        <w:t>R</w:t>
      </w:r>
      <w:r w:rsidR="00386E62">
        <w:t xml:space="preserve">eporting years for all sectors are presented as financial years </w:t>
      </w:r>
      <w:r w:rsidR="00642716">
        <w:t xml:space="preserve">consistent with Australia’s </w:t>
      </w:r>
      <w:r w:rsidR="00BF41D6">
        <w:t>n</w:t>
      </w:r>
      <w:r w:rsidR="006C2568">
        <w:t>ational greenhouse gas inventory</w:t>
      </w:r>
      <w:r w:rsidR="00386E62">
        <w:t>. For instance, ‘2030’ refers to financial year 2029</w:t>
      </w:r>
      <w:r>
        <w:t>–</w:t>
      </w:r>
      <w:r w:rsidR="00386E62">
        <w:t>2030.</w:t>
      </w:r>
    </w:p>
    <w:p w14:paraId="7054EE8D" w14:textId="0D5FCDBC" w:rsidR="00B70D81" w:rsidRDefault="002B607E" w:rsidP="00B70D81">
      <w:pPr>
        <w:spacing w:before="200"/>
      </w:pPr>
      <w:r>
        <w:t>T</w:t>
      </w:r>
      <w:r w:rsidR="00F86066">
        <w:t>he 2017 projections</w:t>
      </w:r>
      <w:r>
        <w:t xml:space="preserve"> have been scaled to </w:t>
      </w:r>
      <w:r w:rsidR="00FF3F0E">
        <w:t>the</w:t>
      </w:r>
      <w:r w:rsidR="00B70D81" w:rsidRPr="00802206">
        <w:rPr>
          <w:i/>
        </w:rPr>
        <w:t xml:space="preserve"> N</w:t>
      </w:r>
      <w:r w:rsidR="00642716" w:rsidRPr="00802206">
        <w:rPr>
          <w:i/>
        </w:rPr>
        <w:t xml:space="preserve">ational </w:t>
      </w:r>
      <w:r w:rsidR="0075755F">
        <w:rPr>
          <w:i/>
        </w:rPr>
        <w:t>G</w:t>
      </w:r>
      <w:r w:rsidR="00642716" w:rsidRPr="00802206">
        <w:rPr>
          <w:i/>
        </w:rPr>
        <w:t xml:space="preserve">reenhouse </w:t>
      </w:r>
      <w:r w:rsidR="0075755F">
        <w:rPr>
          <w:i/>
        </w:rPr>
        <w:t>G</w:t>
      </w:r>
      <w:r w:rsidR="00642716" w:rsidRPr="00802206">
        <w:rPr>
          <w:i/>
        </w:rPr>
        <w:t xml:space="preserve">as </w:t>
      </w:r>
      <w:r w:rsidR="0075755F">
        <w:rPr>
          <w:i/>
        </w:rPr>
        <w:t>I</w:t>
      </w:r>
      <w:r w:rsidR="00B70D81" w:rsidRPr="00802206">
        <w:rPr>
          <w:i/>
        </w:rPr>
        <w:t>nventory</w:t>
      </w:r>
      <w:r w:rsidR="0075755F">
        <w:rPr>
          <w:i/>
        </w:rPr>
        <w:t xml:space="preserve">, June Quarter 2017 </w:t>
      </w:r>
      <w:r w:rsidR="00152C38">
        <w:t>(</w:t>
      </w:r>
      <w:proofErr w:type="spellStart"/>
      <w:r w:rsidR="00152C38">
        <w:t>DoEE</w:t>
      </w:r>
      <w:proofErr w:type="spellEnd"/>
      <w:r w:rsidR="00152C38">
        <w:t> 2017</w:t>
      </w:r>
      <w:r w:rsidR="004E7D0E">
        <w:t>b</w:t>
      </w:r>
      <w:r w:rsidR="00B70D81">
        <w:t xml:space="preserve">). Scaling is </w:t>
      </w:r>
      <w:r>
        <w:t>done</w:t>
      </w:r>
      <w:r w:rsidR="00FB329E">
        <w:t xml:space="preserve"> </w:t>
      </w:r>
      <w:r w:rsidR="00B70D81">
        <w:t>as shown below:</w:t>
      </w:r>
    </w:p>
    <w:p w14:paraId="05507F01" w14:textId="6E52837E" w:rsidR="00B70D81" w:rsidRDefault="00B70D81" w:rsidP="00B70D81">
      <w:r>
        <w:t>Scaled value E</w:t>
      </w:r>
      <w:r w:rsidR="007629E8">
        <w:rPr>
          <w:vertAlign w:val="subscript"/>
        </w:rPr>
        <w:t>t</w:t>
      </w:r>
      <w:r w:rsidRPr="001B75E7">
        <w:rPr>
          <w:vertAlign w:val="subscript"/>
        </w:rPr>
        <w:t xml:space="preserve"> </w:t>
      </w:r>
      <w:r>
        <w:t xml:space="preserve">= Inventory value </w:t>
      </w:r>
      <w:proofErr w:type="gramStart"/>
      <w:r>
        <w:t>E</w:t>
      </w:r>
      <w:r w:rsidR="000A4C0D">
        <w:rPr>
          <w:vertAlign w:val="subscript"/>
        </w:rPr>
        <w:t>(</w:t>
      </w:r>
      <w:proofErr w:type="gramEnd"/>
      <w:r w:rsidR="000A4C0D">
        <w:rPr>
          <w:vertAlign w:val="subscript"/>
        </w:rPr>
        <w:t>2017)</w:t>
      </w:r>
      <w:r>
        <w:t xml:space="preserve"> x Modelled value E</w:t>
      </w:r>
      <w:r w:rsidR="007629E8">
        <w:rPr>
          <w:vertAlign w:val="subscript"/>
        </w:rPr>
        <w:t>t</w:t>
      </w:r>
      <w:r>
        <w:t xml:space="preserve"> / Modelled value E</w:t>
      </w:r>
      <w:r w:rsidR="000A4C0D">
        <w:rPr>
          <w:vertAlign w:val="subscript"/>
        </w:rPr>
        <w:t>(2017)</w:t>
      </w:r>
    </w:p>
    <w:p w14:paraId="7C24EC80" w14:textId="51129174" w:rsidR="00B70D81" w:rsidRDefault="00B70D81" w:rsidP="00B70D81">
      <w:r>
        <w:t xml:space="preserve">Where </w:t>
      </w:r>
      <w:proofErr w:type="gramStart"/>
      <w:r>
        <w:t>E</w:t>
      </w:r>
      <w:r w:rsidR="007629E8">
        <w:rPr>
          <w:vertAlign w:val="subscript"/>
        </w:rPr>
        <w:t>t</w:t>
      </w:r>
      <w:proofErr w:type="gramEnd"/>
      <w:r w:rsidRPr="001B75E7">
        <w:rPr>
          <w:vertAlign w:val="subscript"/>
        </w:rPr>
        <w:t xml:space="preserve"> </w:t>
      </w:r>
      <w:r>
        <w:t>= emissions in year</w:t>
      </w:r>
      <w:r w:rsidR="007629E8">
        <w:rPr>
          <w:vertAlign w:val="subscript"/>
        </w:rPr>
        <w:t xml:space="preserve"> </w:t>
      </w:r>
      <w:r w:rsidR="007629E8">
        <w:t>t from the given subsector</w:t>
      </w:r>
      <w:r>
        <w:rPr>
          <w:vertAlign w:val="subscript"/>
        </w:rPr>
        <w:t xml:space="preserve"> </w:t>
      </w:r>
      <w:r>
        <w:t>(</w:t>
      </w:r>
      <w:r w:rsidRPr="001B75E7">
        <w:t>Mt CO</w:t>
      </w:r>
      <w:r w:rsidRPr="00D74168">
        <w:rPr>
          <w:vertAlign w:val="subscript"/>
        </w:rPr>
        <w:t>2</w:t>
      </w:r>
      <w:r w:rsidRPr="001B75E7">
        <w:t>-e)</w:t>
      </w:r>
    </w:p>
    <w:p w14:paraId="2F91F1F9" w14:textId="2982F110" w:rsidR="00B70D81" w:rsidRDefault="00B70D81" w:rsidP="00B70D81">
      <w:r>
        <w:tab/>
      </w:r>
      <w:proofErr w:type="gramStart"/>
      <w:r>
        <w:t>E</w:t>
      </w:r>
      <w:r w:rsidR="000A4C0D">
        <w:rPr>
          <w:vertAlign w:val="subscript"/>
        </w:rPr>
        <w:t>(</w:t>
      </w:r>
      <w:proofErr w:type="gramEnd"/>
      <w:r w:rsidR="000A4C0D">
        <w:rPr>
          <w:vertAlign w:val="subscript"/>
        </w:rPr>
        <w:t>2017)</w:t>
      </w:r>
      <w:r>
        <w:t xml:space="preserve"> = emissions in the base year</w:t>
      </w:r>
      <w:r w:rsidR="000A4C0D">
        <w:t xml:space="preserve"> (2017)</w:t>
      </w:r>
      <w:r w:rsidR="0075755F">
        <w:t>.</w:t>
      </w:r>
    </w:p>
    <w:p w14:paraId="4B1A27F9" w14:textId="17C8DA59" w:rsidR="00C3686E" w:rsidRDefault="00C3686E" w:rsidP="00C3686E">
      <w:r>
        <w:t>The methodology does not reflect all the data and processes involved in producing Australia’s emissions projections. Constraints and sensitivities exist so specific inputs, such as facility level information, has not been included due to commercial-in-confidence company data considerations.</w:t>
      </w:r>
    </w:p>
    <w:p w14:paraId="0B415D28" w14:textId="77777777" w:rsidR="002B607E" w:rsidRDefault="002B607E" w:rsidP="002B607E">
      <w:r>
        <w:t>Sector specific methodologies are discussed in greater detail below.</w:t>
      </w:r>
    </w:p>
    <w:p w14:paraId="793B78A9" w14:textId="77777777" w:rsidR="00BC4667" w:rsidRDefault="00BC4667">
      <w:pPr>
        <w:spacing w:after="0" w:line="240" w:lineRule="auto"/>
      </w:pPr>
      <w:bookmarkStart w:id="2" w:name="_Toc510532002"/>
      <w:bookmarkStart w:id="3" w:name="_Toc510532532"/>
      <w:bookmarkStart w:id="4" w:name="_Toc510534096"/>
      <w:r>
        <w:br w:type="page"/>
      </w:r>
    </w:p>
    <w:p w14:paraId="0DB3B748" w14:textId="60613C22" w:rsidR="000E7071" w:rsidRDefault="000E7071" w:rsidP="000E7071">
      <w:pPr>
        <w:pStyle w:val="Heading2"/>
      </w:pPr>
      <w:bookmarkStart w:id="5" w:name="_Toc510794625"/>
      <w:bookmarkStart w:id="6" w:name="_Toc511297984"/>
      <w:bookmarkStart w:id="7" w:name="_Toc511304013"/>
      <w:bookmarkStart w:id="8" w:name="_Toc511918017"/>
      <w:r>
        <w:lastRenderedPageBreak/>
        <w:t>Electricity</w:t>
      </w:r>
      <w:bookmarkEnd w:id="2"/>
      <w:bookmarkEnd w:id="3"/>
      <w:bookmarkEnd w:id="4"/>
      <w:bookmarkEnd w:id="5"/>
      <w:bookmarkEnd w:id="6"/>
      <w:bookmarkEnd w:id="7"/>
      <w:bookmarkEnd w:id="8"/>
    </w:p>
    <w:p w14:paraId="33A2A072" w14:textId="7766E089" w:rsidR="00E36815" w:rsidRDefault="00E36815" w:rsidP="000E7071">
      <w:r>
        <w:t xml:space="preserve">The </w:t>
      </w:r>
      <w:r w:rsidRPr="0063027C">
        <w:rPr>
          <w:i/>
        </w:rPr>
        <w:t>electricity sector</w:t>
      </w:r>
      <w:r w:rsidR="00FB329E">
        <w:rPr>
          <w:i/>
        </w:rPr>
        <w:t xml:space="preserve"> </w:t>
      </w:r>
      <w:r>
        <w:t>emissions projections have been prepared based on modelling and research commissioned by the Department and undertaken by Jacobs Australia</w:t>
      </w:r>
      <w:r w:rsidR="00972A47">
        <w:t xml:space="preserve"> (forthcoming)</w:t>
      </w:r>
      <w:r>
        <w:t xml:space="preserve">. Abatement from the </w:t>
      </w:r>
      <w:r w:rsidR="004F441E">
        <w:t>Emissions Reduction Fund</w:t>
      </w:r>
      <w:r>
        <w:t xml:space="preserve"> </w:t>
      </w:r>
      <w:r w:rsidR="0075755F">
        <w:t>(ERF)</w:t>
      </w:r>
      <w:r>
        <w:t xml:space="preserve"> has been adjusted separately. </w:t>
      </w:r>
    </w:p>
    <w:p w14:paraId="569FBDDC" w14:textId="23D5ED27" w:rsidR="00E36815" w:rsidRDefault="00E36815" w:rsidP="000E7071">
      <w:r>
        <w:t>The Department has sourced data from the Australia En</w:t>
      </w:r>
      <w:r w:rsidR="00802206">
        <w:t>ergy Market Operator (AEMO 2017; AEMO 2017a</w:t>
      </w:r>
      <w:r>
        <w:t>) to inform electri</w:t>
      </w:r>
      <w:r w:rsidR="00EE2D81">
        <w:t>city demand projections for the National Electricity Market and Western Australia Wholesale Electricity Market</w:t>
      </w:r>
      <w:r>
        <w:t>.</w:t>
      </w:r>
      <w:r w:rsidR="00EE2D81">
        <w:t xml:space="preserve"> Data and information from the 2016 electricity emissions projections, the Northern Territory Utilities Commission Power System Review 2015–16 (</w:t>
      </w:r>
      <w:r w:rsidR="00827C8A">
        <w:t xml:space="preserve">NT Utilities Commission </w:t>
      </w:r>
      <w:r w:rsidR="00EE2D81">
        <w:t>2017)</w:t>
      </w:r>
      <w:r w:rsidR="00160AA9">
        <w:t>,</w:t>
      </w:r>
      <w:r w:rsidR="00EE2D81">
        <w:t xml:space="preserve"> AGL and Ergon Energy have been used to inform electricity demand projections for the smaller grids and off-grid</w:t>
      </w:r>
      <w:r w:rsidR="00AA2EE9">
        <w:t>.</w:t>
      </w:r>
      <w:r w:rsidR="00FB329E">
        <w:t xml:space="preserve"> </w:t>
      </w:r>
      <w:r>
        <w:t xml:space="preserve"> </w:t>
      </w:r>
    </w:p>
    <w:p w14:paraId="04849504" w14:textId="179F3DAD" w:rsidR="00AA2EE9" w:rsidRDefault="00E36815" w:rsidP="000E7071">
      <w:r>
        <w:t xml:space="preserve">The electricity emissions projections </w:t>
      </w:r>
      <w:r w:rsidR="00AA2EE9">
        <w:t xml:space="preserve">are prepared using a model that </w:t>
      </w:r>
      <w:r>
        <w:t>simulates the electricity market</w:t>
      </w:r>
      <w:r w:rsidR="00AA2EE9">
        <w:t xml:space="preserve">. </w:t>
      </w:r>
      <w:r w:rsidR="00720D0B">
        <w:t xml:space="preserve">The model accounts for the economic relationships between generating plants in the system. In particular, the model calculates production of each power station given the availability of the station, the availability of other power stations and the relative costs of each </w:t>
      </w:r>
      <w:r w:rsidR="00FC15EB">
        <w:t xml:space="preserve">generating plant in the system. The model represents major thermal, hydro and pumped storage resources in the market. </w:t>
      </w:r>
      <w:r w:rsidR="00720D0B">
        <w:t>Separate models are used for modelling the renewable energy market and uptake of small scale renewable technologies.</w:t>
      </w:r>
      <w:r w:rsidR="00FB329E">
        <w:t xml:space="preserve"> </w:t>
      </w:r>
    </w:p>
    <w:p w14:paraId="3C4D623B" w14:textId="551C0DDD" w:rsidR="0068281F" w:rsidRDefault="0068281F" w:rsidP="000E7071">
      <w:r>
        <w:t>In addition</w:t>
      </w:r>
      <w:r w:rsidR="00E36815">
        <w:t xml:space="preserve"> the </w:t>
      </w:r>
      <w:r>
        <w:t>electricity emissions projections</w:t>
      </w:r>
      <w:r w:rsidR="00F4309D">
        <w:t xml:space="preserve"> include consumption of electricity from electric vehicles consistent with estimates in the </w:t>
      </w:r>
      <w:r w:rsidR="00F4309D" w:rsidRPr="008142E3">
        <w:rPr>
          <w:i/>
        </w:rPr>
        <w:t>transport sector</w:t>
      </w:r>
      <w:r w:rsidR="00F4309D">
        <w:t xml:space="preserve">. Gas to electricity fuel switching </w:t>
      </w:r>
      <w:r w:rsidR="00972A47">
        <w:t xml:space="preserve">estimates </w:t>
      </w:r>
      <w:r w:rsidR="00F4309D">
        <w:t xml:space="preserve">consistent with estimates in the </w:t>
      </w:r>
      <w:r w:rsidR="00F4309D" w:rsidRPr="008142E3">
        <w:rPr>
          <w:i/>
        </w:rPr>
        <w:t>direct combustion sector</w:t>
      </w:r>
      <w:r w:rsidR="00F4309D">
        <w:t xml:space="preserve"> are also included.</w:t>
      </w:r>
      <w:r w:rsidR="00FB329E">
        <w:t xml:space="preserve"> </w:t>
      </w:r>
      <w:r>
        <w:t xml:space="preserve"> </w:t>
      </w:r>
    </w:p>
    <w:p w14:paraId="68B90D4A" w14:textId="77777777" w:rsidR="000E7071" w:rsidRDefault="000E7071" w:rsidP="000E7071">
      <w:pPr>
        <w:pStyle w:val="Heading2"/>
      </w:pPr>
      <w:bookmarkStart w:id="9" w:name="_Toc510532003"/>
      <w:bookmarkStart w:id="10" w:name="_Toc510532533"/>
      <w:bookmarkStart w:id="11" w:name="_Toc510534097"/>
      <w:bookmarkStart w:id="12" w:name="_Toc510794626"/>
      <w:bookmarkStart w:id="13" w:name="_Toc511297985"/>
      <w:bookmarkStart w:id="14" w:name="_Toc511304014"/>
      <w:bookmarkStart w:id="15" w:name="_Toc511918018"/>
      <w:r>
        <w:t>Direct combustion</w:t>
      </w:r>
      <w:bookmarkEnd w:id="9"/>
      <w:bookmarkEnd w:id="10"/>
      <w:bookmarkEnd w:id="11"/>
      <w:bookmarkEnd w:id="12"/>
      <w:bookmarkEnd w:id="13"/>
      <w:bookmarkEnd w:id="14"/>
      <w:bookmarkEnd w:id="15"/>
    </w:p>
    <w:p w14:paraId="2DB5998E" w14:textId="7683AC5F" w:rsidR="00C82891" w:rsidRDefault="00C82891" w:rsidP="00C82891">
      <w:r>
        <w:t xml:space="preserve">Emissions from the </w:t>
      </w:r>
      <w:r w:rsidRPr="00E523AE">
        <w:rPr>
          <w:i/>
        </w:rPr>
        <w:t>direct combustion sector</w:t>
      </w:r>
      <w:r>
        <w:t xml:space="preserve"> are projected using bottom-up modelling</w:t>
      </w:r>
      <w:r w:rsidR="00BF12A3">
        <w:t>.</w:t>
      </w:r>
      <w:r w:rsidR="00FB329E">
        <w:t xml:space="preserve"> </w:t>
      </w:r>
      <w:r w:rsidR="00BF12A3">
        <w:t>Projections</w:t>
      </w:r>
      <w:r>
        <w:t xml:space="preserve"> are aggregated </w:t>
      </w:r>
      <w:r w:rsidR="00BF12A3">
        <w:t>from</w:t>
      </w:r>
      <w:r>
        <w:t xml:space="preserve"> six subsectors: energy, mining, manufacturing, buildings, agriculture, forestry and fishing and other (which is solely fuel used by military vehicles within Australia). </w:t>
      </w:r>
    </w:p>
    <w:p w14:paraId="5C6A3D8B" w14:textId="128C40C5" w:rsidR="00185497" w:rsidRPr="00E11600" w:rsidRDefault="00C82891" w:rsidP="002D533B">
      <w:r>
        <w:t>Direct combustion</w:t>
      </w:r>
      <w:r w:rsidR="0057658A">
        <w:t xml:space="preserve"> models are a combination of facility specific and top down models</w:t>
      </w:r>
      <w:r w:rsidR="004A4348">
        <w:t>,</w:t>
      </w:r>
      <w:r w:rsidR="0057658A">
        <w:t xml:space="preserve"> </w:t>
      </w:r>
      <w:proofErr w:type="gramStart"/>
      <w:r w:rsidR="0057658A">
        <w:t>depending</w:t>
      </w:r>
      <w:proofErr w:type="gramEnd"/>
      <w:r w:rsidR="0057658A">
        <w:t xml:space="preserve"> on the nature of the emission source and the availability of data.</w:t>
      </w:r>
      <w:r w:rsidR="0057658A" w:rsidRPr="0057658A">
        <w:t xml:space="preserve"> </w:t>
      </w:r>
      <w:r w:rsidR="0057658A">
        <w:t>The models are maintained and updated within the Department using external inputs</w:t>
      </w:r>
      <w:r w:rsidR="00533472">
        <w:t xml:space="preserve"> including</w:t>
      </w:r>
      <w:r w:rsidR="00810894">
        <w:t xml:space="preserve"> </w:t>
      </w:r>
      <w:r w:rsidR="00533472">
        <w:t xml:space="preserve">the </w:t>
      </w:r>
      <w:r w:rsidR="002D533B" w:rsidRPr="00E11600">
        <w:t>National Greenhouse and Energy Reporting (NGER)</w:t>
      </w:r>
      <w:r w:rsidR="002D533B">
        <w:t xml:space="preserve"> data, </w:t>
      </w:r>
      <w:r w:rsidR="002D533B" w:rsidRPr="00E11600">
        <w:t>Office of the Chief Economist</w:t>
      </w:r>
      <w:r w:rsidR="00600C43" w:rsidRPr="00E11600">
        <w:t>’s</w:t>
      </w:r>
      <w:r w:rsidR="002D533B" w:rsidRPr="00E11600">
        <w:t xml:space="preserve"> </w:t>
      </w:r>
      <w:r w:rsidR="00475C2D">
        <w:t xml:space="preserve">(OCE) </w:t>
      </w:r>
      <w:r w:rsidR="002D533B">
        <w:t>commodity forecasts</w:t>
      </w:r>
      <w:r w:rsidR="00533472">
        <w:t xml:space="preserve"> (</w:t>
      </w:r>
      <w:r w:rsidR="00475C2D">
        <w:t>OCE</w:t>
      </w:r>
      <w:r w:rsidR="00533472">
        <w:t xml:space="preserve"> 2017</w:t>
      </w:r>
      <w:r w:rsidR="003D6DCF">
        <w:t>;</w:t>
      </w:r>
      <w:r w:rsidR="00D074A7">
        <w:t xml:space="preserve"> </w:t>
      </w:r>
      <w:r w:rsidR="001F4B9F">
        <w:t>OCE 2017a</w:t>
      </w:r>
      <w:r w:rsidR="00533472">
        <w:t>)</w:t>
      </w:r>
      <w:r w:rsidR="002D533B">
        <w:t xml:space="preserve">, </w:t>
      </w:r>
      <w:r w:rsidR="00DA0B0D" w:rsidRPr="00E11600">
        <w:t>Aust</w:t>
      </w:r>
      <w:r w:rsidR="00F65F76" w:rsidRPr="00E11600">
        <w:t>ralian Energy Update (</w:t>
      </w:r>
      <w:proofErr w:type="spellStart"/>
      <w:r w:rsidR="00F65F76" w:rsidRPr="00E11600">
        <w:t>DoEE</w:t>
      </w:r>
      <w:proofErr w:type="spellEnd"/>
      <w:r w:rsidR="00F65F76" w:rsidRPr="00E11600">
        <w:t xml:space="preserve"> 2017</w:t>
      </w:r>
      <w:r w:rsidR="008B4AC5">
        <w:t>a</w:t>
      </w:r>
      <w:r w:rsidR="00DA0B0D" w:rsidRPr="00E11600">
        <w:t xml:space="preserve">), </w:t>
      </w:r>
      <w:r w:rsidR="002D533B" w:rsidRPr="00E11600">
        <w:t>AME Group’s industry analysis, IBISWorld industry reports and AEMO’s National Gas Forecasting Report</w:t>
      </w:r>
      <w:r w:rsidR="00E336FB" w:rsidRPr="00E11600">
        <w:t xml:space="preserve"> (NGFR)</w:t>
      </w:r>
      <w:r w:rsidR="002D533B" w:rsidRPr="00E11600">
        <w:t xml:space="preserve"> (AEMO 2016).</w:t>
      </w:r>
      <w:r w:rsidR="00185497" w:rsidRPr="00E11600" w:rsidDel="00185497">
        <w:t xml:space="preserve"> </w:t>
      </w:r>
    </w:p>
    <w:p w14:paraId="7BCBEF25" w14:textId="13E00F74" w:rsidR="00D57BC4" w:rsidRDefault="0057658A" w:rsidP="00D57BC4">
      <w:r>
        <w:t>For most subsectors</w:t>
      </w:r>
      <w:r w:rsidR="00775B19">
        <w:t xml:space="preserve"> (i.e. mining, manufacturing</w:t>
      </w:r>
      <w:r w:rsidR="00E039BA">
        <w:t>,</w:t>
      </w:r>
      <w:r w:rsidR="00775B19">
        <w:t xml:space="preserve"> construction and some energy)</w:t>
      </w:r>
      <w:r>
        <w:t xml:space="preserve">, </w:t>
      </w:r>
      <w:r w:rsidR="00D57BC4">
        <w:t>emissions are projected to grow in line with an appropriate proxy such as production estimates from the base year emissions (2017).</w:t>
      </w:r>
      <w:r w:rsidR="00D57BC4" w:rsidRPr="00703ED2">
        <w:t xml:space="preserve"> </w:t>
      </w:r>
      <w:r w:rsidR="00D57BC4">
        <w:t xml:space="preserve">Historical trends are also used to inform growth where projected production data is unavailable (i.e. for agriculture, forestry and fishing and </w:t>
      </w:r>
      <w:r>
        <w:t>other</w:t>
      </w:r>
      <w:r w:rsidR="00D57BC4">
        <w:t xml:space="preserve"> subsector</w:t>
      </w:r>
      <w:r w:rsidR="004A4348">
        <w:t>s</w:t>
      </w:r>
      <w:r w:rsidR="00D57BC4">
        <w:t xml:space="preserve">). </w:t>
      </w:r>
    </w:p>
    <w:p w14:paraId="612E5C43" w14:textId="2C2813B1" w:rsidR="00E039BA" w:rsidRDefault="00E039BA" w:rsidP="00D57BC4">
      <w:r>
        <w:t xml:space="preserve">The production data for </w:t>
      </w:r>
      <w:r w:rsidR="00F6454E">
        <w:t>L</w:t>
      </w:r>
      <w:r w:rsidR="00BF41D6">
        <w:t>iquefied</w:t>
      </w:r>
      <w:r w:rsidR="00F6454E">
        <w:t xml:space="preserve"> Natural Gas (</w:t>
      </w:r>
      <w:r>
        <w:t>LNG</w:t>
      </w:r>
      <w:r w:rsidR="00F6454E">
        <w:t>)</w:t>
      </w:r>
      <w:r>
        <w:t xml:space="preserve"> is estimated at the facility-level, taken from the </w:t>
      </w:r>
      <w:r w:rsidRPr="001C6186">
        <w:rPr>
          <w:i/>
        </w:rPr>
        <w:t>fugitives sector</w:t>
      </w:r>
      <w:r>
        <w:t xml:space="preserve">, as the facilities have different emissions intensities. For </w:t>
      </w:r>
      <w:r w:rsidR="00F6454E">
        <w:t>Queensland based facilities</w:t>
      </w:r>
      <w:r>
        <w:t xml:space="preserve">, assumptions on the direct gas use requirements for LNG are taken from </w:t>
      </w:r>
      <w:r w:rsidRPr="00E11600">
        <w:rPr>
          <w:i/>
        </w:rPr>
        <w:t>the 2016 Projections of Gas and Electricity Used in LNG</w:t>
      </w:r>
      <w:r>
        <w:t xml:space="preserve">, prepared by Lewis Grey Advisory for AEMO (Lewis Grey Advisory 2016). For </w:t>
      </w:r>
      <w:r w:rsidR="00F6454E">
        <w:t>other</w:t>
      </w:r>
      <w:r>
        <w:t xml:space="preserve"> projects</w:t>
      </w:r>
      <w:r w:rsidR="0075755F">
        <w:t>,</w:t>
      </w:r>
      <w:r>
        <w:t xml:space="preserve"> where sufficient historical data is available, emissions intensities are calculated based on the NGER data analysis. For new </w:t>
      </w:r>
      <w:r>
        <w:lastRenderedPageBreak/>
        <w:t>LNG projects environmental impact statement (EIS) data is used to infer the emissions intensity. The emissions intensities are assumed to be constant across the projections period.</w:t>
      </w:r>
    </w:p>
    <w:p w14:paraId="59A26BE8" w14:textId="40729192" w:rsidR="00D57BC4" w:rsidRDefault="00775B19" w:rsidP="00D57BC4">
      <w:r>
        <w:t xml:space="preserve">For the coal mining subsector, facility-level </w:t>
      </w:r>
      <w:r w:rsidR="004A4348">
        <w:t>production data from</w:t>
      </w:r>
      <w:r>
        <w:t xml:space="preserve"> the </w:t>
      </w:r>
      <w:r w:rsidRPr="00E523AE">
        <w:rPr>
          <w:i/>
        </w:rPr>
        <w:t>fugitives sector</w:t>
      </w:r>
      <w:r>
        <w:t xml:space="preserve"> is used to inform </w:t>
      </w:r>
      <w:r w:rsidRPr="00E523AE">
        <w:rPr>
          <w:i/>
        </w:rPr>
        <w:t>direct combus</w:t>
      </w:r>
      <w:r w:rsidRPr="00B133DF">
        <w:rPr>
          <w:i/>
        </w:rPr>
        <w:t>tion</w:t>
      </w:r>
      <w:r>
        <w:t xml:space="preserve"> emissions. </w:t>
      </w:r>
      <w:r w:rsidR="00D57BC4">
        <w:t xml:space="preserve">For the other mining subsector, emissions are further broken down into different commodities such as iron ore, gold, copper, nickel ore, zinc, bauxite and manganese. These commodities are projected to grow at different rates over the projections period. The base year emissions are not reported at this granular level in </w:t>
      </w:r>
      <w:r w:rsidR="00642716" w:rsidRPr="000908CA">
        <w:rPr>
          <w:i/>
        </w:rPr>
        <w:t xml:space="preserve">National </w:t>
      </w:r>
      <w:r w:rsidR="0075755F">
        <w:rPr>
          <w:i/>
        </w:rPr>
        <w:t>G</w:t>
      </w:r>
      <w:r w:rsidR="00A57CEC" w:rsidRPr="000908CA">
        <w:rPr>
          <w:i/>
        </w:rPr>
        <w:t>ree</w:t>
      </w:r>
      <w:r w:rsidR="00642716" w:rsidRPr="000908CA">
        <w:rPr>
          <w:i/>
        </w:rPr>
        <w:t xml:space="preserve">nhouse </w:t>
      </w:r>
      <w:r w:rsidR="0075755F">
        <w:rPr>
          <w:i/>
        </w:rPr>
        <w:t>G</w:t>
      </w:r>
      <w:r w:rsidR="00642716" w:rsidRPr="000908CA">
        <w:rPr>
          <w:i/>
        </w:rPr>
        <w:t xml:space="preserve">as </w:t>
      </w:r>
      <w:r w:rsidR="0075755F">
        <w:rPr>
          <w:i/>
        </w:rPr>
        <w:t>I</w:t>
      </w:r>
      <w:r w:rsidR="00A57CEC" w:rsidRPr="000908CA">
        <w:rPr>
          <w:i/>
        </w:rPr>
        <w:t>nventory</w:t>
      </w:r>
      <w:r w:rsidR="0075755F">
        <w:rPr>
          <w:i/>
        </w:rPr>
        <w:t xml:space="preserve">, June Quarter 2017 </w:t>
      </w:r>
      <w:r w:rsidR="000908CA">
        <w:t>(</w:t>
      </w:r>
      <w:proofErr w:type="spellStart"/>
      <w:r w:rsidR="000908CA">
        <w:t>DoEE</w:t>
      </w:r>
      <w:proofErr w:type="spellEnd"/>
      <w:r w:rsidR="000908CA">
        <w:t> 2017</w:t>
      </w:r>
      <w:r w:rsidR="008B4AC5">
        <w:t>b</w:t>
      </w:r>
      <w:r w:rsidR="00A57CEC">
        <w:t>)</w:t>
      </w:r>
      <w:r w:rsidR="00394671">
        <w:t xml:space="preserve"> </w:t>
      </w:r>
      <w:r w:rsidR="00D57BC4">
        <w:t xml:space="preserve">and hence need to be broken down into these categories to apply the different growth rates. The proportion of the base year emissions are estimated from </w:t>
      </w:r>
      <w:r w:rsidR="00226F65">
        <w:t xml:space="preserve">the </w:t>
      </w:r>
      <w:r w:rsidR="00533472">
        <w:t>NGER</w:t>
      </w:r>
      <w:r w:rsidR="00226F65">
        <w:t xml:space="preserve"> data</w:t>
      </w:r>
      <w:r w:rsidR="00D57BC4">
        <w:t xml:space="preserve">. </w:t>
      </w:r>
    </w:p>
    <w:p w14:paraId="40E23442" w14:textId="60D90023" w:rsidR="009A4311" w:rsidRDefault="00D57BC4" w:rsidP="00D57BC4">
      <w:r>
        <w:t xml:space="preserve">Similar methodology is applied to </w:t>
      </w:r>
      <w:r w:rsidR="00775B19">
        <w:t xml:space="preserve">the </w:t>
      </w:r>
      <w:r>
        <w:t xml:space="preserve">manufacturing categories: non-ferrous metals, non-metallic minerals and chemicals. </w:t>
      </w:r>
      <w:r w:rsidR="009A4311">
        <w:t xml:space="preserve">For </w:t>
      </w:r>
      <w:r w:rsidR="009A4311" w:rsidRPr="00237EC8">
        <w:t xml:space="preserve">ceramics </w:t>
      </w:r>
      <w:r w:rsidR="004A4348">
        <w:t>(</w:t>
      </w:r>
      <w:r w:rsidR="009A4311" w:rsidRPr="00237EC8">
        <w:t>glass and glass products, pulp, paper and print and basis chemicals</w:t>
      </w:r>
      <w:r w:rsidR="004A4348">
        <w:t>)</w:t>
      </w:r>
      <w:r w:rsidR="009A4311">
        <w:t xml:space="preserve"> a zero growth rate </w:t>
      </w:r>
      <w:r w:rsidR="007A1076">
        <w:t>is</w:t>
      </w:r>
      <w:r w:rsidR="009A4311">
        <w:t xml:space="preserve"> applied</w:t>
      </w:r>
      <w:r w:rsidR="004A4348">
        <w:t xml:space="preserve">. This is </w:t>
      </w:r>
      <w:r w:rsidR="009A4311">
        <w:t xml:space="preserve">based on the analysis of </w:t>
      </w:r>
      <w:r w:rsidR="009A4311" w:rsidRPr="00237EC8">
        <w:t xml:space="preserve">industry outlook from </w:t>
      </w:r>
      <w:r w:rsidR="009A4311">
        <w:t>the IBISWorld industry reports. These industries have experienced limited growth in the past and the short-term forecasts are either expected to decline or remain constant at current levels.</w:t>
      </w:r>
      <w:r w:rsidR="009A4311" w:rsidRPr="00237EC8">
        <w:t xml:space="preserve"> </w:t>
      </w:r>
      <w:r w:rsidR="009A4311">
        <w:t xml:space="preserve">Following review of these factors, </w:t>
      </w:r>
      <w:r w:rsidR="007A1076">
        <w:t>projections apply a</w:t>
      </w:r>
      <w:r w:rsidR="009A4311">
        <w:t xml:space="preserve"> zero growth rate.</w:t>
      </w:r>
    </w:p>
    <w:p w14:paraId="06C64CC5" w14:textId="7A272E67" w:rsidR="00237EC8" w:rsidRDefault="00237EC8" w:rsidP="00D57BC4">
      <w:r w:rsidRPr="00237EC8">
        <w:t xml:space="preserve">For food processing, beverages and </w:t>
      </w:r>
      <w:r w:rsidR="0075755F">
        <w:t xml:space="preserve">the </w:t>
      </w:r>
      <w:r w:rsidRPr="00237EC8">
        <w:t xml:space="preserve">tobacco industry, </w:t>
      </w:r>
      <w:r>
        <w:t>IBISWorld industry report</w:t>
      </w:r>
      <w:r w:rsidR="0075755F">
        <w:t>s</w:t>
      </w:r>
      <w:r>
        <w:t xml:space="preserve"> </w:t>
      </w:r>
      <w:r w:rsidRPr="00237EC8">
        <w:t xml:space="preserve">indicate modest growth over </w:t>
      </w:r>
      <w:r w:rsidR="00E334BB">
        <w:t xml:space="preserve">the </w:t>
      </w:r>
      <w:r w:rsidRPr="00237EC8">
        <w:t xml:space="preserve">next five years through to </w:t>
      </w:r>
      <w:r>
        <w:t>2023</w:t>
      </w:r>
      <w:r w:rsidR="0075755F">
        <w:t>. This is</w:t>
      </w:r>
      <w:r w:rsidRPr="00237EC8">
        <w:t xml:space="preserve"> underpinned by higher domestic consumption and a growing middle class in Asia that demands Australian food products. However, emissions aren't expected to grow at the same rate as activity, due to </w:t>
      </w:r>
      <w:r w:rsidR="0075755F">
        <w:t xml:space="preserve">the </w:t>
      </w:r>
      <w:r w:rsidRPr="00237EC8">
        <w:t xml:space="preserve">decoupling of economic activity from emissions observed over the past few years. Therefore, a 10-year historical average </w:t>
      </w:r>
      <w:r>
        <w:t>is</w:t>
      </w:r>
      <w:r w:rsidRPr="00237EC8">
        <w:t xml:space="preserve"> used to inform th</w:t>
      </w:r>
      <w:r w:rsidR="0075755F">
        <w:t>is</w:t>
      </w:r>
      <w:r w:rsidRPr="00237EC8">
        <w:t xml:space="preserve"> </w:t>
      </w:r>
      <w:r w:rsidR="00E334BB">
        <w:t xml:space="preserve">subsector </w:t>
      </w:r>
      <w:r w:rsidRPr="00237EC8">
        <w:t>projections</w:t>
      </w:r>
      <w:r>
        <w:t xml:space="preserve">. </w:t>
      </w:r>
    </w:p>
    <w:p w14:paraId="356D3A0F" w14:textId="65C7D1F3" w:rsidR="00F076B1" w:rsidRDefault="00D57BC4" w:rsidP="00D57BC4">
      <w:r>
        <w:t xml:space="preserve">Emissions from the residential and commercial subsectors are based on the 2016 </w:t>
      </w:r>
      <w:proofErr w:type="spellStart"/>
      <w:r>
        <w:t>ClimateWorks</w:t>
      </w:r>
      <w:proofErr w:type="spellEnd"/>
      <w:r w:rsidR="00D36ED9">
        <w:t xml:space="preserve"> Australia</w:t>
      </w:r>
      <w:r>
        <w:t xml:space="preserve"> report on </w:t>
      </w:r>
      <w:r w:rsidRPr="000908CA">
        <w:rPr>
          <w:i/>
        </w:rPr>
        <w:t>Gas-Electricity Substitution Projections to 2050</w:t>
      </w:r>
      <w:r w:rsidR="00A57CEC">
        <w:t xml:space="preserve"> (</w:t>
      </w:r>
      <w:proofErr w:type="spellStart"/>
      <w:r w:rsidR="00D36ED9">
        <w:t>ClimateWorks</w:t>
      </w:r>
      <w:proofErr w:type="spellEnd"/>
      <w:r w:rsidR="00D36ED9">
        <w:t xml:space="preserve"> Australia 2016)</w:t>
      </w:r>
      <w:r w:rsidRPr="009B31BE">
        <w:t>.</w:t>
      </w:r>
      <w:r>
        <w:t xml:space="preserve"> The results take into account </w:t>
      </w:r>
      <w:r>
        <w:rPr>
          <w:rFonts w:cs="Arial"/>
        </w:rPr>
        <w:t xml:space="preserve">fuel switching from gas to electric </w:t>
      </w:r>
      <w:r>
        <w:t>hot water systems and heating ventilation and air conditioning (HVAC) appliances and improved energy efficiency of new buildings and appliances.</w:t>
      </w:r>
      <w:r w:rsidR="002E30B6">
        <w:t xml:space="preserve"> </w:t>
      </w:r>
    </w:p>
    <w:p w14:paraId="0B95D040" w14:textId="5406ED47" w:rsidR="00F076B1" w:rsidRDefault="002E30B6" w:rsidP="00D57BC4">
      <w:r>
        <w:t>This analysis</w:t>
      </w:r>
      <w:r w:rsidRPr="002E30B6">
        <w:t xml:space="preserve"> looks at demographic factors (such as household income and ownership), cost of installation, energy costs and improved efficiency of electric appliances over time to inform fuel switching. The uptake of technology is based on an S-curve or logistic function, which assumes </w:t>
      </w:r>
      <w:r w:rsidR="004A4348">
        <w:t xml:space="preserve">that in </w:t>
      </w:r>
      <w:r w:rsidRPr="002E30B6">
        <w:t>the year in which electri</w:t>
      </w:r>
      <w:r>
        <w:t>fication becomes attractive 50 per cent</w:t>
      </w:r>
      <w:r w:rsidRPr="002E30B6">
        <w:t xml:space="preserve"> of eligible households will switch. </w:t>
      </w:r>
    </w:p>
    <w:p w14:paraId="3047B775" w14:textId="5242123D" w:rsidR="00D57BC4" w:rsidRDefault="002E30B6" w:rsidP="00D57BC4">
      <w:r w:rsidRPr="002E30B6">
        <w:t xml:space="preserve">The assumptions </w:t>
      </w:r>
      <w:r>
        <w:t xml:space="preserve">underpinning the model </w:t>
      </w:r>
      <w:r w:rsidRPr="002E30B6">
        <w:t>were updated to account for</w:t>
      </w:r>
      <w:r w:rsidR="0090433B">
        <w:t xml:space="preserve"> </w:t>
      </w:r>
      <w:r w:rsidR="0075755F">
        <w:t>the</w:t>
      </w:r>
      <w:r w:rsidR="0090433B">
        <w:t xml:space="preserve"> latest energy consumption data from Table F of the </w:t>
      </w:r>
      <w:r w:rsidR="0090433B" w:rsidRPr="00E11600">
        <w:t xml:space="preserve">Australian Energy </w:t>
      </w:r>
      <w:r w:rsidR="00A846F3" w:rsidRPr="00E11600">
        <w:t>Update</w:t>
      </w:r>
      <w:r w:rsidR="00E11600">
        <w:t xml:space="preserve"> (</w:t>
      </w:r>
      <w:proofErr w:type="spellStart"/>
      <w:r w:rsidR="00E11600">
        <w:t>DoEE</w:t>
      </w:r>
      <w:proofErr w:type="spellEnd"/>
      <w:r w:rsidR="00E11600">
        <w:t xml:space="preserve"> 2017</w:t>
      </w:r>
      <w:r w:rsidR="008B4AC5">
        <w:t>a</w:t>
      </w:r>
      <w:r w:rsidR="00A846F3">
        <w:t xml:space="preserve">), </w:t>
      </w:r>
      <w:r w:rsidRPr="002E30B6">
        <w:t xml:space="preserve">latest cost assumptions for installing new appliances from </w:t>
      </w:r>
      <w:r w:rsidR="00A846F3" w:rsidRPr="00A846F3">
        <w:t>the Equipment Energy Efficiency program</w:t>
      </w:r>
      <w:r w:rsidR="00A846F3">
        <w:t xml:space="preserve">, </w:t>
      </w:r>
      <w:r w:rsidRPr="002E30B6">
        <w:t xml:space="preserve">electricity prices which are consistent with those used in the </w:t>
      </w:r>
      <w:r w:rsidRPr="00E523AE">
        <w:rPr>
          <w:i/>
        </w:rPr>
        <w:t>electricity sector</w:t>
      </w:r>
      <w:r w:rsidR="0075755F">
        <w:t>,</w:t>
      </w:r>
      <w:r w:rsidR="00A846F3">
        <w:rPr>
          <w:i/>
        </w:rPr>
        <w:t xml:space="preserve"> </w:t>
      </w:r>
      <w:r w:rsidR="00A846F3">
        <w:t>and gas prices consistent with the</w:t>
      </w:r>
      <w:r w:rsidR="00B657F6">
        <w:t xml:space="preserve"> neutral scenario of the </w:t>
      </w:r>
      <w:r w:rsidR="00696C74">
        <w:t>NGFR</w:t>
      </w:r>
      <w:r w:rsidR="00E336FB">
        <w:t xml:space="preserve"> (AEMO 2016)</w:t>
      </w:r>
      <w:r w:rsidR="00A846F3">
        <w:t>.</w:t>
      </w:r>
    </w:p>
    <w:p w14:paraId="1C85581D" w14:textId="0163D41D" w:rsidR="00654A7C" w:rsidRDefault="00654A7C" w:rsidP="00D57BC4">
      <w:r>
        <w:t xml:space="preserve">Emissions from the construction subsector are based on the </w:t>
      </w:r>
      <w:r w:rsidR="003D6DCF">
        <w:t xml:space="preserve">growth rate of </w:t>
      </w:r>
      <w:r>
        <w:t>activity</w:t>
      </w:r>
      <w:r w:rsidR="003D6DCF">
        <w:t xml:space="preserve"> invested in the construction industry. This data is sourced from the </w:t>
      </w:r>
      <w:r w:rsidR="003D6DCF" w:rsidRPr="003D6DCF">
        <w:t xml:space="preserve">Australian Construction Industry Forum’s </w:t>
      </w:r>
      <w:r w:rsidR="003D6DCF" w:rsidRPr="00E11600">
        <w:rPr>
          <w:i/>
        </w:rPr>
        <w:t>Australian Construction Market Report May 2017</w:t>
      </w:r>
      <w:r w:rsidR="003D6DCF">
        <w:t xml:space="preserve"> (ACIF 2017).</w:t>
      </w:r>
    </w:p>
    <w:p w14:paraId="0A24824D" w14:textId="6DCD1E2B" w:rsidR="00D57BC4" w:rsidRDefault="00B72789" w:rsidP="00D57BC4">
      <w:r>
        <w:t>Emissions from the a</w:t>
      </w:r>
      <w:r w:rsidRPr="00B72789">
        <w:t>griculture, forestry and fishing sector</w:t>
      </w:r>
      <w:r>
        <w:t xml:space="preserve"> are projected to grow in line </w:t>
      </w:r>
      <w:r w:rsidRPr="00B72789">
        <w:t xml:space="preserve">with increased diesel use in the </w:t>
      </w:r>
      <w:r w:rsidRPr="00FB329E">
        <w:rPr>
          <w:i/>
        </w:rPr>
        <w:t>agriculture sector</w:t>
      </w:r>
      <w:r w:rsidRPr="00B72789">
        <w:t xml:space="preserve">, based on </w:t>
      </w:r>
      <w:r>
        <w:t xml:space="preserve">the </w:t>
      </w:r>
      <w:r w:rsidRPr="00B72789">
        <w:t>historical trends.</w:t>
      </w:r>
      <w:r>
        <w:t xml:space="preserve"> The model determines future diesel use based on the historical diesel use from the </w:t>
      </w:r>
      <w:r w:rsidRPr="00E11600">
        <w:rPr>
          <w:i/>
        </w:rPr>
        <w:t>Australian Energy Update</w:t>
      </w:r>
      <w:r>
        <w:t xml:space="preserve"> (</w:t>
      </w:r>
      <w:proofErr w:type="spellStart"/>
      <w:r>
        <w:t>DoEE</w:t>
      </w:r>
      <w:proofErr w:type="spellEnd"/>
      <w:r>
        <w:t xml:space="preserve"> 2</w:t>
      </w:r>
      <w:r w:rsidR="00E11600">
        <w:t>017</w:t>
      </w:r>
      <w:r w:rsidR="008B4AC5">
        <w:t>a</w:t>
      </w:r>
      <w:r>
        <w:t xml:space="preserve">). </w:t>
      </w:r>
    </w:p>
    <w:p w14:paraId="42DA534D" w14:textId="710B5C51" w:rsidR="0079062F" w:rsidRPr="00C808FE" w:rsidRDefault="0079062F" w:rsidP="004B6666">
      <w:pPr>
        <w:keepNext/>
        <w:rPr>
          <w:b/>
        </w:rPr>
      </w:pPr>
      <w:r w:rsidRPr="00C808FE">
        <w:rPr>
          <w:b/>
        </w:rPr>
        <w:lastRenderedPageBreak/>
        <w:t xml:space="preserve">Table </w:t>
      </w:r>
      <w:r>
        <w:rPr>
          <w:b/>
        </w:rPr>
        <w:t>1</w:t>
      </w:r>
      <w:r w:rsidR="003067BD">
        <w:rPr>
          <w:b/>
        </w:rPr>
        <w:t>.</w:t>
      </w:r>
      <w:r w:rsidRPr="00C808FE">
        <w:rPr>
          <w:b/>
        </w:rPr>
        <w:tab/>
        <w:t xml:space="preserve">Summary of </w:t>
      </w:r>
      <w:r>
        <w:rPr>
          <w:b/>
        </w:rPr>
        <w:t>sources and formula for each direct combustion subsector</w:t>
      </w:r>
    </w:p>
    <w:tbl>
      <w:tblPr>
        <w:tblW w:w="9104" w:type="dxa"/>
        <w:tblInd w:w="108" w:type="dxa"/>
        <w:tblLook w:val="04A0" w:firstRow="1" w:lastRow="0" w:firstColumn="1" w:lastColumn="0" w:noHBand="0" w:noVBand="1"/>
      </w:tblPr>
      <w:tblGrid>
        <w:gridCol w:w="3034"/>
        <w:gridCol w:w="3035"/>
        <w:gridCol w:w="3035"/>
      </w:tblGrid>
      <w:tr w:rsidR="00D57BC4" w:rsidRPr="00484C3E" w14:paraId="5F3E2465" w14:textId="77777777" w:rsidTr="00925D7B">
        <w:trPr>
          <w:trHeight w:val="855"/>
          <w:tblHeader/>
        </w:trPr>
        <w:tc>
          <w:tcPr>
            <w:tcW w:w="3034" w:type="dxa"/>
            <w:tcBorders>
              <w:top w:val="nil"/>
              <w:left w:val="nil"/>
              <w:right w:val="single" w:sz="4" w:space="0" w:color="FFFFFF" w:themeColor="background1"/>
            </w:tcBorders>
            <w:shd w:val="clear" w:color="000000" w:fill="134F8E"/>
            <w:vAlign w:val="center"/>
            <w:hideMark/>
          </w:tcPr>
          <w:p w14:paraId="0C87F68B" w14:textId="2150B423" w:rsidR="00D57BC4" w:rsidRPr="00484C3E" w:rsidRDefault="00D57BC4" w:rsidP="00CE7535">
            <w:pPr>
              <w:spacing w:after="0" w:line="240" w:lineRule="auto"/>
              <w:rPr>
                <w:rFonts w:eastAsia="Times New Roman" w:cs="Arial"/>
                <w:b/>
                <w:color w:val="FFFFFF" w:themeColor="background1"/>
                <w:szCs w:val="24"/>
                <w:lang w:eastAsia="en-AU"/>
              </w:rPr>
            </w:pPr>
            <w:r>
              <w:rPr>
                <w:rFonts w:eastAsia="Times New Roman" w:cs="Arial"/>
                <w:b/>
                <w:color w:val="FFFFFF" w:themeColor="background1"/>
                <w:szCs w:val="24"/>
                <w:lang w:eastAsia="en-AU"/>
              </w:rPr>
              <w:t xml:space="preserve">Emissions </w:t>
            </w:r>
            <w:r w:rsidR="00B70D81">
              <w:rPr>
                <w:rFonts w:eastAsia="Times New Roman" w:cs="Arial"/>
                <w:b/>
                <w:color w:val="FFFFFF" w:themeColor="background1"/>
                <w:szCs w:val="24"/>
                <w:lang w:eastAsia="en-AU"/>
              </w:rPr>
              <w:t>subsector</w:t>
            </w:r>
          </w:p>
        </w:tc>
        <w:tc>
          <w:tcPr>
            <w:tcW w:w="3035" w:type="dxa"/>
            <w:tcBorders>
              <w:top w:val="nil"/>
              <w:left w:val="single" w:sz="4" w:space="0" w:color="FFFFFF" w:themeColor="background1"/>
              <w:right w:val="single" w:sz="4" w:space="0" w:color="FFFFFF" w:themeColor="background1"/>
            </w:tcBorders>
            <w:shd w:val="clear" w:color="000000" w:fill="134F8E"/>
            <w:vAlign w:val="center"/>
            <w:hideMark/>
          </w:tcPr>
          <w:p w14:paraId="5709EB71" w14:textId="5BE18F2D" w:rsidR="00D57BC4" w:rsidRPr="00484C3E" w:rsidRDefault="00B70D81" w:rsidP="00CE7535">
            <w:pPr>
              <w:spacing w:after="0" w:line="240" w:lineRule="auto"/>
              <w:rPr>
                <w:rFonts w:eastAsia="Times New Roman" w:cs="Arial"/>
                <w:b/>
                <w:color w:val="FFFFFF" w:themeColor="background1"/>
                <w:lang w:eastAsia="en-AU"/>
              </w:rPr>
            </w:pPr>
            <w:r>
              <w:rPr>
                <w:rFonts w:cs="Arial"/>
                <w:b/>
                <w:color w:val="FFFFFF" w:themeColor="background1"/>
                <w:kern w:val="24"/>
                <w:szCs w:val="32"/>
              </w:rPr>
              <w:t xml:space="preserve">Data </w:t>
            </w:r>
            <w:r w:rsidR="003067BD">
              <w:rPr>
                <w:rFonts w:cs="Arial"/>
                <w:b/>
                <w:color w:val="FFFFFF" w:themeColor="background1"/>
                <w:kern w:val="24"/>
                <w:szCs w:val="32"/>
              </w:rPr>
              <w:t>s</w:t>
            </w:r>
            <w:r w:rsidR="00D57BC4">
              <w:rPr>
                <w:rFonts w:cs="Arial"/>
                <w:b/>
                <w:color w:val="FFFFFF" w:themeColor="background1"/>
                <w:kern w:val="24"/>
                <w:szCs w:val="32"/>
              </w:rPr>
              <w:t>ource</w:t>
            </w:r>
          </w:p>
        </w:tc>
        <w:tc>
          <w:tcPr>
            <w:tcW w:w="3035" w:type="dxa"/>
            <w:tcBorders>
              <w:top w:val="nil"/>
              <w:left w:val="single" w:sz="4" w:space="0" w:color="FFFFFF" w:themeColor="background1"/>
              <w:right w:val="nil"/>
            </w:tcBorders>
            <w:shd w:val="clear" w:color="000000" w:fill="134F8E"/>
            <w:vAlign w:val="center"/>
          </w:tcPr>
          <w:p w14:paraId="329A29B0" w14:textId="77777777" w:rsidR="00D57BC4" w:rsidRPr="00484C3E" w:rsidRDefault="00D57BC4" w:rsidP="00CE7535">
            <w:pPr>
              <w:spacing w:after="0" w:line="240" w:lineRule="auto"/>
              <w:rPr>
                <w:rFonts w:cs="Arial"/>
                <w:b/>
                <w:color w:val="FFFFFF" w:themeColor="background1"/>
                <w:kern w:val="24"/>
                <w:szCs w:val="32"/>
              </w:rPr>
            </w:pPr>
            <w:r>
              <w:rPr>
                <w:rFonts w:cs="Arial"/>
                <w:b/>
                <w:color w:val="FFFFFF" w:themeColor="background1"/>
                <w:kern w:val="24"/>
                <w:szCs w:val="32"/>
              </w:rPr>
              <w:t>Formula</w:t>
            </w:r>
          </w:p>
        </w:tc>
      </w:tr>
      <w:tr w:rsidR="00E57C11" w:rsidRPr="00763307" w14:paraId="24562B82" w14:textId="77777777" w:rsidTr="00925D7B">
        <w:trPr>
          <w:trHeight w:val="315"/>
        </w:trPr>
        <w:tc>
          <w:tcPr>
            <w:tcW w:w="3034" w:type="dxa"/>
            <w:tcBorders>
              <w:top w:val="nil"/>
              <w:left w:val="single" w:sz="8" w:space="0" w:color="FFFFFF"/>
              <w:bottom w:val="single" w:sz="4" w:space="0" w:color="FFFFFF" w:themeColor="background1"/>
              <w:right w:val="single" w:sz="4" w:space="0" w:color="FFFFFF" w:themeColor="background1"/>
            </w:tcBorders>
            <w:shd w:val="clear" w:color="auto" w:fill="DBE5F1" w:themeFill="accent1" w:themeFillTint="33"/>
            <w:vAlign w:val="center"/>
          </w:tcPr>
          <w:p w14:paraId="4A027951" w14:textId="08F42E6E" w:rsidR="00E57C11" w:rsidRPr="00731552" w:rsidRDefault="00E57C11" w:rsidP="00E523AE">
            <w:pPr>
              <w:spacing w:line="240" w:lineRule="auto"/>
              <w:contextualSpacing/>
              <w:rPr>
                <w:rFonts w:eastAsia="Times New Roman" w:cs="Arial"/>
                <w:b/>
                <w:i/>
                <w:color w:val="000000"/>
                <w:szCs w:val="20"/>
                <w:lang w:eastAsia="en-AU"/>
              </w:rPr>
            </w:pPr>
            <w:r w:rsidRPr="00731552">
              <w:rPr>
                <w:rFonts w:eastAsia="Times New Roman" w:cs="Arial"/>
                <w:b/>
                <w:i/>
                <w:color w:val="000000"/>
                <w:szCs w:val="20"/>
                <w:lang w:eastAsia="en-AU"/>
              </w:rPr>
              <w:t>Energy</w:t>
            </w:r>
          </w:p>
        </w:tc>
        <w:tc>
          <w:tcPr>
            <w:tcW w:w="3035" w:type="dxa"/>
            <w:tcBorders>
              <w:top w:val="nil"/>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BF4E513" w14:textId="77777777" w:rsidR="00E57C11" w:rsidRPr="00CE2775" w:rsidRDefault="00E57C11" w:rsidP="00B133DF">
            <w:pPr>
              <w:spacing w:line="240" w:lineRule="auto"/>
              <w:contextualSpacing/>
              <w:rPr>
                <w:rFonts w:cs="Arial"/>
              </w:rPr>
            </w:pPr>
          </w:p>
        </w:tc>
        <w:tc>
          <w:tcPr>
            <w:tcW w:w="3035" w:type="dxa"/>
            <w:tcBorders>
              <w:top w:val="nil"/>
              <w:left w:val="single" w:sz="4" w:space="0" w:color="FFFFFF" w:themeColor="background1"/>
              <w:bottom w:val="single" w:sz="4" w:space="0" w:color="FFFFFF" w:themeColor="background1"/>
              <w:right w:val="single" w:sz="8" w:space="0" w:color="FFFFFF"/>
            </w:tcBorders>
            <w:shd w:val="clear" w:color="auto" w:fill="DBE5F1" w:themeFill="accent1" w:themeFillTint="33"/>
            <w:vAlign w:val="center"/>
          </w:tcPr>
          <w:p w14:paraId="5D050323" w14:textId="77777777" w:rsidR="00E57C11" w:rsidRPr="00CE2775" w:rsidRDefault="00E57C11" w:rsidP="00B133DF">
            <w:pPr>
              <w:contextualSpacing/>
              <w:rPr>
                <w:rFonts w:cs="Arial"/>
                <w:i/>
              </w:rPr>
            </w:pPr>
          </w:p>
        </w:tc>
      </w:tr>
      <w:tr w:rsidR="00D1580A" w:rsidRPr="00763307" w14:paraId="26EF5E3C" w14:textId="77777777" w:rsidTr="00925D7B">
        <w:trPr>
          <w:trHeight w:val="315"/>
        </w:trPr>
        <w:tc>
          <w:tcPr>
            <w:tcW w:w="3034" w:type="dxa"/>
            <w:tcBorders>
              <w:top w:val="nil"/>
              <w:left w:val="single" w:sz="8" w:space="0" w:color="FFFFFF"/>
              <w:bottom w:val="single" w:sz="4" w:space="0" w:color="FFFFFF" w:themeColor="background1"/>
              <w:right w:val="single" w:sz="4" w:space="0" w:color="FFFFFF" w:themeColor="background1"/>
            </w:tcBorders>
            <w:shd w:val="clear" w:color="auto" w:fill="DBE5F1" w:themeFill="accent1" w:themeFillTint="33"/>
            <w:vAlign w:val="center"/>
          </w:tcPr>
          <w:p w14:paraId="4750D262" w14:textId="15350DA8" w:rsidR="00D1580A" w:rsidRPr="00731552" w:rsidDel="00E57C11" w:rsidRDefault="00D1580A" w:rsidP="00E523AE">
            <w:pPr>
              <w:spacing w:line="240" w:lineRule="auto"/>
              <w:contextualSpacing/>
              <w:rPr>
                <w:rFonts w:eastAsia="Times New Roman" w:cs="Arial"/>
                <w:b/>
                <w:i/>
                <w:color w:val="000000"/>
                <w:szCs w:val="20"/>
                <w:lang w:eastAsia="en-AU"/>
              </w:rPr>
            </w:pPr>
            <w:r w:rsidRPr="00731552">
              <w:rPr>
                <w:rFonts w:eastAsia="Times New Roman" w:cs="Arial"/>
                <w:color w:val="000000"/>
                <w:szCs w:val="20"/>
                <w:lang w:eastAsia="en-AU"/>
              </w:rPr>
              <w:t xml:space="preserve">LNG </w:t>
            </w:r>
          </w:p>
        </w:tc>
        <w:tc>
          <w:tcPr>
            <w:tcW w:w="3035" w:type="dxa"/>
            <w:tcBorders>
              <w:top w:val="nil"/>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2A3C3EF" w14:textId="159D0268" w:rsidR="00D1580A" w:rsidRPr="00CE2775" w:rsidRDefault="00D1580A" w:rsidP="00B133DF">
            <w:pPr>
              <w:spacing w:line="240" w:lineRule="auto"/>
              <w:contextualSpacing/>
              <w:rPr>
                <w:rFonts w:cs="Arial"/>
              </w:rPr>
            </w:pPr>
            <w:r w:rsidRPr="00731552">
              <w:rPr>
                <w:rFonts w:eastAsia="Times New Roman" w:cs="Arial"/>
                <w:color w:val="000000"/>
                <w:szCs w:val="20"/>
                <w:lang w:eastAsia="en-AU"/>
              </w:rPr>
              <w:t xml:space="preserve">Production data from </w:t>
            </w:r>
            <w:r w:rsidR="00465117">
              <w:rPr>
                <w:rFonts w:eastAsia="Times New Roman" w:cs="Arial"/>
                <w:color w:val="000000"/>
                <w:szCs w:val="20"/>
                <w:lang w:eastAsia="en-AU"/>
              </w:rPr>
              <w:t xml:space="preserve">the </w:t>
            </w:r>
            <w:r w:rsidRPr="00FB329E">
              <w:rPr>
                <w:rFonts w:eastAsia="Times New Roman" w:cs="Arial"/>
                <w:i/>
                <w:color w:val="000000"/>
                <w:szCs w:val="20"/>
                <w:lang w:eastAsia="en-AU"/>
              </w:rPr>
              <w:t>fugitives sector</w:t>
            </w:r>
            <w:r w:rsidRPr="00731552">
              <w:rPr>
                <w:rFonts w:eastAsia="Times New Roman" w:cs="Arial"/>
                <w:color w:val="000000"/>
                <w:szCs w:val="20"/>
                <w:lang w:eastAsia="en-AU"/>
              </w:rPr>
              <w:t xml:space="preserve"> and emissions intensity from </w:t>
            </w:r>
            <w:r w:rsidR="00F6454E">
              <w:rPr>
                <w:rFonts w:eastAsia="Times New Roman" w:cs="Arial"/>
                <w:color w:val="000000"/>
                <w:szCs w:val="20"/>
                <w:lang w:eastAsia="en-AU"/>
              </w:rPr>
              <w:t xml:space="preserve">NGER, </w:t>
            </w:r>
            <w:r w:rsidRPr="00CE2775">
              <w:rPr>
                <w:rFonts w:cs="Arial"/>
              </w:rPr>
              <w:t>Lewis Grey Advisory 2016</w:t>
            </w:r>
            <w:r w:rsidR="00B24AFB" w:rsidRPr="00CE2775">
              <w:rPr>
                <w:rFonts w:cs="Arial"/>
              </w:rPr>
              <w:t xml:space="preserve"> and various EIS</w:t>
            </w:r>
          </w:p>
        </w:tc>
        <w:tc>
          <w:tcPr>
            <w:tcW w:w="3035" w:type="dxa"/>
            <w:tcBorders>
              <w:top w:val="nil"/>
              <w:left w:val="single" w:sz="4" w:space="0" w:color="FFFFFF" w:themeColor="background1"/>
              <w:bottom w:val="single" w:sz="4" w:space="0" w:color="FFFFFF" w:themeColor="background1"/>
              <w:right w:val="single" w:sz="8" w:space="0" w:color="FFFFFF"/>
            </w:tcBorders>
            <w:shd w:val="clear" w:color="auto" w:fill="DBE5F1" w:themeFill="accent1" w:themeFillTint="33"/>
            <w:vAlign w:val="center"/>
          </w:tcPr>
          <w:p w14:paraId="3430D10E" w14:textId="773EA602" w:rsidR="00D1580A" w:rsidRPr="00CE2775" w:rsidRDefault="00D1580A" w:rsidP="00B133DF">
            <w:pPr>
              <w:contextualSpacing/>
              <w:rPr>
                <w:rFonts w:cs="Arial"/>
                <w:i/>
                <w:vertAlign w:val="superscript"/>
              </w:rPr>
            </w:pPr>
            <w:r w:rsidRPr="00CE2775">
              <w:rPr>
                <w:rFonts w:cs="Arial"/>
                <w:i/>
              </w:rPr>
              <w:t>E</w:t>
            </w:r>
            <w:r w:rsidRPr="008142E3">
              <w:rPr>
                <w:rFonts w:cs="Arial"/>
                <w:i/>
                <w:vertAlign w:val="subscript"/>
              </w:rPr>
              <w:t>t</w:t>
            </w:r>
            <w:r w:rsidRPr="008142E3">
              <w:rPr>
                <w:rFonts w:cs="Arial"/>
                <w:i/>
              </w:rPr>
              <w:t xml:space="preserve"> = </w:t>
            </w:r>
            <w:proofErr w:type="gramStart"/>
            <w:r w:rsidRPr="00731552">
              <w:rPr>
                <w:rFonts w:cs="Arial"/>
                <w:i/>
              </w:rPr>
              <w:t>∑</w:t>
            </w:r>
            <w:r w:rsidRPr="00CE2775">
              <w:rPr>
                <w:rFonts w:cs="Arial"/>
                <w:i/>
              </w:rPr>
              <w:t>(</w:t>
            </w:r>
            <w:proofErr w:type="gramEnd"/>
            <w:r w:rsidRPr="00CE2775">
              <w:rPr>
                <w:rFonts w:cs="Arial"/>
                <w:i/>
              </w:rPr>
              <w:t xml:space="preserve"> [</w:t>
            </w:r>
            <w:proofErr w:type="spellStart"/>
            <w:r w:rsidRPr="00CE2775">
              <w:rPr>
                <w:rFonts w:cs="Arial"/>
                <w:i/>
              </w:rPr>
              <w:t>EI</w:t>
            </w:r>
            <w:r w:rsidR="00A512BA">
              <w:rPr>
                <w:rFonts w:cs="Arial"/>
                <w:i/>
                <w:vertAlign w:val="subscript"/>
              </w:rPr>
              <w:t>it</w:t>
            </w:r>
            <w:proofErr w:type="spellEnd"/>
            <w:r w:rsidRPr="00CE2775">
              <w:rPr>
                <w:rFonts w:cs="Arial"/>
                <w:i/>
              </w:rPr>
              <w:t xml:space="preserve"> </w:t>
            </w:r>
            <w:r w:rsidR="003067BD" w:rsidRPr="00CE2775">
              <w:rPr>
                <w:rFonts w:cs="Arial"/>
                <w:b/>
                <w:i/>
              </w:rPr>
              <w:t>.</w:t>
            </w:r>
            <w:r w:rsidRPr="00CE2775">
              <w:rPr>
                <w:rFonts w:cs="Arial"/>
                <w:i/>
              </w:rPr>
              <w:t xml:space="preserve"> P</w:t>
            </w:r>
            <w:r w:rsidR="00A512BA">
              <w:rPr>
                <w:rFonts w:cs="Arial"/>
                <w:i/>
                <w:vertAlign w:val="subscript"/>
              </w:rPr>
              <w:t>it</w:t>
            </w:r>
            <w:r w:rsidRPr="00CE2775">
              <w:rPr>
                <w:rFonts w:cs="Arial"/>
                <w:i/>
              </w:rPr>
              <w:t>])</w:t>
            </w:r>
          </w:p>
          <w:p w14:paraId="4FD0C925" w14:textId="33C46E0C" w:rsidR="00D1580A" w:rsidRPr="00E523AE" w:rsidRDefault="00D1580A" w:rsidP="00B133DF">
            <w:pPr>
              <w:spacing w:line="240" w:lineRule="auto"/>
              <w:contextualSpacing/>
              <w:rPr>
                <w:rFonts w:cs="Arial"/>
                <w:i/>
                <w:sz w:val="16"/>
                <w:szCs w:val="16"/>
              </w:rPr>
            </w:pPr>
            <w:r w:rsidRPr="00CE2775">
              <w:rPr>
                <w:rFonts w:cs="Arial"/>
                <w:i/>
                <w:sz w:val="16"/>
                <w:szCs w:val="16"/>
              </w:rPr>
              <w:t xml:space="preserve">Where: </w:t>
            </w:r>
            <w:r w:rsidRPr="00CE2775">
              <w:rPr>
                <w:rFonts w:cs="Arial"/>
                <w:i/>
                <w:sz w:val="16"/>
                <w:szCs w:val="16"/>
              </w:rPr>
              <w:br/>
              <w:t>E</w:t>
            </w:r>
            <w:r w:rsidRPr="00CE2775">
              <w:rPr>
                <w:rFonts w:cs="Arial"/>
                <w:i/>
                <w:sz w:val="16"/>
                <w:szCs w:val="16"/>
                <w:vertAlign w:val="subscript"/>
              </w:rPr>
              <w:t>t</w:t>
            </w:r>
            <w:r w:rsidRPr="008142E3">
              <w:rPr>
                <w:rFonts w:cs="Arial"/>
                <w:i/>
                <w:sz w:val="16"/>
                <w:szCs w:val="16"/>
              </w:rPr>
              <w:t xml:space="preserve"> = emissions in year</w:t>
            </w:r>
            <w:r w:rsidR="00A512BA">
              <w:rPr>
                <w:rFonts w:cs="Arial"/>
                <w:i/>
                <w:sz w:val="16"/>
                <w:szCs w:val="16"/>
                <w:vertAlign w:val="subscript"/>
              </w:rPr>
              <w:t xml:space="preserve"> </w:t>
            </w:r>
            <w:r w:rsidR="00A512BA">
              <w:rPr>
                <w:rFonts w:cs="Arial"/>
                <w:i/>
                <w:sz w:val="16"/>
                <w:szCs w:val="16"/>
              </w:rPr>
              <w:t>t</w:t>
            </w:r>
            <w:r w:rsidRPr="008142E3">
              <w:rPr>
                <w:rFonts w:cs="Arial"/>
                <w:i/>
                <w:sz w:val="16"/>
                <w:szCs w:val="16"/>
              </w:rPr>
              <w:t xml:space="preserve"> (Mt CO</w:t>
            </w:r>
            <w:r w:rsidRPr="008142E3">
              <w:rPr>
                <w:rFonts w:cs="Arial"/>
                <w:i/>
                <w:sz w:val="16"/>
                <w:szCs w:val="16"/>
                <w:vertAlign w:val="subscript"/>
              </w:rPr>
              <w:t>2</w:t>
            </w:r>
            <w:r w:rsidRPr="008142E3">
              <w:rPr>
                <w:rFonts w:cs="Arial"/>
                <w:i/>
                <w:sz w:val="16"/>
                <w:szCs w:val="16"/>
              </w:rPr>
              <w:t>-e)</w:t>
            </w:r>
            <w:r w:rsidRPr="008142E3">
              <w:rPr>
                <w:rFonts w:cs="Arial"/>
                <w:i/>
                <w:sz w:val="16"/>
                <w:szCs w:val="16"/>
              </w:rPr>
              <w:br/>
            </w:r>
            <w:proofErr w:type="spellStart"/>
            <w:r w:rsidRPr="008142E3">
              <w:rPr>
                <w:rFonts w:cs="Arial"/>
                <w:i/>
                <w:sz w:val="16"/>
                <w:szCs w:val="16"/>
              </w:rPr>
              <w:t>EI</w:t>
            </w:r>
            <w:r w:rsidR="00A512BA">
              <w:rPr>
                <w:rFonts w:cs="Arial"/>
                <w:i/>
                <w:sz w:val="16"/>
                <w:szCs w:val="16"/>
                <w:vertAlign w:val="subscript"/>
              </w:rPr>
              <w:t>it</w:t>
            </w:r>
            <w:proofErr w:type="spellEnd"/>
            <w:r w:rsidRPr="008142E3">
              <w:rPr>
                <w:rFonts w:cs="Arial"/>
                <w:i/>
                <w:sz w:val="16"/>
                <w:szCs w:val="16"/>
              </w:rPr>
              <w:t xml:space="preserve"> = facility-specific emissions intensity</w:t>
            </w:r>
            <w:r w:rsidR="00A512BA">
              <w:rPr>
                <w:rFonts w:cs="Arial"/>
                <w:i/>
                <w:sz w:val="16"/>
                <w:szCs w:val="16"/>
              </w:rPr>
              <w:t xml:space="preserve"> in year t</w:t>
            </w:r>
          </w:p>
          <w:p w14:paraId="5FA0627E" w14:textId="13E9290A" w:rsidR="00D1580A" w:rsidRPr="00B133DF" w:rsidRDefault="00D1580A" w:rsidP="00A512BA">
            <w:pPr>
              <w:spacing w:line="240" w:lineRule="auto"/>
              <w:contextualSpacing/>
              <w:rPr>
                <w:rFonts w:cs="Arial"/>
                <w:i/>
              </w:rPr>
            </w:pPr>
            <w:r w:rsidRPr="00B133DF">
              <w:rPr>
                <w:rFonts w:cs="Arial"/>
                <w:i/>
                <w:sz w:val="16"/>
                <w:szCs w:val="16"/>
              </w:rPr>
              <w:t>P</w:t>
            </w:r>
            <w:r w:rsidR="00A512BA">
              <w:rPr>
                <w:rFonts w:cs="Arial"/>
                <w:i/>
                <w:sz w:val="16"/>
                <w:szCs w:val="16"/>
                <w:vertAlign w:val="subscript"/>
              </w:rPr>
              <w:t>it</w:t>
            </w:r>
            <w:r w:rsidRPr="00B133DF">
              <w:rPr>
                <w:rFonts w:cs="Arial"/>
                <w:i/>
                <w:sz w:val="16"/>
                <w:szCs w:val="16"/>
              </w:rPr>
              <w:t xml:space="preserve"> = production at </w:t>
            </w:r>
            <w:proofErr w:type="spellStart"/>
            <w:r w:rsidRPr="00B133DF">
              <w:rPr>
                <w:rFonts w:cs="Arial"/>
                <w:i/>
                <w:sz w:val="16"/>
                <w:szCs w:val="16"/>
              </w:rPr>
              <w:t>facility</w:t>
            </w:r>
            <w:r w:rsidRPr="00B133DF">
              <w:rPr>
                <w:rFonts w:cs="Arial"/>
                <w:i/>
                <w:sz w:val="16"/>
                <w:szCs w:val="16"/>
                <w:vertAlign w:val="subscript"/>
              </w:rPr>
              <w:t>i</w:t>
            </w:r>
            <w:proofErr w:type="spellEnd"/>
            <w:r w:rsidR="00FB329E">
              <w:rPr>
                <w:rFonts w:cs="Arial"/>
                <w:i/>
                <w:sz w:val="16"/>
                <w:szCs w:val="16"/>
                <w:vertAlign w:val="subscript"/>
              </w:rPr>
              <w:t xml:space="preserve"> </w:t>
            </w:r>
            <w:r w:rsidR="00A512BA">
              <w:rPr>
                <w:rFonts w:cs="Arial"/>
                <w:i/>
                <w:sz w:val="16"/>
                <w:szCs w:val="16"/>
              </w:rPr>
              <w:t xml:space="preserve">in year t </w:t>
            </w:r>
          </w:p>
        </w:tc>
      </w:tr>
      <w:tr w:rsidR="0065357F" w:rsidRPr="00763307" w14:paraId="015EE868" w14:textId="77777777" w:rsidTr="00925D7B">
        <w:trPr>
          <w:trHeight w:val="315"/>
        </w:trPr>
        <w:tc>
          <w:tcPr>
            <w:tcW w:w="3034" w:type="dxa"/>
            <w:tcBorders>
              <w:top w:val="nil"/>
              <w:left w:val="single" w:sz="8" w:space="0" w:color="FFFFFF"/>
              <w:bottom w:val="single" w:sz="4" w:space="0" w:color="FFFFFF" w:themeColor="background1"/>
              <w:right w:val="single" w:sz="4" w:space="0" w:color="FFFFFF" w:themeColor="background1"/>
            </w:tcBorders>
            <w:shd w:val="clear" w:color="auto" w:fill="DBE5F1" w:themeFill="accent1" w:themeFillTint="33"/>
            <w:vAlign w:val="center"/>
          </w:tcPr>
          <w:p w14:paraId="510ED1B9" w14:textId="236618C2" w:rsidR="0065357F" w:rsidRPr="00731552" w:rsidRDefault="0065357F" w:rsidP="00E523AE">
            <w:pPr>
              <w:spacing w:line="240" w:lineRule="auto"/>
              <w:contextualSpacing/>
              <w:rPr>
                <w:rFonts w:eastAsia="Times New Roman" w:cs="Arial"/>
                <w:b/>
                <w:i/>
                <w:color w:val="000000"/>
                <w:szCs w:val="20"/>
                <w:lang w:eastAsia="en-AU"/>
              </w:rPr>
            </w:pPr>
          </w:p>
          <w:p w14:paraId="4D3EBDF7" w14:textId="3C70ABE0" w:rsidR="0065357F" w:rsidRPr="008142E3" w:rsidRDefault="0065357F" w:rsidP="00B133DF">
            <w:pPr>
              <w:pStyle w:val="ListNumber"/>
              <w:numPr>
                <w:ilvl w:val="0"/>
                <w:numId w:val="0"/>
              </w:numPr>
              <w:contextualSpacing/>
              <w:rPr>
                <w:rFonts w:cs="Arial"/>
                <w:lang w:eastAsia="en-AU"/>
              </w:rPr>
            </w:pPr>
            <w:r w:rsidRPr="00CE2775">
              <w:rPr>
                <w:rFonts w:cs="Arial"/>
                <w:lang w:eastAsia="en-AU"/>
              </w:rPr>
              <w:t>Other oil and gas extraction</w:t>
            </w:r>
          </w:p>
        </w:tc>
        <w:tc>
          <w:tcPr>
            <w:tcW w:w="3035" w:type="dxa"/>
            <w:tcBorders>
              <w:top w:val="nil"/>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B0A8092" w14:textId="1B4BC93A" w:rsidR="0065357F" w:rsidRPr="00731552" w:rsidRDefault="0065357F" w:rsidP="00B133DF">
            <w:pPr>
              <w:spacing w:line="240" w:lineRule="auto"/>
              <w:contextualSpacing/>
              <w:rPr>
                <w:rFonts w:eastAsia="Times New Roman" w:cs="Arial"/>
                <w:color w:val="000000"/>
                <w:szCs w:val="20"/>
                <w:lang w:eastAsia="en-AU"/>
              </w:rPr>
            </w:pPr>
            <w:r w:rsidRPr="008142E3">
              <w:rPr>
                <w:rFonts w:cs="Arial"/>
              </w:rPr>
              <w:t>Gas demand from AEMO 2016, AEMO 201</w:t>
            </w:r>
            <w:r w:rsidR="001F4B9F" w:rsidRPr="008142E3">
              <w:rPr>
                <w:rFonts w:cs="Arial"/>
              </w:rPr>
              <w:t>6a</w:t>
            </w:r>
          </w:p>
        </w:tc>
        <w:tc>
          <w:tcPr>
            <w:tcW w:w="3035" w:type="dxa"/>
            <w:vMerge w:val="restart"/>
            <w:tcBorders>
              <w:top w:val="nil"/>
              <w:left w:val="single" w:sz="4" w:space="0" w:color="FFFFFF" w:themeColor="background1"/>
              <w:right w:val="single" w:sz="8" w:space="0" w:color="FFFFFF"/>
            </w:tcBorders>
            <w:shd w:val="clear" w:color="auto" w:fill="DBE5F1" w:themeFill="accent1" w:themeFillTint="33"/>
            <w:vAlign w:val="center"/>
          </w:tcPr>
          <w:p w14:paraId="36019294" w14:textId="397393D0" w:rsidR="0065357F" w:rsidRPr="00CE2775" w:rsidRDefault="0065357F">
            <w:pPr>
              <w:rPr>
                <w:rFonts w:cs="Arial"/>
                <w:i/>
              </w:rPr>
            </w:pPr>
            <w:r w:rsidRPr="00CE2775">
              <w:rPr>
                <w:rFonts w:cs="Arial"/>
                <w:i/>
              </w:rPr>
              <w:t>E</w:t>
            </w:r>
            <w:r w:rsidRPr="00CE2775">
              <w:rPr>
                <w:rFonts w:cs="Arial"/>
                <w:i/>
                <w:vertAlign w:val="subscript"/>
              </w:rPr>
              <w:t>t</w:t>
            </w:r>
            <w:r w:rsidRPr="00CE2775">
              <w:rPr>
                <w:rFonts w:cs="Arial"/>
                <w:i/>
              </w:rPr>
              <w:t xml:space="preserve"> = E</w:t>
            </w:r>
            <w:r w:rsidRPr="00CE2775">
              <w:rPr>
                <w:rFonts w:cs="Arial"/>
                <w:i/>
                <w:vertAlign w:val="subscript"/>
              </w:rPr>
              <w:t>t-</w:t>
            </w:r>
            <w:proofErr w:type="gramStart"/>
            <w:r w:rsidRPr="00CE2775">
              <w:rPr>
                <w:rFonts w:cs="Arial"/>
                <w:i/>
                <w:vertAlign w:val="subscript"/>
              </w:rPr>
              <w:t xml:space="preserve">1 </w:t>
            </w:r>
            <w:r w:rsidR="003067BD" w:rsidRPr="00CE2775">
              <w:rPr>
                <w:rFonts w:cs="Arial"/>
                <w:b/>
                <w:i/>
              </w:rPr>
              <w:t>.</w:t>
            </w:r>
            <w:proofErr w:type="gramEnd"/>
            <w:r w:rsidRPr="00CE2775">
              <w:rPr>
                <w:rFonts w:cs="Arial"/>
                <w:i/>
              </w:rPr>
              <w:t xml:space="preserve"> </w:t>
            </w:r>
            <w:r w:rsidRPr="00731552">
              <w:rPr>
                <w:rFonts w:cs="Arial"/>
                <w:i/>
              </w:rPr>
              <w:t>Δ</w:t>
            </w:r>
            <w:r w:rsidRPr="00CE2775">
              <w:rPr>
                <w:rFonts w:cs="Arial"/>
                <w:i/>
              </w:rPr>
              <w:t xml:space="preserve"> Production</w:t>
            </w:r>
          </w:p>
          <w:p w14:paraId="5CF36B0E" w14:textId="271BDA0B" w:rsidR="0065357F" w:rsidRPr="008142E3" w:rsidRDefault="0065357F">
            <w:pPr>
              <w:rPr>
                <w:rFonts w:cs="Arial"/>
                <w:i/>
              </w:rPr>
            </w:pPr>
            <w:r w:rsidRPr="00CE2775">
              <w:rPr>
                <w:rFonts w:cs="Arial"/>
                <w:i/>
                <w:sz w:val="16"/>
                <w:szCs w:val="16"/>
              </w:rPr>
              <w:t xml:space="preserve">Where: </w:t>
            </w:r>
            <w:r w:rsidRPr="00CE2775">
              <w:rPr>
                <w:rFonts w:cs="Arial"/>
                <w:i/>
                <w:sz w:val="16"/>
                <w:szCs w:val="16"/>
              </w:rPr>
              <w:br/>
              <w:t>E</w:t>
            </w:r>
            <w:r w:rsidRPr="00CE2775">
              <w:rPr>
                <w:rFonts w:cs="Arial"/>
                <w:i/>
                <w:sz w:val="16"/>
                <w:szCs w:val="16"/>
                <w:vertAlign w:val="subscript"/>
              </w:rPr>
              <w:t>t</w:t>
            </w:r>
            <w:r w:rsidRPr="008142E3">
              <w:rPr>
                <w:rFonts w:cs="Arial"/>
                <w:i/>
                <w:sz w:val="16"/>
                <w:szCs w:val="16"/>
              </w:rPr>
              <w:t xml:space="preserve"> = emissions in year</w:t>
            </w:r>
            <w:r w:rsidR="0034555F" w:rsidRPr="008142E3">
              <w:rPr>
                <w:rFonts w:cs="Arial"/>
                <w:i/>
                <w:sz w:val="16"/>
                <w:szCs w:val="16"/>
                <w:vertAlign w:val="subscript"/>
              </w:rPr>
              <w:t xml:space="preserve"> </w:t>
            </w:r>
            <w:r w:rsidR="0034555F" w:rsidRPr="008142E3">
              <w:rPr>
                <w:rFonts w:cs="Arial"/>
                <w:i/>
                <w:sz w:val="16"/>
                <w:szCs w:val="16"/>
              </w:rPr>
              <w:t>t</w:t>
            </w:r>
            <w:r w:rsidRPr="008142E3">
              <w:rPr>
                <w:rFonts w:cs="Arial"/>
                <w:i/>
                <w:sz w:val="16"/>
                <w:szCs w:val="16"/>
                <w:vertAlign w:val="subscript"/>
              </w:rPr>
              <w:t xml:space="preserve"> </w:t>
            </w:r>
            <w:r w:rsidRPr="008142E3">
              <w:rPr>
                <w:rFonts w:cs="Arial"/>
                <w:i/>
                <w:sz w:val="16"/>
                <w:szCs w:val="16"/>
              </w:rPr>
              <w:t>(Mt CO</w:t>
            </w:r>
            <w:r w:rsidRPr="008142E3">
              <w:rPr>
                <w:rFonts w:cs="Arial"/>
                <w:i/>
                <w:sz w:val="16"/>
                <w:szCs w:val="16"/>
                <w:vertAlign w:val="subscript"/>
              </w:rPr>
              <w:t>2</w:t>
            </w:r>
            <w:r w:rsidRPr="008142E3">
              <w:rPr>
                <w:rFonts w:cs="Arial"/>
                <w:i/>
                <w:sz w:val="16"/>
                <w:szCs w:val="16"/>
              </w:rPr>
              <w:t>-e)</w:t>
            </w:r>
            <w:r w:rsidRPr="008142E3">
              <w:rPr>
                <w:rFonts w:cs="Arial"/>
                <w:i/>
                <w:sz w:val="16"/>
                <w:szCs w:val="16"/>
              </w:rPr>
              <w:br/>
              <w:t>E</w:t>
            </w:r>
            <w:r w:rsidRPr="008142E3">
              <w:rPr>
                <w:rFonts w:cs="Arial"/>
                <w:i/>
                <w:sz w:val="16"/>
                <w:szCs w:val="16"/>
                <w:vertAlign w:val="subscript"/>
              </w:rPr>
              <w:t>t-1</w:t>
            </w:r>
            <w:r w:rsidRPr="008142E3">
              <w:rPr>
                <w:rFonts w:cs="Arial"/>
                <w:i/>
                <w:sz w:val="16"/>
                <w:szCs w:val="16"/>
              </w:rPr>
              <w:t xml:space="preserve"> = emissions in the previous year</w:t>
            </w:r>
            <w:r w:rsidRPr="008142E3">
              <w:rPr>
                <w:rFonts w:cs="Arial"/>
                <w:i/>
                <w:sz w:val="16"/>
                <w:szCs w:val="16"/>
              </w:rPr>
              <w:br/>
            </w:r>
            <w:r w:rsidRPr="00731552">
              <w:rPr>
                <w:rFonts w:cs="Arial"/>
                <w:i/>
                <w:sz w:val="16"/>
                <w:szCs w:val="16"/>
              </w:rPr>
              <w:t>Δ</w:t>
            </w:r>
            <w:r w:rsidRPr="00CE2775">
              <w:rPr>
                <w:rFonts w:cs="Arial"/>
                <w:i/>
                <w:sz w:val="16"/>
                <w:szCs w:val="16"/>
                <w:vertAlign w:val="subscript"/>
              </w:rPr>
              <w:t xml:space="preserve"> </w:t>
            </w:r>
            <w:r w:rsidRPr="00CE2775">
              <w:rPr>
                <w:rFonts w:cs="Arial"/>
                <w:i/>
                <w:sz w:val="16"/>
                <w:szCs w:val="16"/>
              </w:rPr>
              <w:t>Production = percentage c</w:t>
            </w:r>
            <w:r w:rsidR="0034555F" w:rsidRPr="00CE2775">
              <w:rPr>
                <w:rFonts w:cs="Arial"/>
                <w:i/>
                <w:sz w:val="16"/>
                <w:szCs w:val="16"/>
              </w:rPr>
              <w:t xml:space="preserve">hange in production between year t </w:t>
            </w:r>
            <w:r w:rsidRPr="00CE2775">
              <w:rPr>
                <w:rFonts w:cs="Arial"/>
                <w:i/>
                <w:sz w:val="16"/>
                <w:szCs w:val="16"/>
              </w:rPr>
              <w:t>and yea</w:t>
            </w:r>
            <w:r w:rsidR="0034555F" w:rsidRPr="008142E3">
              <w:rPr>
                <w:rFonts w:cs="Arial"/>
                <w:i/>
                <w:sz w:val="16"/>
                <w:szCs w:val="16"/>
              </w:rPr>
              <w:t>r t-1</w:t>
            </w:r>
          </w:p>
        </w:tc>
      </w:tr>
      <w:tr w:rsidR="0065357F" w:rsidRPr="00763307" w14:paraId="1D91F105" w14:textId="77777777" w:rsidTr="00925D7B">
        <w:trPr>
          <w:trHeight w:val="315"/>
        </w:trPr>
        <w:tc>
          <w:tcPr>
            <w:tcW w:w="3034" w:type="dxa"/>
            <w:tcBorders>
              <w:top w:val="nil"/>
              <w:left w:val="single" w:sz="8" w:space="0" w:color="FFFFFF"/>
              <w:bottom w:val="single" w:sz="4" w:space="0" w:color="FFFFFF" w:themeColor="background1"/>
              <w:right w:val="single" w:sz="4" w:space="0" w:color="FFFFFF" w:themeColor="background1"/>
            </w:tcBorders>
            <w:shd w:val="clear" w:color="auto" w:fill="DBE5F1" w:themeFill="accent1" w:themeFillTint="33"/>
          </w:tcPr>
          <w:p w14:paraId="043CE8A7" w14:textId="5855D768" w:rsidR="0065357F" w:rsidRPr="00731552" w:rsidRDefault="0065357F" w:rsidP="00E523AE">
            <w:pPr>
              <w:spacing w:line="240" w:lineRule="auto"/>
              <w:contextualSpacing/>
              <w:rPr>
                <w:rFonts w:eastAsia="Times New Roman" w:cs="Arial"/>
                <w:color w:val="000000"/>
                <w:szCs w:val="20"/>
                <w:lang w:eastAsia="en-AU"/>
              </w:rPr>
            </w:pPr>
            <w:r w:rsidRPr="00CE2775">
              <w:rPr>
                <w:rFonts w:cs="Arial"/>
                <w:lang w:eastAsia="en-AU"/>
              </w:rPr>
              <w:t>Manufacture of solid fuels</w:t>
            </w:r>
          </w:p>
        </w:tc>
        <w:tc>
          <w:tcPr>
            <w:tcW w:w="3035" w:type="dxa"/>
            <w:tcBorders>
              <w:top w:val="nil"/>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FB5FC9A" w14:textId="10A9758E" w:rsidR="0065357F" w:rsidRPr="00731552" w:rsidRDefault="0065357F" w:rsidP="00B133DF">
            <w:pPr>
              <w:spacing w:line="240" w:lineRule="auto"/>
              <w:rPr>
                <w:rFonts w:eastAsia="Times New Roman" w:cs="Arial"/>
                <w:color w:val="000000"/>
                <w:szCs w:val="20"/>
                <w:lang w:eastAsia="en-AU"/>
              </w:rPr>
            </w:pPr>
            <w:r w:rsidRPr="00731552">
              <w:rPr>
                <w:rFonts w:eastAsia="Times New Roman" w:cs="Arial"/>
                <w:color w:val="000000"/>
                <w:szCs w:val="20"/>
                <w:lang w:eastAsia="en-AU"/>
              </w:rPr>
              <w:t xml:space="preserve">Iron and steel growth rates from </w:t>
            </w:r>
            <w:r w:rsidR="001F4B9F" w:rsidRPr="00CE2775">
              <w:rPr>
                <w:rFonts w:cs="Arial"/>
              </w:rPr>
              <w:t>OCE 2017</w:t>
            </w:r>
            <w:r w:rsidRPr="00CE2775">
              <w:rPr>
                <w:rStyle w:val="FootnoteReference"/>
                <w:rFonts w:cs="Arial"/>
              </w:rPr>
              <w:footnoteReference w:id="2"/>
            </w:r>
            <w:r w:rsidRPr="00CE2775">
              <w:rPr>
                <w:rFonts w:cs="Arial"/>
              </w:rPr>
              <w:t>,</w:t>
            </w:r>
            <w:r w:rsidRPr="00731552">
              <w:rPr>
                <w:rFonts w:eastAsia="Times New Roman" w:cs="Arial"/>
                <w:color w:val="000000"/>
                <w:szCs w:val="20"/>
                <w:lang w:eastAsia="en-AU"/>
              </w:rPr>
              <w:t xml:space="preserve"> </w:t>
            </w:r>
            <w:r w:rsidR="001F4B9F" w:rsidRPr="00CE2775">
              <w:rPr>
                <w:rFonts w:cs="Arial"/>
              </w:rPr>
              <w:t>OCE 2017a</w:t>
            </w:r>
            <w:r w:rsidRPr="00CE2775">
              <w:rPr>
                <w:rFonts w:cs="Arial"/>
              </w:rPr>
              <w:t xml:space="preserve"> and AME Group’s industry analysis</w:t>
            </w:r>
          </w:p>
        </w:tc>
        <w:tc>
          <w:tcPr>
            <w:tcW w:w="3035" w:type="dxa"/>
            <w:vMerge/>
            <w:tcBorders>
              <w:left w:val="single" w:sz="4" w:space="0" w:color="FFFFFF" w:themeColor="background1"/>
              <w:right w:val="single" w:sz="8" w:space="0" w:color="FFFFFF"/>
            </w:tcBorders>
            <w:shd w:val="clear" w:color="auto" w:fill="DBE5F1" w:themeFill="accent1" w:themeFillTint="33"/>
            <w:vAlign w:val="center"/>
          </w:tcPr>
          <w:p w14:paraId="73A860AE" w14:textId="03CBCA87" w:rsidR="0065357F" w:rsidRPr="00B133DF" w:rsidRDefault="0065357F">
            <w:pPr>
              <w:rPr>
                <w:rFonts w:cs="Arial"/>
                <w:i/>
              </w:rPr>
            </w:pPr>
          </w:p>
        </w:tc>
      </w:tr>
      <w:tr w:rsidR="0065357F" w:rsidRPr="00763307" w14:paraId="7B8B9460" w14:textId="77777777" w:rsidTr="0034555F">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tcPr>
          <w:p w14:paraId="0D8D5CF1" w14:textId="4D2C6EB6" w:rsidR="0065357F" w:rsidRPr="00731552" w:rsidRDefault="0065357F" w:rsidP="00E523AE">
            <w:pPr>
              <w:spacing w:line="240" w:lineRule="auto"/>
              <w:rPr>
                <w:rFonts w:eastAsia="Times New Roman" w:cs="Arial"/>
                <w:color w:val="000000"/>
                <w:szCs w:val="20"/>
                <w:lang w:eastAsia="en-AU"/>
              </w:rPr>
            </w:pPr>
            <w:r w:rsidRPr="00CE2775">
              <w:rPr>
                <w:rFonts w:cs="Arial"/>
                <w:lang w:eastAsia="en-AU"/>
              </w:rPr>
              <w:t>Domestic gas production and distribution</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0333469F" w14:textId="5F2140A0" w:rsidR="0065357F" w:rsidRPr="00731552" w:rsidRDefault="0065357F" w:rsidP="00B133DF">
            <w:pPr>
              <w:spacing w:line="240" w:lineRule="auto"/>
              <w:rPr>
                <w:rFonts w:eastAsia="Times New Roman" w:cs="Arial"/>
                <w:color w:val="000000"/>
                <w:szCs w:val="20"/>
                <w:lang w:eastAsia="en-AU"/>
              </w:rPr>
            </w:pPr>
            <w:r w:rsidRPr="00CE2775">
              <w:rPr>
                <w:rFonts w:cs="Arial"/>
              </w:rPr>
              <w:t>Gas demand from AEMO 2016, AEMO 201</w:t>
            </w:r>
            <w:r w:rsidR="001F4B9F" w:rsidRPr="00CE2775">
              <w:rPr>
                <w:rFonts w:cs="Arial"/>
              </w:rPr>
              <w:t>6a</w:t>
            </w:r>
          </w:p>
        </w:tc>
        <w:tc>
          <w:tcPr>
            <w:tcW w:w="3035" w:type="dxa"/>
            <w:tcBorders>
              <w:left w:val="nil"/>
              <w:right w:val="single" w:sz="8" w:space="0" w:color="FFFFFF"/>
            </w:tcBorders>
            <w:shd w:val="clear" w:color="auto" w:fill="DBE5F1" w:themeFill="accent1" w:themeFillTint="33"/>
            <w:vAlign w:val="center"/>
          </w:tcPr>
          <w:p w14:paraId="6128F6A9" w14:textId="0217267E" w:rsidR="0065357F" w:rsidRPr="00CE2775" w:rsidRDefault="0065357F">
            <w:pPr>
              <w:rPr>
                <w:rFonts w:cs="Arial"/>
                <w:i/>
              </w:rPr>
            </w:pPr>
          </w:p>
        </w:tc>
      </w:tr>
      <w:tr w:rsidR="0065357F" w:rsidRPr="00763307" w14:paraId="268297CE" w14:textId="77777777" w:rsidTr="0034555F">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57DD9878" w14:textId="40BC095F" w:rsidR="0065357F" w:rsidRPr="00CE2775" w:rsidRDefault="0065357F" w:rsidP="00E523AE">
            <w:pPr>
              <w:spacing w:line="240" w:lineRule="auto"/>
              <w:rPr>
                <w:rFonts w:cs="Arial"/>
                <w:lang w:eastAsia="en-AU"/>
              </w:rPr>
            </w:pPr>
            <w:r w:rsidRPr="00CE2775">
              <w:rPr>
                <w:rFonts w:cs="Arial"/>
                <w:lang w:eastAsia="en-AU"/>
              </w:rPr>
              <w:t>Petroleum refining</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B2F106D" w14:textId="2782DC5E" w:rsidR="0065357F" w:rsidRPr="00731552" w:rsidRDefault="0065357F" w:rsidP="00B133DF">
            <w:pPr>
              <w:spacing w:line="240" w:lineRule="auto"/>
              <w:rPr>
                <w:rFonts w:eastAsia="Times New Roman" w:cs="Arial"/>
                <w:color w:val="000000"/>
                <w:szCs w:val="20"/>
                <w:lang w:eastAsia="en-AU"/>
              </w:rPr>
            </w:pPr>
            <w:r w:rsidRPr="00731552">
              <w:rPr>
                <w:rFonts w:eastAsia="Times New Roman" w:cs="Arial"/>
                <w:color w:val="000000"/>
                <w:szCs w:val="20"/>
                <w:lang w:eastAsia="en-AU"/>
              </w:rPr>
              <w:t xml:space="preserve">Total refinery output from </w:t>
            </w:r>
            <w:r w:rsidRPr="00CE2775">
              <w:rPr>
                <w:rFonts w:cs="Arial"/>
              </w:rPr>
              <w:t>OCE 2017</w:t>
            </w:r>
            <w:r w:rsidR="001F4B9F" w:rsidRPr="00CE2775">
              <w:rPr>
                <w:rFonts w:cs="Arial"/>
              </w:rPr>
              <w:t>a</w:t>
            </w:r>
          </w:p>
        </w:tc>
        <w:tc>
          <w:tcPr>
            <w:tcW w:w="3035" w:type="dxa"/>
            <w:tcBorders>
              <w:left w:val="nil"/>
              <w:bottom w:val="single" w:sz="4" w:space="0" w:color="FFFFFF" w:themeColor="background1"/>
              <w:right w:val="single" w:sz="8" w:space="0" w:color="FFFFFF"/>
            </w:tcBorders>
            <w:shd w:val="clear" w:color="auto" w:fill="DBE5F1" w:themeFill="accent1" w:themeFillTint="33"/>
            <w:vAlign w:val="center"/>
          </w:tcPr>
          <w:p w14:paraId="079627D4" w14:textId="4F1924AF" w:rsidR="0065357F" w:rsidRPr="00CE2775" w:rsidRDefault="0065357F">
            <w:pPr>
              <w:rPr>
                <w:rFonts w:cs="Arial"/>
                <w:i/>
              </w:rPr>
            </w:pPr>
          </w:p>
        </w:tc>
      </w:tr>
      <w:tr w:rsidR="0065357F" w:rsidRPr="00763307" w14:paraId="33F2A07E" w14:textId="77777777" w:rsidTr="0034555F">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489A42DD" w14:textId="5A5E7B7A" w:rsidR="0065357F" w:rsidRPr="00E523AE" w:rsidRDefault="0065357F" w:rsidP="00E523AE">
            <w:pPr>
              <w:spacing w:line="240" w:lineRule="auto"/>
              <w:contextualSpacing/>
              <w:rPr>
                <w:rFonts w:eastAsia="Times New Roman" w:cs="Arial"/>
                <w:b/>
                <w:i/>
                <w:color w:val="000000"/>
                <w:szCs w:val="20"/>
                <w:lang w:eastAsia="en-AU"/>
              </w:rPr>
            </w:pPr>
            <w:r w:rsidRPr="00E523AE">
              <w:rPr>
                <w:rFonts w:eastAsia="Times New Roman" w:cs="Arial"/>
                <w:b/>
                <w:i/>
                <w:color w:val="000000"/>
                <w:szCs w:val="20"/>
                <w:lang w:eastAsia="en-AU"/>
              </w:rPr>
              <w:t xml:space="preserve">Mining </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103E157" w14:textId="77777777" w:rsidR="0065357F" w:rsidRPr="00731552" w:rsidRDefault="0065357F" w:rsidP="00B133DF">
            <w:pPr>
              <w:spacing w:line="240" w:lineRule="auto"/>
              <w:contextualSpacing/>
              <w:rPr>
                <w:rFonts w:eastAsia="Times New Roman" w:cs="Arial"/>
                <w:color w:val="000000"/>
                <w:szCs w:val="20"/>
                <w:lang w:eastAsia="en-AU"/>
              </w:rPr>
            </w:pP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CE8A443" w14:textId="77777777" w:rsidR="0065357F" w:rsidRPr="00CE2775" w:rsidRDefault="0065357F" w:rsidP="00B133DF">
            <w:pPr>
              <w:contextualSpacing/>
              <w:rPr>
                <w:rFonts w:cs="Arial"/>
                <w:i/>
              </w:rPr>
            </w:pPr>
          </w:p>
        </w:tc>
      </w:tr>
      <w:tr w:rsidR="0034555F" w:rsidRPr="00763307" w14:paraId="5F6D3F6B" w14:textId="77777777" w:rsidTr="0034555F">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42FF6AF2" w14:textId="19C847E0" w:rsidR="0034555F" w:rsidRPr="00731552" w:rsidRDefault="003067BD" w:rsidP="00E523AE">
            <w:pPr>
              <w:spacing w:line="240" w:lineRule="auto"/>
              <w:rPr>
                <w:rFonts w:eastAsia="Times New Roman" w:cs="Arial"/>
                <w:color w:val="000000"/>
                <w:szCs w:val="20"/>
                <w:lang w:eastAsia="en-AU"/>
              </w:rPr>
            </w:pPr>
            <w:r>
              <w:rPr>
                <w:rFonts w:eastAsia="Times New Roman" w:cs="Arial"/>
                <w:color w:val="000000"/>
                <w:szCs w:val="20"/>
                <w:lang w:eastAsia="en-AU"/>
              </w:rPr>
              <w:t>C</w:t>
            </w:r>
            <w:r w:rsidR="0034555F" w:rsidRPr="00731552">
              <w:rPr>
                <w:rFonts w:eastAsia="Times New Roman" w:cs="Arial"/>
                <w:color w:val="000000"/>
                <w:szCs w:val="20"/>
                <w:lang w:eastAsia="en-AU"/>
              </w:rPr>
              <w:t>oal mining</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5BB696D6" w14:textId="337A1865" w:rsidR="0034555F" w:rsidRPr="00731552" w:rsidRDefault="0034555F" w:rsidP="00B133DF">
            <w:pPr>
              <w:spacing w:line="240" w:lineRule="auto"/>
              <w:rPr>
                <w:rFonts w:eastAsia="Times New Roman" w:cs="Arial"/>
                <w:color w:val="000000"/>
                <w:szCs w:val="20"/>
                <w:lang w:eastAsia="en-AU"/>
              </w:rPr>
            </w:pPr>
            <w:r w:rsidRPr="00731552">
              <w:rPr>
                <w:rFonts w:eastAsia="Times New Roman" w:cs="Arial"/>
                <w:color w:val="000000"/>
                <w:szCs w:val="20"/>
                <w:lang w:eastAsia="en-AU"/>
              </w:rPr>
              <w:t xml:space="preserve">Production data from </w:t>
            </w:r>
            <w:r w:rsidR="00465117">
              <w:rPr>
                <w:rFonts w:eastAsia="Times New Roman" w:cs="Arial"/>
                <w:color w:val="000000"/>
                <w:szCs w:val="20"/>
                <w:lang w:eastAsia="en-AU"/>
              </w:rPr>
              <w:t xml:space="preserve">the </w:t>
            </w:r>
            <w:r w:rsidRPr="00FB329E">
              <w:rPr>
                <w:rFonts w:eastAsia="Times New Roman" w:cs="Arial"/>
                <w:i/>
                <w:color w:val="000000"/>
                <w:szCs w:val="20"/>
                <w:lang w:eastAsia="en-AU"/>
              </w:rPr>
              <w:t>fugitive</w:t>
            </w:r>
            <w:r w:rsidR="00465117" w:rsidRPr="00FB329E">
              <w:rPr>
                <w:rFonts w:eastAsia="Times New Roman" w:cs="Arial"/>
                <w:i/>
                <w:color w:val="000000"/>
                <w:szCs w:val="20"/>
                <w:lang w:eastAsia="en-AU"/>
              </w:rPr>
              <w:t>s</w:t>
            </w:r>
            <w:r w:rsidRPr="00FB329E">
              <w:rPr>
                <w:rFonts w:eastAsia="Times New Roman" w:cs="Arial"/>
                <w:i/>
                <w:color w:val="000000"/>
                <w:szCs w:val="20"/>
                <w:lang w:eastAsia="en-AU"/>
              </w:rPr>
              <w:t xml:space="preserve"> sector</w:t>
            </w:r>
          </w:p>
        </w:tc>
        <w:tc>
          <w:tcPr>
            <w:tcW w:w="3035" w:type="dxa"/>
            <w:tcBorders>
              <w:top w:val="nil"/>
              <w:left w:val="nil"/>
              <w:right w:val="single" w:sz="8" w:space="0" w:color="FFFFFF"/>
            </w:tcBorders>
            <w:shd w:val="clear" w:color="auto" w:fill="DBE5F1" w:themeFill="accent1" w:themeFillTint="33"/>
            <w:vAlign w:val="center"/>
          </w:tcPr>
          <w:p w14:paraId="7DB14A30" w14:textId="6E06A11F" w:rsidR="0034555F" w:rsidRPr="00CE2775" w:rsidRDefault="0034555F">
            <w:pPr>
              <w:rPr>
                <w:rFonts w:cs="Arial"/>
                <w:i/>
              </w:rPr>
            </w:pPr>
            <w:r w:rsidRPr="00CE2775">
              <w:rPr>
                <w:rFonts w:cs="Arial"/>
                <w:i/>
              </w:rPr>
              <w:t>E</w:t>
            </w:r>
            <w:r w:rsidRPr="00CE2775">
              <w:rPr>
                <w:rFonts w:cs="Arial"/>
                <w:i/>
                <w:vertAlign w:val="subscript"/>
              </w:rPr>
              <w:t>t</w:t>
            </w:r>
            <w:r w:rsidRPr="00CE2775">
              <w:rPr>
                <w:rFonts w:cs="Arial"/>
                <w:i/>
              </w:rPr>
              <w:t xml:space="preserve"> = E</w:t>
            </w:r>
            <w:r w:rsidRPr="00CE2775">
              <w:rPr>
                <w:rFonts w:cs="Arial"/>
                <w:i/>
                <w:vertAlign w:val="subscript"/>
              </w:rPr>
              <w:t>t-</w:t>
            </w:r>
            <w:proofErr w:type="gramStart"/>
            <w:r w:rsidRPr="00CE2775">
              <w:rPr>
                <w:rFonts w:cs="Arial"/>
                <w:i/>
                <w:vertAlign w:val="subscript"/>
              </w:rPr>
              <w:t xml:space="preserve">1 </w:t>
            </w:r>
            <w:r w:rsidR="003067BD" w:rsidRPr="00CE2775">
              <w:rPr>
                <w:rFonts w:cs="Arial"/>
                <w:b/>
                <w:i/>
              </w:rPr>
              <w:t>.</w:t>
            </w:r>
            <w:proofErr w:type="gramEnd"/>
            <w:r w:rsidRPr="00CE2775">
              <w:rPr>
                <w:rFonts w:cs="Arial"/>
                <w:i/>
              </w:rPr>
              <w:t xml:space="preserve"> </w:t>
            </w:r>
            <w:r w:rsidRPr="00731552">
              <w:rPr>
                <w:rFonts w:cs="Arial"/>
                <w:i/>
              </w:rPr>
              <w:t>Δ</w:t>
            </w:r>
            <w:r w:rsidRPr="00CE2775">
              <w:rPr>
                <w:rFonts w:cs="Arial"/>
                <w:i/>
              </w:rPr>
              <w:t xml:space="preserve"> Production</w:t>
            </w:r>
          </w:p>
          <w:p w14:paraId="06C5702E" w14:textId="674CD9E7" w:rsidR="0034555F" w:rsidRPr="008142E3" w:rsidRDefault="0034555F">
            <w:pPr>
              <w:rPr>
                <w:rFonts w:cs="Arial"/>
                <w:i/>
              </w:rPr>
            </w:pPr>
            <w:r w:rsidRPr="00CE2775">
              <w:rPr>
                <w:rFonts w:cs="Arial"/>
                <w:i/>
                <w:sz w:val="16"/>
                <w:szCs w:val="16"/>
              </w:rPr>
              <w:t xml:space="preserve">Where: </w:t>
            </w:r>
            <w:r w:rsidRPr="00CE2775">
              <w:rPr>
                <w:rFonts w:cs="Arial"/>
                <w:i/>
                <w:sz w:val="16"/>
                <w:szCs w:val="16"/>
              </w:rPr>
              <w:br/>
              <w:t>E</w:t>
            </w:r>
            <w:r w:rsidRPr="00CE2775">
              <w:rPr>
                <w:rFonts w:cs="Arial"/>
                <w:i/>
                <w:sz w:val="16"/>
                <w:szCs w:val="16"/>
                <w:vertAlign w:val="subscript"/>
              </w:rPr>
              <w:t>t</w:t>
            </w:r>
            <w:r w:rsidRPr="00CE2775">
              <w:rPr>
                <w:rFonts w:cs="Arial"/>
                <w:i/>
                <w:sz w:val="16"/>
                <w:szCs w:val="16"/>
              </w:rPr>
              <w:t xml:space="preserve"> = emissions in yea</w:t>
            </w:r>
            <w:r w:rsidRPr="008142E3">
              <w:rPr>
                <w:rFonts w:cs="Arial"/>
                <w:i/>
                <w:sz w:val="16"/>
                <w:szCs w:val="16"/>
              </w:rPr>
              <w:t>r t</w:t>
            </w:r>
            <w:r w:rsidR="00FB329E">
              <w:rPr>
                <w:rFonts w:cs="Arial"/>
                <w:i/>
                <w:sz w:val="16"/>
                <w:szCs w:val="16"/>
                <w:vertAlign w:val="subscript"/>
              </w:rPr>
              <w:t xml:space="preserve"> </w:t>
            </w:r>
            <w:r w:rsidRPr="008142E3">
              <w:rPr>
                <w:rFonts w:cs="Arial"/>
                <w:i/>
                <w:sz w:val="16"/>
                <w:szCs w:val="16"/>
              </w:rPr>
              <w:t>(Mt CO</w:t>
            </w:r>
            <w:r w:rsidRPr="008142E3">
              <w:rPr>
                <w:rFonts w:cs="Arial"/>
                <w:i/>
                <w:sz w:val="16"/>
                <w:szCs w:val="16"/>
                <w:vertAlign w:val="subscript"/>
              </w:rPr>
              <w:t>2</w:t>
            </w:r>
            <w:r w:rsidRPr="008142E3">
              <w:rPr>
                <w:rFonts w:cs="Arial"/>
                <w:i/>
                <w:sz w:val="16"/>
                <w:szCs w:val="16"/>
              </w:rPr>
              <w:t>-e)</w:t>
            </w:r>
            <w:r w:rsidRPr="008142E3">
              <w:rPr>
                <w:rFonts w:cs="Arial"/>
                <w:i/>
                <w:sz w:val="16"/>
                <w:szCs w:val="16"/>
              </w:rPr>
              <w:br/>
              <w:t>E</w:t>
            </w:r>
            <w:r w:rsidRPr="008142E3">
              <w:rPr>
                <w:rFonts w:cs="Arial"/>
                <w:i/>
                <w:sz w:val="16"/>
                <w:szCs w:val="16"/>
                <w:vertAlign w:val="subscript"/>
              </w:rPr>
              <w:t>t-1</w:t>
            </w:r>
            <w:r w:rsidRPr="008142E3">
              <w:rPr>
                <w:rFonts w:cs="Arial"/>
                <w:i/>
                <w:sz w:val="16"/>
                <w:szCs w:val="16"/>
              </w:rPr>
              <w:t xml:space="preserve"> = emissions in the previous year</w:t>
            </w:r>
            <w:r w:rsidRPr="008142E3">
              <w:rPr>
                <w:rFonts w:cs="Arial"/>
                <w:i/>
                <w:sz w:val="16"/>
                <w:szCs w:val="16"/>
              </w:rPr>
              <w:br/>
            </w:r>
            <w:r w:rsidRPr="00731552">
              <w:rPr>
                <w:rFonts w:cs="Arial"/>
                <w:i/>
                <w:sz w:val="16"/>
                <w:szCs w:val="16"/>
              </w:rPr>
              <w:t>Δ</w:t>
            </w:r>
            <w:r w:rsidRPr="00CE2775">
              <w:rPr>
                <w:rFonts w:cs="Arial"/>
                <w:i/>
                <w:sz w:val="16"/>
                <w:szCs w:val="16"/>
                <w:vertAlign w:val="subscript"/>
              </w:rPr>
              <w:t xml:space="preserve"> </w:t>
            </w:r>
            <w:r w:rsidRPr="00CE2775">
              <w:rPr>
                <w:rFonts w:cs="Arial"/>
                <w:i/>
                <w:sz w:val="16"/>
                <w:szCs w:val="16"/>
              </w:rPr>
              <w:t>Production = percentage change in production between year t and year t-1</w:t>
            </w:r>
          </w:p>
        </w:tc>
      </w:tr>
      <w:tr w:rsidR="0034555F" w:rsidRPr="00763307" w14:paraId="50B03138" w14:textId="77777777" w:rsidTr="0034555F">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6E072043" w14:textId="0D47F04F" w:rsidR="0034555F" w:rsidRPr="00731552" w:rsidRDefault="0034555F" w:rsidP="00E523AE">
            <w:pPr>
              <w:spacing w:line="240" w:lineRule="auto"/>
              <w:rPr>
                <w:rFonts w:eastAsia="Times New Roman" w:cs="Arial"/>
                <w:color w:val="000000"/>
                <w:szCs w:val="20"/>
                <w:lang w:eastAsia="en-AU"/>
              </w:rPr>
            </w:pPr>
            <w:r w:rsidRPr="00731552">
              <w:rPr>
                <w:rFonts w:eastAsia="Times New Roman" w:cs="Arial"/>
                <w:color w:val="000000"/>
                <w:szCs w:val="20"/>
                <w:lang w:eastAsia="en-AU"/>
              </w:rPr>
              <w:t xml:space="preserve">Other mining </w:t>
            </w:r>
            <w:r w:rsidR="00152319" w:rsidRPr="00731552">
              <w:rPr>
                <w:rFonts w:eastAsia="Times New Roman" w:cs="Arial"/>
                <w:color w:val="000000"/>
                <w:szCs w:val="20"/>
                <w:lang w:eastAsia="en-AU"/>
              </w:rPr>
              <w:t>(iron ore; gold;</w:t>
            </w:r>
            <w:r w:rsidRPr="00731552">
              <w:rPr>
                <w:rFonts w:eastAsia="Times New Roman" w:cs="Arial"/>
                <w:color w:val="000000"/>
                <w:szCs w:val="20"/>
                <w:lang w:eastAsia="en-AU"/>
              </w:rPr>
              <w:t xml:space="preserve"> </w:t>
            </w:r>
            <w:r w:rsidR="00152319" w:rsidRPr="00731552">
              <w:rPr>
                <w:rFonts w:eastAsia="Times New Roman" w:cs="Arial"/>
                <w:color w:val="000000"/>
                <w:szCs w:val="20"/>
                <w:lang w:eastAsia="en-AU"/>
              </w:rPr>
              <w:t>copper; nickel;</w:t>
            </w:r>
            <w:r w:rsidRPr="00731552">
              <w:rPr>
                <w:rFonts w:eastAsia="Times New Roman" w:cs="Arial"/>
                <w:color w:val="000000"/>
                <w:szCs w:val="20"/>
                <w:lang w:eastAsia="en-AU"/>
              </w:rPr>
              <w:t xml:space="preserve"> </w:t>
            </w:r>
            <w:r w:rsidR="00152319" w:rsidRPr="00731552">
              <w:rPr>
                <w:rFonts w:eastAsia="Times New Roman" w:cs="Arial"/>
                <w:color w:val="000000"/>
                <w:szCs w:val="20"/>
                <w:lang w:eastAsia="en-AU"/>
              </w:rPr>
              <w:t>zinc;</w:t>
            </w:r>
            <w:r w:rsidRPr="00731552">
              <w:rPr>
                <w:rFonts w:eastAsia="Times New Roman" w:cs="Arial"/>
                <w:color w:val="000000"/>
                <w:szCs w:val="20"/>
                <w:lang w:eastAsia="en-AU"/>
              </w:rPr>
              <w:t xml:space="preserve"> bauxite and manganese) </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226DA7EC" w14:textId="51DB022F" w:rsidR="0034555F" w:rsidRPr="00731552" w:rsidRDefault="0034555F" w:rsidP="00B133DF">
            <w:pPr>
              <w:spacing w:line="240" w:lineRule="auto"/>
              <w:rPr>
                <w:rFonts w:eastAsia="Times New Roman" w:cs="Arial"/>
                <w:color w:val="000000"/>
                <w:szCs w:val="20"/>
                <w:lang w:eastAsia="en-AU"/>
              </w:rPr>
            </w:pPr>
            <w:r w:rsidRPr="00731552">
              <w:rPr>
                <w:rFonts w:eastAsia="Times New Roman" w:cs="Arial"/>
                <w:color w:val="000000"/>
                <w:szCs w:val="20"/>
                <w:lang w:eastAsia="en-AU"/>
              </w:rPr>
              <w:t xml:space="preserve">Production data from </w:t>
            </w:r>
            <w:r w:rsidRPr="00CE2775">
              <w:rPr>
                <w:rFonts w:cs="Arial"/>
              </w:rPr>
              <w:t>OCE 2017,</w:t>
            </w:r>
            <w:r w:rsidRPr="00731552">
              <w:rPr>
                <w:rFonts w:eastAsia="Times New Roman" w:cs="Arial"/>
                <w:color w:val="000000"/>
                <w:szCs w:val="20"/>
                <w:lang w:eastAsia="en-AU"/>
              </w:rPr>
              <w:t xml:space="preserve"> </w:t>
            </w:r>
            <w:r w:rsidR="001F4B9F" w:rsidRPr="00CE2775">
              <w:rPr>
                <w:rFonts w:cs="Arial"/>
              </w:rPr>
              <w:t>OCE 2017a</w:t>
            </w:r>
            <w:r w:rsidRPr="00CE2775">
              <w:rPr>
                <w:rFonts w:cs="Arial"/>
              </w:rPr>
              <w:t xml:space="preserve">, AME Group’s industry analysis and </w:t>
            </w:r>
            <w:r w:rsidR="00EE47B2" w:rsidRPr="008142E3">
              <w:rPr>
                <w:rFonts w:cs="Arial"/>
              </w:rPr>
              <w:t>derived proportion of the base year</w:t>
            </w:r>
            <w:r w:rsidRPr="008142E3">
              <w:rPr>
                <w:rFonts w:cs="Arial"/>
              </w:rPr>
              <w:t xml:space="preserve"> from NGER data</w:t>
            </w:r>
          </w:p>
        </w:tc>
        <w:tc>
          <w:tcPr>
            <w:tcW w:w="3035" w:type="dxa"/>
            <w:tcBorders>
              <w:left w:val="nil"/>
              <w:bottom w:val="single" w:sz="4" w:space="0" w:color="FFFFFF" w:themeColor="background1"/>
              <w:right w:val="single" w:sz="8" w:space="0" w:color="FFFFFF"/>
            </w:tcBorders>
            <w:shd w:val="clear" w:color="auto" w:fill="DBE5F1" w:themeFill="accent1" w:themeFillTint="33"/>
            <w:vAlign w:val="center"/>
          </w:tcPr>
          <w:p w14:paraId="35EC98D7" w14:textId="25A172E1" w:rsidR="0034555F" w:rsidRPr="00CE2775" w:rsidRDefault="0034555F">
            <w:pPr>
              <w:rPr>
                <w:rFonts w:cs="Arial"/>
                <w:i/>
              </w:rPr>
            </w:pPr>
          </w:p>
        </w:tc>
      </w:tr>
      <w:tr w:rsidR="00D1580A" w:rsidRPr="00763307" w14:paraId="6787E2EB" w14:textId="77777777" w:rsidTr="0034555F">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125D0544" w14:textId="2FB345C5" w:rsidR="00D1580A" w:rsidRPr="00B133DF" w:rsidRDefault="0065357F" w:rsidP="00E523AE">
            <w:pPr>
              <w:spacing w:line="240" w:lineRule="auto"/>
              <w:rPr>
                <w:rFonts w:eastAsia="Times New Roman" w:cs="Arial"/>
                <w:b/>
                <w:i/>
                <w:color w:val="000000"/>
                <w:szCs w:val="20"/>
                <w:lang w:eastAsia="en-AU"/>
              </w:rPr>
            </w:pPr>
            <w:r w:rsidRPr="00E523AE">
              <w:rPr>
                <w:rFonts w:eastAsia="Times New Roman" w:cs="Arial"/>
                <w:b/>
                <w:i/>
                <w:color w:val="000000"/>
                <w:szCs w:val="20"/>
                <w:lang w:eastAsia="en-AU"/>
              </w:rPr>
              <w:t>Manufacturing</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159FC5F7" w14:textId="6575CA39" w:rsidR="00D1580A" w:rsidRPr="00731552" w:rsidRDefault="00D1580A" w:rsidP="00B133DF">
            <w:pPr>
              <w:spacing w:line="240" w:lineRule="auto"/>
              <w:rPr>
                <w:rFonts w:eastAsia="Times New Roman" w:cs="Arial"/>
                <w:color w:val="000000"/>
                <w:szCs w:val="20"/>
                <w:lang w:eastAsia="en-AU"/>
              </w:rPr>
            </w:pP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49EB6B80" w14:textId="6136BB69" w:rsidR="00D1580A" w:rsidRPr="00E523AE" w:rsidRDefault="00D1580A" w:rsidP="00B133DF">
            <w:pPr>
              <w:spacing w:line="240" w:lineRule="auto"/>
              <w:rPr>
                <w:rFonts w:cs="Arial"/>
                <w:i/>
                <w:sz w:val="16"/>
                <w:szCs w:val="16"/>
              </w:rPr>
            </w:pPr>
          </w:p>
        </w:tc>
      </w:tr>
      <w:tr w:rsidR="00EE47B2" w:rsidRPr="00763307" w14:paraId="43B08497" w14:textId="77777777" w:rsidTr="00D523CB">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6B37A5AF" w14:textId="4867052D" w:rsidR="00EE47B2" w:rsidRPr="00731552" w:rsidRDefault="00EE47B2" w:rsidP="00E523AE">
            <w:pPr>
              <w:spacing w:line="240" w:lineRule="auto"/>
              <w:rPr>
                <w:rFonts w:eastAsia="Times New Roman" w:cs="Arial"/>
                <w:color w:val="000000"/>
                <w:szCs w:val="20"/>
                <w:lang w:eastAsia="en-AU"/>
              </w:rPr>
            </w:pPr>
            <w:r w:rsidRPr="00731552">
              <w:rPr>
                <w:rFonts w:eastAsia="Times New Roman" w:cs="Arial"/>
                <w:color w:val="000000"/>
                <w:szCs w:val="20"/>
                <w:lang w:eastAsia="en-AU"/>
              </w:rPr>
              <w:t>Non-ferrous metals (alumina; aluminium and refined nickel)</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50DC1F50" w14:textId="47253935" w:rsidR="00EE47B2" w:rsidRPr="00731552" w:rsidDel="00A922FF" w:rsidRDefault="00EE47B2" w:rsidP="00B133DF">
            <w:pPr>
              <w:spacing w:line="240" w:lineRule="auto"/>
              <w:rPr>
                <w:rFonts w:eastAsia="Times New Roman" w:cs="Arial"/>
                <w:color w:val="000000"/>
                <w:szCs w:val="20"/>
                <w:lang w:eastAsia="en-AU"/>
              </w:rPr>
            </w:pPr>
            <w:r w:rsidRPr="00731552">
              <w:rPr>
                <w:rFonts w:eastAsia="Times New Roman" w:cs="Arial"/>
                <w:color w:val="000000"/>
                <w:szCs w:val="20"/>
                <w:lang w:eastAsia="en-AU"/>
              </w:rPr>
              <w:t xml:space="preserve">Production data from </w:t>
            </w:r>
            <w:r w:rsidR="001F4B9F" w:rsidRPr="00CE2775">
              <w:rPr>
                <w:rFonts w:cs="Arial"/>
              </w:rPr>
              <w:t>OCE 2017,</w:t>
            </w:r>
            <w:r w:rsidR="001F4B9F" w:rsidRPr="00731552">
              <w:rPr>
                <w:rFonts w:eastAsia="Times New Roman" w:cs="Arial"/>
                <w:color w:val="000000"/>
                <w:szCs w:val="20"/>
                <w:lang w:eastAsia="en-AU"/>
              </w:rPr>
              <w:t xml:space="preserve"> </w:t>
            </w:r>
            <w:r w:rsidR="001F4B9F" w:rsidRPr="00CE2775">
              <w:rPr>
                <w:rFonts w:cs="Arial"/>
              </w:rPr>
              <w:t>OCE 2017a,</w:t>
            </w:r>
            <w:r w:rsidRPr="00CE2775">
              <w:rPr>
                <w:rFonts w:cs="Arial"/>
              </w:rPr>
              <w:t xml:space="preserve"> AME Group’s industry analysis and derived proportion of the base year from NGER data</w:t>
            </w:r>
          </w:p>
        </w:tc>
        <w:tc>
          <w:tcPr>
            <w:tcW w:w="3035" w:type="dxa"/>
            <w:vMerge w:val="restart"/>
            <w:tcBorders>
              <w:top w:val="nil"/>
              <w:left w:val="nil"/>
              <w:right w:val="single" w:sz="8" w:space="0" w:color="FFFFFF"/>
            </w:tcBorders>
            <w:shd w:val="clear" w:color="auto" w:fill="DBE5F1" w:themeFill="accent1" w:themeFillTint="33"/>
            <w:vAlign w:val="center"/>
          </w:tcPr>
          <w:p w14:paraId="53C172F8" w14:textId="0F601894" w:rsidR="00EE47B2" w:rsidRPr="00CE2775" w:rsidRDefault="00EE47B2">
            <w:pPr>
              <w:rPr>
                <w:rFonts w:cs="Arial"/>
                <w:i/>
              </w:rPr>
            </w:pPr>
            <w:r w:rsidRPr="00CE2775">
              <w:rPr>
                <w:rFonts w:cs="Arial"/>
                <w:i/>
              </w:rPr>
              <w:t>E</w:t>
            </w:r>
            <w:r w:rsidRPr="00CE2775">
              <w:rPr>
                <w:rFonts w:cs="Arial"/>
                <w:i/>
                <w:vertAlign w:val="subscript"/>
              </w:rPr>
              <w:t>t</w:t>
            </w:r>
            <w:r w:rsidRPr="00CE2775">
              <w:rPr>
                <w:rFonts w:cs="Arial"/>
                <w:i/>
              </w:rPr>
              <w:t xml:space="preserve"> = E</w:t>
            </w:r>
            <w:r w:rsidRPr="00CE2775">
              <w:rPr>
                <w:rFonts w:cs="Arial"/>
                <w:i/>
                <w:vertAlign w:val="subscript"/>
              </w:rPr>
              <w:t>t-</w:t>
            </w:r>
            <w:proofErr w:type="gramStart"/>
            <w:r w:rsidRPr="00CE2775">
              <w:rPr>
                <w:rFonts w:cs="Arial"/>
                <w:i/>
                <w:vertAlign w:val="subscript"/>
              </w:rPr>
              <w:t xml:space="preserve">1 </w:t>
            </w:r>
            <w:r w:rsidR="003067BD" w:rsidRPr="00CE2775">
              <w:rPr>
                <w:rFonts w:cs="Arial"/>
                <w:b/>
                <w:i/>
              </w:rPr>
              <w:t>.</w:t>
            </w:r>
            <w:proofErr w:type="gramEnd"/>
            <w:r w:rsidRPr="00CE2775">
              <w:rPr>
                <w:rFonts w:cs="Arial"/>
                <w:i/>
              </w:rPr>
              <w:t xml:space="preserve"> </w:t>
            </w:r>
            <w:r w:rsidRPr="00731552">
              <w:rPr>
                <w:rFonts w:cs="Arial"/>
                <w:i/>
              </w:rPr>
              <w:t>Δ</w:t>
            </w:r>
            <w:r w:rsidRPr="00CE2775">
              <w:rPr>
                <w:rFonts w:cs="Arial"/>
                <w:i/>
              </w:rPr>
              <w:t xml:space="preserve"> Production</w:t>
            </w:r>
          </w:p>
          <w:p w14:paraId="79F2FCD3" w14:textId="47CB270F" w:rsidR="00EE47B2" w:rsidRPr="00CE2775" w:rsidDel="00E57C11" w:rsidRDefault="00EE47B2" w:rsidP="00E523AE">
            <w:pPr>
              <w:spacing w:line="240" w:lineRule="auto"/>
              <w:rPr>
                <w:rFonts w:cs="Arial"/>
                <w:i/>
              </w:rPr>
            </w:pPr>
            <w:r w:rsidRPr="00CE2775">
              <w:rPr>
                <w:rFonts w:cs="Arial"/>
                <w:i/>
                <w:sz w:val="16"/>
                <w:szCs w:val="16"/>
              </w:rPr>
              <w:t xml:space="preserve">Where: </w:t>
            </w:r>
            <w:r w:rsidRPr="00CE2775">
              <w:rPr>
                <w:rFonts w:cs="Arial"/>
                <w:i/>
                <w:sz w:val="16"/>
                <w:szCs w:val="16"/>
              </w:rPr>
              <w:br/>
              <w:t>E</w:t>
            </w:r>
            <w:r w:rsidRPr="00CE2775">
              <w:rPr>
                <w:rFonts w:cs="Arial"/>
                <w:i/>
                <w:sz w:val="16"/>
                <w:szCs w:val="16"/>
                <w:vertAlign w:val="subscript"/>
              </w:rPr>
              <w:t>t</w:t>
            </w:r>
            <w:r w:rsidRPr="00CE2775">
              <w:rPr>
                <w:rFonts w:cs="Arial"/>
                <w:i/>
                <w:sz w:val="16"/>
                <w:szCs w:val="16"/>
              </w:rPr>
              <w:t xml:space="preserve"> = emissions in year t</w:t>
            </w:r>
            <w:r w:rsidR="00FB329E">
              <w:rPr>
                <w:rFonts w:cs="Arial"/>
                <w:i/>
                <w:sz w:val="16"/>
                <w:szCs w:val="16"/>
                <w:vertAlign w:val="subscript"/>
              </w:rPr>
              <w:t xml:space="preserve"> </w:t>
            </w:r>
            <w:r w:rsidRPr="00CE2775">
              <w:rPr>
                <w:rFonts w:cs="Arial"/>
                <w:i/>
                <w:sz w:val="16"/>
                <w:szCs w:val="16"/>
              </w:rPr>
              <w:t>(Mt CO</w:t>
            </w:r>
            <w:r w:rsidRPr="00CE2775">
              <w:rPr>
                <w:rFonts w:cs="Arial"/>
                <w:i/>
                <w:sz w:val="16"/>
                <w:szCs w:val="16"/>
                <w:vertAlign w:val="subscript"/>
              </w:rPr>
              <w:t>2</w:t>
            </w:r>
            <w:r w:rsidRPr="008142E3">
              <w:rPr>
                <w:rFonts w:cs="Arial"/>
                <w:i/>
                <w:sz w:val="16"/>
                <w:szCs w:val="16"/>
              </w:rPr>
              <w:t>-e)</w:t>
            </w:r>
            <w:r w:rsidRPr="008142E3">
              <w:rPr>
                <w:rFonts w:cs="Arial"/>
                <w:i/>
                <w:sz w:val="16"/>
                <w:szCs w:val="16"/>
              </w:rPr>
              <w:br/>
              <w:t>E</w:t>
            </w:r>
            <w:r w:rsidRPr="008142E3">
              <w:rPr>
                <w:rFonts w:cs="Arial"/>
                <w:i/>
                <w:sz w:val="16"/>
                <w:szCs w:val="16"/>
                <w:vertAlign w:val="subscript"/>
              </w:rPr>
              <w:t>t-1</w:t>
            </w:r>
            <w:r w:rsidRPr="008142E3">
              <w:rPr>
                <w:rFonts w:cs="Arial"/>
                <w:i/>
                <w:sz w:val="16"/>
                <w:szCs w:val="16"/>
              </w:rPr>
              <w:t xml:space="preserve"> = emissions in the previous year</w:t>
            </w:r>
            <w:r w:rsidRPr="008142E3">
              <w:rPr>
                <w:rFonts w:cs="Arial"/>
                <w:i/>
                <w:sz w:val="16"/>
                <w:szCs w:val="16"/>
              </w:rPr>
              <w:br/>
            </w:r>
            <w:r w:rsidRPr="00731552">
              <w:rPr>
                <w:rFonts w:cs="Arial"/>
                <w:i/>
                <w:sz w:val="16"/>
                <w:szCs w:val="16"/>
              </w:rPr>
              <w:t>Δ</w:t>
            </w:r>
            <w:r w:rsidRPr="00CE2775">
              <w:rPr>
                <w:rFonts w:cs="Arial"/>
                <w:i/>
                <w:sz w:val="16"/>
                <w:szCs w:val="16"/>
                <w:vertAlign w:val="subscript"/>
              </w:rPr>
              <w:t xml:space="preserve"> </w:t>
            </w:r>
            <w:r w:rsidRPr="00CE2775">
              <w:rPr>
                <w:rFonts w:cs="Arial"/>
                <w:i/>
                <w:sz w:val="16"/>
                <w:szCs w:val="16"/>
              </w:rPr>
              <w:t>Production = percentage change in production between year t and year t-1</w:t>
            </w:r>
          </w:p>
          <w:p w14:paraId="27AA19E7" w14:textId="6607E80D" w:rsidR="00EE47B2" w:rsidRPr="00CE2775" w:rsidDel="00E57C11" w:rsidRDefault="00EE47B2" w:rsidP="00B133DF">
            <w:pPr>
              <w:spacing w:line="240" w:lineRule="auto"/>
              <w:rPr>
                <w:rFonts w:cs="Arial"/>
                <w:i/>
              </w:rPr>
            </w:pPr>
          </w:p>
        </w:tc>
      </w:tr>
      <w:tr w:rsidR="00EE47B2" w:rsidRPr="00763307" w14:paraId="7425D1CC" w14:textId="77777777" w:rsidTr="00D523CB">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4262E8B7" w14:textId="6E76569D" w:rsidR="00EE47B2" w:rsidRPr="00731552" w:rsidRDefault="00EE47B2" w:rsidP="00E523AE">
            <w:pPr>
              <w:spacing w:line="240" w:lineRule="auto"/>
              <w:rPr>
                <w:rFonts w:eastAsia="Times New Roman" w:cs="Arial"/>
                <w:color w:val="000000"/>
                <w:szCs w:val="20"/>
                <w:lang w:eastAsia="en-AU"/>
              </w:rPr>
            </w:pPr>
            <w:r w:rsidRPr="00731552">
              <w:rPr>
                <w:rFonts w:eastAsia="Times New Roman" w:cs="Arial"/>
                <w:color w:val="000000"/>
                <w:szCs w:val="20"/>
                <w:lang w:eastAsia="en-AU"/>
              </w:rPr>
              <w:t>Non-metallic minerals (cement, lime, plaster and concrete; ceramics; glass and glass products and other)</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786845A" w14:textId="5541D97A" w:rsidR="00EE47B2" w:rsidRPr="00731552" w:rsidDel="00A922FF" w:rsidRDefault="00EE47B2" w:rsidP="00B133DF">
            <w:pPr>
              <w:spacing w:line="240" w:lineRule="auto"/>
              <w:rPr>
                <w:rFonts w:eastAsia="Times New Roman" w:cs="Arial"/>
                <w:color w:val="000000"/>
                <w:szCs w:val="20"/>
                <w:lang w:eastAsia="en-AU"/>
              </w:rPr>
            </w:pPr>
            <w:r w:rsidRPr="00CE2775">
              <w:rPr>
                <w:rFonts w:cs="Arial"/>
              </w:rPr>
              <w:t>IBISWorld industry report</w:t>
            </w:r>
            <w:r w:rsidR="003067BD">
              <w:rPr>
                <w:rFonts w:cs="Arial"/>
              </w:rPr>
              <w:t>s</w:t>
            </w:r>
            <w:r w:rsidRPr="00CE2775">
              <w:rPr>
                <w:rFonts w:cs="Arial"/>
              </w:rPr>
              <w:t xml:space="preserve"> analysis and derived proportion of the base year from NGER data</w:t>
            </w:r>
          </w:p>
        </w:tc>
        <w:tc>
          <w:tcPr>
            <w:tcW w:w="3035" w:type="dxa"/>
            <w:vMerge/>
            <w:tcBorders>
              <w:left w:val="nil"/>
              <w:right w:val="single" w:sz="8" w:space="0" w:color="FFFFFF"/>
            </w:tcBorders>
            <w:shd w:val="clear" w:color="auto" w:fill="DBE5F1" w:themeFill="accent1" w:themeFillTint="33"/>
            <w:vAlign w:val="center"/>
          </w:tcPr>
          <w:p w14:paraId="2E9062AA" w14:textId="72CAD9FB" w:rsidR="00EE47B2" w:rsidRPr="00B133DF" w:rsidRDefault="00EE47B2" w:rsidP="00B133DF">
            <w:pPr>
              <w:spacing w:line="240" w:lineRule="auto"/>
              <w:rPr>
                <w:rFonts w:cs="Arial"/>
                <w:i/>
              </w:rPr>
            </w:pPr>
          </w:p>
        </w:tc>
      </w:tr>
      <w:tr w:rsidR="00EE47B2" w:rsidRPr="00763307" w14:paraId="2594BA16" w14:textId="77777777" w:rsidTr="00D523CB">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64F6DB9F" w14:textId="4DA4507E" w:rsidR="00EE47B2" w:rsidRPr="00731552" w:rsidRDefault="00EE47B2" w:rsidP="00E523AE">
            <w:pPr>
              <w:spacing w:line="240" w:lineRule="auto"/>
              <w:rPr>
                <w:rFonts w:eastAsia="Times New Roman" w:cs="Arial"/>
                <w:color w:val="000000"/>
                <w:szCs w:val="20"/>
                <w:lang w:eastAsia="en-AU"/>
              </w:rPr>
            </w:pPr>
            <w:r w:rsidRPr="00731552">
              <w:rPr>
                <w:rFonts w:eastAsia="Times New Roman" w:cs="Arial"/>
                <w:color w:val="000000"/>
                <w:szCs w:val="20"/>
                <w:lang w:eastAsia="en-AU"/>
              </w:rPr>
              <w:lastRenderedPageBreak/>
              <w:t>Iron and steel</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D545BEB" w14:textId="48CA575E" w:rsidR="00EE47B2" w:rsidRPr="00731552" w:rsidDel="00A922FF" w:rsidRDefault="00EE47B2" w:rsidP="00B133DF">
            <w:pPr>
              <w:spacing w:line="240" w:lineRule="auto"/>
              <w:rPr>
                <w:rFonts w:eastAsia="Times New Roman" w:cs="Arial"/>
                <w:color w:val="000000"/>
                <w:szCs w:val="20"/>
                <w:lang w:eastAsia="en-AU"/>
              </w:rPr>
            </w:pPr>
            <w:r w:rsidRPr="00731552">
              <w:rPr>
                <w:rFonts w:eastAsia="Times New Roman" w:cs="Arial"/>
                <w:color w:val="000000"/>
                <w:szCs w:val="20"/>
                <w:lang w:eastAsia="en-AU"/>
              </w:rPr>
              <w:t xml:space="preserve">Production data from </w:t>
            </w:r>
            <w:r w:rsidR="001F4B9F" w:rsidRPr="00CE2775">
              <w:rPr>
                <w:rFonts w:cs="Arial"/>
              </w:rPr>
              <w:t>OCE 2017,</w:t>
            </w:r>
            <w:r w:rsidR="001F4B9F" w:rsidRPr="00731552">
              <w:rPr>
                <w:rFonts w:eastAsia="Times New Roman" w:cs="Arial"/>
                <w:color w:val="000000"/>
                <w:szCs w:val="20"/>
                <w:lang w:eastAsia="en-AU"/>
              </w:rPr>
              <w:t xml:space="preserve"> </w:t>
            </w:r>
            <w:r w:rsidR="001F4B9F" w:rsidRPr="00CE2775">
              <w:rPr>
                <w:rFonts w:cs="Arial"/>
              </w:rPr>
              <w:t>OCE 2017a,</w:t>
            </w:r>
            <w:r w:rsidRPr="00CE2775">
              <w:rPr>
                <w:rFonts w:cs="Arial"/>
              </w:rPr>
              <w:t xml:space="preserve"> and AME Group’s industry analysis</w:t>
            </w:r>
          </w:p>
        </w:tc>
        <w:tc>
          <w:tcPr>
            <w:tcW w:w="3035" w:type="dxa"/>
            <w:vMerge/>
            <w:tcBorders>
              <w:left w:val="nil"/>
              <w:right w:val="single" w:sz="8" w:space="0" w:color="FFFFFF"/>
            </w:tcBorders>
            <w:shd w:val="clear" w:color="auto" w:fill="DBE5F1" w:themeFill="accent1" w:themeFillTint="33"/>
            <w:vAlign w:val="center"/>
          </w:tcPr>
          <w:p w14:paraId="58573B8F" w14:textId="1DFAEE07" w:rsidR="00EE47B2" w:rsidRPr="00B133DF" w:rsidRDefault="00EE47B2" w:rsidP="00B133DF">
            <w:pPr>
              <w:spacing w:line="240" w:lineRule="auto"/>
              <w:rPr>
                <w:rFonts w:cs="Arial"/>
                <w:i/>
              </w:rPr>
            </w:pPr>
          </w:p>
        </w:tc>
      </w:tr>
      <w:tr w:rsidR="00EE47B2" w:rsidRPr="00763307" w14:paraId="01E9ACAC" w14:textId="77777777" w:rsidTr="00D523CB">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77968316" w14:textId="26CD73D1" w:rsidR="00EE47B2" w:rsidRPr="00731552" w:rsidRDefault="00EE47B2" w:rsidP="00E523AE">
            <w:pPr>
              <w:spacing w:line="240" w:lineRule="auto"/>
              <w:rPr>
                <w:rFonts w:eastAsia="Times New Roman" w:cs="Arial"/>
                <w:color w:val="000000"/>
                <w:szCs w:val="20"/>
                <w:lang w:eastAsia="en-AU"/>
              </w:rPr>
            </w:pPr>
            <w:r w:rsidRPr="00731552">
              <w:rPr>
                <w:rFonts w:eastAsia="Times New Roman" w:cs="Arial"/>
                <w:color w:val="000000"/>
                <w:szCs w:val="20"/>
                <w:lang w:eastAsia="en-AU"/>
              </w:rPr>
              <w:t>Pulp, paper and print</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42FDF39" w14:textId="73C5B2B3" w:rsidR="00EE47B2" w:rsidRPr="00731552" w:rsidDel="00A922FF" w:rsidRDefault="00EE47B2" w:rsidP="00B133DF">
            <w:pPr>
              <w:spacing w:line="240" w:lineRule="auto"/>
              <w:rPr>
                <w:rFonts w:eastAsia="Times New Roman" w:cs="Arial"/>
                <w:color w:val="000000"/>
                <w:szCs w:val="20"/>
                <w:lang w:eastAsia="en-AU"/>
              </w:rPr>
            </w:pPr>
            <w:r w:rsidRPr="00CE2775">
              <w:rPr>
                <w:rFonts w:cs="Arial"/>
              </w:rPr>
              <w:t>IBISWorld industry report</w:t>
            </w:r>
            <w:r w:rsidR="003067BD">
              <w:rPr>
                <w:rFonts w:cs="Arial"/>
              </w:rPr>
              <w:t>s</w:t>
            </w:r>
            <w:r w:rsidRPr="00CE2775">
              <w:rPr>
                <w:rFonts w:cs="Arial"/>
              </w:rPr>
              <w:t xml:space="preserve"> analysis</w:t>
            </w:r>
          </w:p>
        </w:tc>
        <w:tc>
          <w:tcPr>
            <w:tcW w:w="3035" w:type="dxa"/>
            <w:vMerge/>
            <w:tcBorders>
              <w:left w:val="nil"/>
              <w:right w:val="single" w:sz="8" w:space="0" w:color="FFFFFF"/>
            </w:tcBorders>
            <w:shd w:val="clear" w:color="auto" w:fill="DBE5F1" w:themeFill="accent1" w:themeFillTint="33"/>
            <w:vAlign w:val="center"/>
          </w:tcPr>
          <w:p w14:paraId="1B936DD8" w14:textId="345823CF" w:rsidR="00EE47B2" w:rsidRPr="00B133DF" w:rsidRDefault="00EE47B2" w:rsidP="00B133DF">
            <w:pPr>
              <w:spacing w:line="240" w:lineRule="auto"/>
              <w:rPr>
                <w:rFonts w:cs="Arial"/>
                <w:i/>
              </w:rPr>
            </w:pPr>
          </w:p>
        </w:tc>
      </w:tr>
      <w:tr w:rsidR="00EE47B2" w:rsidRPr="00763307" w14:paraId="1A262F96" w14:textId="77777777" w:rsidTr="00D523CB">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0B62965C" w14:textId="7DD50789" w:rsidR="00EE47B2" w:rsidRPr="00731552" w:rsidRDefault="00EE47B2" w:rsidP="00E523AE">
            <w:pPr>
              <w:spacing w:line="240" w:lineRule="auto"/>
              <w:rPr>
                <w:rFonts w:eastAsia="Times New Roman" w:cs="Arial"/>
                <w:color w:val="000000"/>
                <w:szCs w:val="20"/>
                <w:lang w:eastAsia="en-AU"/>
              </w:rPr>
            </w:pPr>
            <w:r w:rsidRPr="00731552">
              <w:rPr>
                <w:rFonts w:eastAsia="Times New Roman" w:cs="Arial"/>
                <w:color w:val="000000"/>
                <w:szCs w:val="20"/>
                <w:lang w:eastAsia="en-AU"/>
              </w:rPr>
              <w:t>Chemicals (other petroleum and coal product and basic chemical, chemical and plastic)</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02EF6B3" w14:textId="22088007" w:rsidR="00EE47B2" w:rsidRPr="00731552" w:rsidDel="00A922FF" w:rsidRDefault="00EE47B2" w:rsidP="00B133DF">
            <w:pPr>
              <w:spacing w:line="240" w:lineRule="auto"/>
              <w:rPr>
                <w:rFonts w:eastAsia="Times New Roman" w:cs="Arial"/>
                <w:color w:val="000000"/>
                <w:szCs w:val="20"/>
                <w:lang w:eastAsia="en-AU"/>
              </w:rPr>
            </w:pPr>
            <w:r w:rsidRPr="00CE2775">
              <w:rPr>
                <w:rFonts w:cs="Arial"/>
              </w:rPr>
              <w:t>IBISWorld industry report</w:t>
            </w:r>
            <w:r w:rsidR="003067BD">
              <w:rPr>
                <w:rFonts w:cs="Arial"/>
              </w:rPr>
              <w:t>s</w:t>
            </w:r>
            <w:r w:rsidRPr="00CE2775">
              <w:rPr>
                <w:rFonts w:cs="Arial"/>
              </w:rPr>
              <w:t xml:space="preserve"> analysis and derived proportion of the base year from NGER data</w:t>
            </w:r>
          </w:p>
        </w:tc>
        <w:tc>
          <w:tcPr>
            <w:tcW w:w="3035" w:type="dxa"/>
            <w:vMerge/>
            <w:tcBorders>
              <w:left w:val="nil"/>
              <w:right w:val="single" w:sz="8" w:space="0" w:color="FFFFFF"/>
            </w:tcBorders>
            <w:shd w:val="clear" w:color="auto" w:fill="DBE5F1" w:themeFill="accent1" w:themeFillTint="33"/>
            <w:vAlign w:val="center"/>
          </w:tcPr>
          <w:p w14:paraId="04BB2279" w14:textId="032AF60A" w:rsidR="00EE47B2" w:rsidRPr="00B133DF" w:rsidRDefault="00EE47B2" w:rsidP="00B133DF">
            <w:pPr>
              <w:spacing w:line="240" w:lineRule="auto"/>
              <w:rPr>
                <w:rFonts w:cs="Arial"/>
                <w:i/>
              </w:rPr>
            </w:pPr>
          </w:p>
        </w:tc>
      </w:tr>
      <w:tr w:rsidR="00D5742C" w:rsidRPr="00763307" w14:paraId="475EC3DD" w14:textId="77777777" w:rsidTr="00D523CB">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2B7939B7" w14:textId="1E0CC869" w:rsidR="00D5742C" w:rsidRPr="00731552" w:rsidRDefault="00D5742C" w:rsidP="00E523AE">
            <w:pPr>
              <w:spacing w:line="240" w:lineRule="auto"/>
              <w:rPr>
                <w:rFonts w:eastAsia="Times New Roman" w:cs="Arial"/>
                <w:color w:val="000000"/>
                <w:szCs w:val="20"/>
                <w:lang w:eastAsia="en-AU"/>
              </w:rPr>
            </w:pPr>
            <w:r w:rsidRPr="00731552">
              <w:rPr>
                <w:rFonts w:eastAsia="Times New Roman" w:cs="Arial"/>
                <w:color w:val="000000"/>
                <w:szCs w:val="20"/>
                <w:lang w:eastAsia="en-AU"/>
              </w:rPr>
              <w:t>Food processing, beverages and tobacco</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4A7F8D8" w14:textId="56A744C3" w:rsidR="00D5742C" w:rsidRPr="00731552" w:rsidDel="00A922FF" w:rsidRDefault="00EE47B2" w:rsidP="00B133DF">
            <w:pPr>
              <w:spacing w:line="240" w:lineRule="auto"/>
              <w:rPr>
                <w:rFonts w:eastAsia="Times New Roman" w:cs="Arial"/>
                <w:color w:val="000000"/>
                <w:szCs w:val="20"/>
                <w:lang w:eastAsia="en-AU"/>
              </w:rPr>
            </w:pPr>
            <w:r w:rsidRPr="00CE2775">
              <w:rPr>
                <w:rFonts w:cs="Arial"/>
              </w:rPr>
              <w:t>IBISWorld industry report</w:t>
            </w:r>
            <w:r w:rsidR="003067BD">
              <w:rPr>
                <w:rFonts w:cs="Arial"/>
              </w:rPr>
              <w:t>s</w:t>
            </w:r>
            <w:r w:rsidRPr="00CE2775">
              <w:rPr>
                <w:rFonts w:cs="Arial"/>
              </w:rPr>
              <w:t xml:space="preserve"> analysis</w:t>
            </w:r>
          </w:p>
        </w:tc>
        <w:tc>
          <w:tcPr>
            <w:tcW w:w="3035" w:type="dxa"/>
            <w:tcBorders>
              <w:left w:val="nil"/>
              <w:right w:val="single" w:sz="8" w:space="0" w:color="FFFFFF"/>
            </w:tcBorders>
            <w:shd w:val="clear" w:color="auto" w:fill="DBE5F1" w:themeFill="accent1" w:themeFillTint="33"/>
            <w:vAlign w:val="center"/>
          </w:tcPr>
          <w:p w14:paraId="1B026EBB" w14:textId="4400DCB6" w:rsidR="00D5742C" w:rsidRPr="00CE2775" w:rsidRDefault="00D5742C" w:rsidP="00B133DF">
            <w:pPr>
              <w:spacing w:line="240" w:lineRule="auto"/>
              <w:rPr>
                <w:rFonts w:cs="Arial"/>
                <w:i/>
              </w:rPr>
            </w:pPr>
          </w:p>
        </w:tc>
      </w:tr>
      <w:tr w:rsidR="00EE47B2" w:rsidRPr="00763307" w14:paraId="64584B04" w14:textId="77777777" w:rsidTr="00D523CB">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25BF16F3" w14:textId="6B540703" w:rsidR="00EE47B2" w:rsidRPr="00731552" w:rsidRDefault="00EE47B2" w:rsidP="00E523AE">
            <w:pPr>
              <w:spacing w:line="240" w:lineRule="auto"/>
              <w:rPr>
                <w:rFonts w:eastAsia="Times New Roman" w:cs="Arial"/>
                <w:color w:val="000000"/>
                <w:szCs w:val="20"/>
                <w:lang w:eastAsia="en-AU"/>
              </w:rPr>
            </w:pPr>
            <w:r w:rsidRPr="00731552">
              <w:rPr>
                <w:rFonts w:eastAsia="Times New Roman" w:cs="Arial"/>
                <w:color w:val="000000"/>
                <w:szCs w:val="20"/>
                <w:lang w:eastAsia="en-AU"/>
              </w:rPr>
              <w:t>Other manufacturing</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2EE03561" w14:textId="11032660" w:rsidR="00EE47B2" w:rsidRPr="00731552" w:rsidRDefault="00EE47B2" w:rsidP="00B133DF">
            <w:pPr>
              <w:spacing w:line="240" w:lineRule="auto"/>
              <w:rPr>
                <w:rFonts w:eastAsia="Times New Roman" w:cs="Arial"/>
                <w:color w:val="000000"/>
                <w:szCs w:val="20"/>
                <w:lang w:eastAsia="en-AU"/>
              </w:rPr>
            </w:pPr>
            <w:r w:rsidRPr="00731552">
              <w:rPr>
                <w:rFonts w:eastAsia="Times New Roman" w:cs="Arial"/>
                <w:color w:val="000000"/>
                <w:szCs w:val="20"/>
                <w:lang w:eastAsia="en-AU"/>
              </w:rPr>
              <w:t>n/a</w:t>
            </w:r>
          </w:p>
        </w:tc>
        <w:tc>
          <w:tcPr>
            <w:tcW w:w="3035" w:type="dxa"/>
            <w:tcBorders>
              <w:left w:val="nil"/>
              <w:bottom w:val="single" w:sz="4" w:space="0" w:color="FFFFFF" w:themeColor="background1"/>
              <w:right w:val="single" w:sz="8" w:space="0" w:color="FFFFFF"/>
            </w:tcBorders>
            <w:shd w:val="clear" w:color="auto" w:fill="DBE5F1" w:themeFill="accent1" w:themeFillTint="33"/>
            <w:vAlign w:val="center"/>
          </w:tcPr>
          <w:p w14:paraId="6A6CA08E" w14:textId="5062E690" w:rsidR="00EE47B2" w:rsidRPr="00CE2775" w:rsidRDefault="00EE47B2" w:rsidP="00B133DF">
            <w:pPr>
              <w:spacing w:line="240" w:lineRule="auto"/>
              <w:rPr>
                <w:rFonts w:cs="Arial"/>
                <w:i/>
              </w:rPr>
            </w:pPr>
            <w:r w:rsidRPr="00731552">
              <w:rPr>
                <w:rFonts w:cs="Arial"/>
                <w:i/>
                <w:color w:val="000000"/>
                <w:sz w:val="16"/>
                <w:szCs w:val="16"/>
                <w:lang w:eastAsia="en-AU"/>
              </w:rPr>
              <w:t>10 year average of historical emissions</w:t>
            </w:r>
          </w:p>
        </w:tc>
      </w:tr>
      <w:tr w:rsidR="00E039BA" w:rsidRPr="00763307" w14:paraId="3A461CEC" w14:textId="77777777" w:rsidTr="0034555F">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02825A78" w14:textId="21E671D6" w:rsidR="00E039BA" w:rsidRPr="00731552" w:rsidRDefault="00E039BA" w:rsidP="00E523AE">
            <w:pPr>
              <w:spacing w:line="240" w:lineRule="auto"/>
              <w:contextualSpacing/>
              <w:rPr>
                <w:rFonts w:eastAsia="Times New Roman" w:cs="Arial"/>
                <w:color w:val="000000"/>
                <w:szCs w:val="20"/>
                <w:lang w:eastAsia="en-AU"/>
              </w:rPr>
            </w:pPr>
            <w:r w:rsidRPr="00E523AE">
              <w:rPr>
                <w:rFonts w:eastAsia="Times New Roman" w:cs="Arial"/>
                <w:b/>
                <w:i/>
                <w:color w:val="000000"/>
                <w:szCs w:val="20"/>
                <w:lang w:eastAsia="en-AU"/>
              </w:rPr>
              <w:t>Buildings</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5DD54F4F" w14:textId="77777777" w:rsidR="00E039BA" w:rsidRPr="00CE2775" w:rsidRDefault="00E039BA" w:rsidP="00B133DF">
            <w:pPr>
              <w:spacing w:line="240" w:lineRule="auto"/>
              <w:contextualSpacing/>
              <w:rPr>
                <w:rFonts w:cs="Arial"/>
              </w:rPr>
            </w:pP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5B507FDD" w14:textId="77777777" w:rsidR="00E039BA" w:rsidRPr="00CE2775" w:rsidRDefault="00E039BA" w:rsidP="00B133DF">
            <w:pPr>
              <w:contextualSpacing/>
              <w:rPr>
                <w:rFonts w:cs="Arial"/>
                <w:i/>
              </w:rPr>
            </w:pPr>
          </w:p>
        </w:tc>
      </w:tr>
      <w:tr w:rsidR="00D1580A" w:rsidRPr="00763307" w14:paraId="28A19912" w14:textId="77777777" w:rsidTr="0034555F">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63192DE8" w14:textId="3020A37C" w:rsidR="00D1580A" w:rsidRPr="00731552" w:rsidRDefault="00D1580A" w:rsidP="00E523AE">
            <w:pPr>
              <w:spacing w:line="240" w:lineRule="auto"/>
              <w:rPr>
                <w:rFonts w:eastAsia="Times New Roman" w:cs="Arial"/>
                <w:color w:val="000000"/>
                <w:szCs w:val="20"/>
                <w:lang w:eastAsia="en-AU"/>
              </w:rPr>
            </w:pPr>
            <w:r w:rsidRPr="00731552">
              <w:rPr>
                <w:rFonts w:eastAsia="Times New Roman" w:cs="Arial"/>
                <w:color w:val="000000"/>
                <w:szCs w:val="20"/>
                <w:lang w:eastAsia="en-AU"/>
              </w:rPr>
              <w:t xml:space="preserve">Residential and commercial </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580303A2" w14:textId="749B920C" w:rsidR="00D1580A" w:rsidRPr="00731552" w:rsidRDefault="00D1580A" w:rsidP="008B4AC5">
            <w:pPr>
              <w:spacing w:line="240" w:lineRule="auto"/>
              <w:rPr>
                <w:rFonts w:eastAsia="Times New Roman" w:cs="Arial"/>
                <w:color w:val="000000"/>
                <w:szCs w:val="20"/>
                <w:lang w:eastAsia="en-AU"/>
              </w:rPr>
            </w:pPr>
            <w:proofErr w:type="spellStart"/>
            <w:r w:rsidRPr="00CE2775">
              <w:rPr>
                <w:rFonts w:cs="Arial"/>
              </w:rPr>
              <w:t>ClimateWorks</w:t>
            </w:r>
            <w:proofErr w:type="spellEnd"/>
            <w:r w:rsidRPr="00CE2775">
              <w:rPr>
                <w:rFonts w:cs="Arial"/>
              </w:rPr>
              <w:t xml:space="preserve"> Australia 2016</w:t>
            </w:r>
            <w:r w:rsidRPr="00731552">
              <w:rPr>
                <w:rFonts w:eastAsia="Times New Roman" w:cs="Arial"/>
                <w:color w:val="000000"/>
                <w:szCs w:val="20"/>
                <w:lang w:eastAsia="en-AU"/>
              </w:rPr>
              <w:t xml:space="preserve">, </w:t>
            </w:r>
            <w:proofErr w:type="spellStart"/>
            <w:r w:rsidRPr="00CE2775">
              <w:rPr>
                <w:rFonts w:cs="Arial"/>
              </w:rPr>
              <w:t>DoEE</w:t>
            </w:r>
            <w:proofErr w:type="spellEnd"/>
            <w:r w:rsidRPr="00CE2775">
              <w:rPr>
                <w:rFonts w:cs="Arial"/>
              </w:rPr>
              <w:t xml:space="preserve"> 2017</w:t>
            </w:r>
            <w:r w:rsidR="008B4AC5">
              <w:rPr>
                <w:rFonts w:cs="Arial"/>
              </w:rPr>
              <w:t>b</w:t>
            </w:r>
            <w:r w:rsidRPr="00731552">
              <w:rPr>
                <w:rFonts w:eastAsia="Times New Roman" w:cs="Arial"/>
                <w:color w:val="000000"/>
                <w:szCs w:val="20"/>
                <w:lang w:eastAsia="en-AU"/>
              </w:rPr>
              <w:t xml:space="preserve">, </w:t>
            </w:r>
            <w:r w:rsidRPr="00CE2775">
              <w:rPr>
                <w:rFonts w:cs="Arial"/>
              </w:rPr>
              <w:t>AEMO 2016</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06AF3C57" w14:textId="279FC8EA" w:rsidR="00D1580A" w:rsidRPr="008142E3" w:rsidRDefault="00D1580A">
            <w:pPr>
              <w:rPr>
                <w:rFonts w:cs="Arial"/>
                <w:i/>
                <w:vertAlign w:val="superscript"/>
              </w:rPr>
            </w:pPr>
            <w:r w:rsidRPr="00CE2775">
              <w:rPr>
                <w:rFonts w:cs="Arial"/>
                <w:i/>
              </w:rPr>
              <w:t>E</w:t>
            </w:r>
            <w:r w:rsidRPr="00CE2775">
              <w:rPr>
                <w:rFonts w:cs="Arial"/>
                <w:i/>
                <w:vertAlign w:val="subscript"/>
              </w:rPr>
              <w:t>t</w:t>
            </w:r>
            <w:r w:rsidRPr="00CE2775">
              <w:rPr>
                <w:rFonts w:cs="Arial"/>
                <w:i/>
              </w:rPr>
              <w:t xml:space="preserve"> = </w:t>
            </w:r>
            <w:proofErr w:type="gramStart"/>
            <w:r w:rsidRPr="00731552">
              <w:rPr>
                <w:rFonts w:cs="Arial"/>
                <w:i/>
              </w:rPr>
              <w:t>∑</w:t>
            </w:r>
            <w:r w:rsidRPr="00CE2775">
              <w:rPr>
                <w:rFonts w:cs="Arial"/>
                <w:i/>
              </w:rPr>
              <w:t>(</w:t>
            </w:r>
            <w:proofErr w:type="gramEnd"/>
            <w:r w:rsidRPr="00CE2775">
              <w:rPr>
                <w:rFonts w:cs="Arial"/>
                <w:i/>
              </w:rPr>
              <w:t xml:space="preserve"> [</w:t>
            </w:r>
            <w:proofErr w:type="spellStart"/>
            <w:r w:rsidRPr="00CE2775">
              <w:rPr>
                <w:rFonts w:cs="Arial"/>
                <w:i/>
              </w:rPr>
              <w:t>U</w:t>
            </w:r>
            <w:r w:rsidR="00AC3312">
              <w:rPr>
                <w:rFonts w:cs="Arial"/>
                <w:i/>
                <w:vertAlign w:val="subscript"/>
              </w:rPr>
              <w:t>j</w:t>
            </w:r>
            <w:r w:rsidRPr="00CE2775">
              <w:rPr>
                <w:rFonts w:cs="Arial"/>
                <w:i/>
                <w:vertAlign w:val="subscript"/>
              </w:rPr>
              <w:t>y</w:t>
            </w:r>
            <w:r w:rsidR="00AC3312">
              <w:rPr>
                <w:rFonts w:cs="Arial"/>
                <w:i/>
                <w:vertAlign w:val="subscript"/>
              </w:rPr>
              <w:t>t</w:t>
            </w:r>
            <w:proofErr w:type="spellEnd"/>
            <w:r w:rsidRPr="00CE2775">
              <w:rPr>
                <w:rFonts w:cs="Arial"/>
                <w:i/>
              </w:rPr>
              <w:t xml:space="preserve"> </w:t>
            </w:r>
            <w:r w:rsidRPr="00CE2775">
              <w:rPr>
                <w:rFonts w:cs="Arial"/>
                <w:b/>
                <w:i/>
              </w:rPr>
              <w:t>.</w:t>
            </w:r>
            <w:r w:rsidRPr="00CE2775">
              <w:rPr>
                <w:rFonts w:cs="Arial"/>
                <w:i/>
              </w:rPr>
              <w:t xml:space="preserve"> </w:t>
            </w:r>
            <w:proofErr w:type="spellStart"/>
            <w:proofErr w:type="gramStart"/>
            <w:r w:rsidRPr="00CE2775">
              <w:rPr>
                <w:rFonts w:cs="Arial"/>
                <w:i/>
              </w:rPr>
              <w:t>EC</w:t>
            </w:r>
            <w:r w:rsidR="00AC3312">
              <w:rPr>
                <w:rFonts w:cs="Arial"/>
                <w:i/>
                <w:vertAlign w:val="subscript"/>
              </w:rPr>
              <w:t>j</w:t>
            </w:r>
            <w:proofErr w:type="spellEnd"/>
            <w:r w:rsidRPr="00CE2775">
              <w:rPr>
                <w:rFonts w:cs="Arial"/>
                <w:i/>
                <w:vertAlign w:val="subscript"/>
              </w:rPr>
              <w:t xml:space="preserve"> </w:t>
            </w:r>
            <w:r w:rsidRPr="00CE2775">
              <w:rPr>
                <w:rFonts w:cs="Arial"/>
                <w:b/>
                <w:i/>
                <w:vertAlign w:val="subscript"/>
              </w:rPr>
              <w:t>.</w:t>
            </w:r>
            <w:proofErr w:type="gramEnd"/>
            <w:r w:rsidRPr="00CE2775">
              <w:rPr>
                <w:rFonts w:cs="Arial"/>
                <w:i/>
                <w:vertAlign w:val="subscript"/>
              </w:rPr>
              <w:t xml:space="preserve"> </w:t>
            </w:r>
            <w:proofErr w:type="spellStart"/>
            <w:r w:rsidRPr="00CE2775">
              <w:rPr>
                <w:rFonts w:cs="Arial"/>
                <w:i/>
              </w:rPr>
              <w:t>EF</w:t>
            </w:r>
            <w:r w:rsidR="00AC3312">
              <w:rPr>
                <w:rFonts w:cs="Arial"/>
                <w:i/>
                <w:vertAlign w:val="subscript"/>
              </w:rPr>
              <w:t>j</w:t>
            </w:r>
            <w:proofErr w:type="spellEnd"/>
            <w:r w:rsidRPr="008142E3">
              <w:rPr>
                <w:rFonts w:cs="Arial"/>
                <w:i/>
              </w:rPr>
              <w:t>])</w:t>
            </w:r>
          </w:p>
          <w:p w14:paraId="0BAA8AF5" w14:textId="217112BA" w:rsidR="00D1580A" w:rsidRPr="00B133DF" w:rsidRDefault="00D1580A" w:rsidP="00AC3312">
            <w:pPr>
              <w:rPr>
                <w:rFonts w:cs="Arial"/>
                <w:i/>
              </w:rPr>
            </w:pPr>
            <w:r w:rsidRPr="008142E3">
              <w:rPr>
                <w:rFonts w:cs="Arial"/>
                <w:i/>
                <w:sz w:val="16"/>
                <w:szCs w:val="16"/>
              </w:rPr>
              <w:t xml:space="preserve">Where: </w:t>
            </w:r>
            <w:r w:rsidRPr="008142E3">
              <w:rPr>
                <w:rFonts w:cs="Arial"/>
                <w:i/>
                <w:sz w:val="16"/>
                <w:szCs w:val="16"/>
              </w:rPr>
              <w:br/>
              <w:t>E</w:t>
            </w:r>
            <w:r w:rsidRPr="008142E3">
              <w:rPr>
                <w:rFonts w:cs="Arial"/>
                <w:i/>
                <w:sz w:val="16"/>
                <w:szCs w:val="16"/>
                <w:vertAlign w:val="subscript"/>
              </w:rPr>
              <w:t>t</w:t>
            </w:r>
            <w:r w:rsidRPr="008142E3">
              <w:rPr>
                <w:rFonts w:cs="Arial"/>
                <w:i/>
                <w:sz w:val="16"/>
                <w:szCs w:val="16"/>
              </w:rPr>
              <w:t xml:space="preserve"> = emissions in year</w:t>
            </w:r>
            <w:r w:rsidR="00A512BA">
              <w:rPr>
                <w:rFonts w:cs="Arial"/>
                <w:i/>
                <w:sz w:val="16"/>
                <w:szCs w:val="16"/>
                <w:vertAlign w:val="subscript"/>
              </w:rPr>
              <w:t xml:space="preserve"> </w:t>
            </w:r>
            <w:r w:rsidR="00A512BA">
              <w:rPr>
                <w:rFonts w:cs="Arial"/>
                <w:i/>
                <w:sz w:val="16"/>
                <w:szCs w:val="16"/>
              </w:rPr>
              <w:t>t</w:t>
            </w:r>
            <w:r w:rsidRPr="008142E3">
              <w:rPr>
                <w:rFonts w:cs="Arial"/>
                <w:i/>
                <w:sz w:val="16"/>
                <w:szCs w:val="16"/>
              </w:rPr>
              <w:t xml:space="preserve"> (Mt CO</w:t>
            </w:r>
            <w:r w:rsidRPr="008142E3">
              <w:rPr>
                <w:rFonts w:cs="Arial"/>
                <w:i/>
                <w:sz w:val="16"/>
                <w:szCs w:val="16"/>
                <w:vertAlign w:val="subscript"/>
              </w:rPr>
              <w:t>2</w:t>
            </w:r>
            <w:r w:rsidRPr="008142E3">
              <w:rPr>
                <w:rFonts w:cs="Arial"/>
                <w:i/>
                <w:sz w:val="16"/>
                <w:szCs w:val="16"/>
              </w:rPr>
              <w:t>-e)</w:t>
            </w:r>
            <w:r w:rsidRPr="008142E3">
              <w:rPr>
                <w:rFonts w:cs="Arial"/>
                <w:i/>
                <w:sz w:val="16"/>
                <w:szCs w:val="16"/>
              </w:rPr>
              <w:br/>
            </w:r>
            <w:proofErr w:type="spellStart"/>
            <w:r w:rsidRPr="008142E3">
              <w:rPr>
                <w:rFonts w:cs="Arial"/>
                <w:i/>
                <w:sz w:val="16"/>
                <w:szCs w:val="16"/>
              </w:rPr>
              <w:t>U</w:t>
            </w:r>
            <w:r w:rsidR="00AC3312">
              <w:rPr>
                <w:rFonts w:cs="Arial"/>
                <w:i/>
                <w:sz w:val="16"/>
                <w:szCs w:val="16"/>
                <w:vertAlign w:val="subscript"/>
              </w:rPr>
              <w:t>j</w:t>
            </w:r>
            <w:r w:rsidRPr="00E523AE">
              <w:rPr>
                <w:rFonts w:cs="Arial"/>
                <w:i/>
                <w:sz w:val="16"/>
                <w:szCs w:val="16"/>
                <w:vertAlign w:val="subscript"/>
              </w:rPr>
              <w:t>y</w:t>
            </w:r>
            <w:r w:rsidR="00AC3312">
              <w:rPr>
                <w:rFonts w:cs="Arial"/>
                <w:i/>
                <w:sz w:val="16"/>
                <w:szCs w:val="16"/>
                <w:vertAlign w:val="subscript"/>
              </w:rPr>
              <w:t>t</w:t>
            </w:r>
            <w:proofErr w:type="spellEnd"/>
            <w:r w:rsidRPr="00B133DF">
              <w:rPr>
                <w:rFonts w:cs="Arial"/>
                <w:i/>
                <w:sz w:val="16"/>
                <w:szCs w:val="16"/>
              </w:rPr>
              <w:t xml:space="preserve"> = the use of </w:t>
            </w:r>
            <w:proofErr w:type="spellStart"/>
            <w:r w:rsidRPr="00B133DF">
              <w:rPr>
                <w:rFonts w:cs="Arial"/>
                <w:i/>
                <w:sz w:val="16"/>
                <w:szCs w:val="16"/>
              </w:rPr>
              <w:t>fuel</w:t>
            </w:r>
            <w:r w:rsidR="00AC3312">
              <w:rPr>
                <w:rFonts w:cs="Arial"/>
                <w:i/>
                <w:sz w:val="16"/>
                <w:szCs w:val="16"/>
                <w:vertAlign w:val="subscript"/>
              </w:rPr>
              <w:t>j</w:t>
            </w:r>
            <w:proofErr w:type="spellEnd"/>
            <w:r w:rsidRPr="00B133DF">
              <w:rPr>
                <w:rFonts w:cs="Arial"/>
                <w:i/>
                <w:sz w:val="16"/>
                <w:szCs w:val="16"/>
              </w:rPr>
              <w:t xml:space="preserve"> in </w:t>
            </w:r>
            <w:proofErr w:type="spellStart"/>
            <w:r w:rsidRPr="00B133DF">
              <w:rPr>
                <w:rFonts w:cs="Arial"/>
                <w:i/>
                <w:sz w:val="16"/>
                <w:szCs w:val="16"/>
              </w:rPr>
              <w:t>State</w:t>
            </w:r>
            <w:r w:rsidRPr="00B133DF">
              <w:rPr>
                <w:rFonts w:cs="Arial"/>
                <w:i/>
                <w:sz w:val="16"/>
                <w:szCs w:val="16"/>
                <w:vertAlign w:val="subscript"/>
              </w:rPr>
              <w:t>y</w:t>
            </w:r>
            <w:proofErr w:type="spellEnd"/>
            <w:r w:rsidR="00FB329E">
              <w:rPr>
                <w:rFonts w:cs="Arial"/>
                <w:i/>
                <w:sz w:val="16"/>
                <w:szCs w:val="16"/>
                <w:vertAlign w:val="superscript"/>
              </w:rPr>
              <w:t xml:space="preserve"> </w:t>
            </w:r>
            <w:r w:rsidR="00A512BA" w:rsidRPr="00A512BA">
              <w:rPr>
                <w:rFonts w:cs="Arial"/>
                <w:i/>
                <w:sz w:val="16"/>
                <w:szCs w:val="16"/>
              </w:rPr>
              <w:t xml:space="preserve">in year t </w:t>
            </w:r>
            <w:r w:rsidRPr="00A512BA">
              <w:rPr>
                <w:rFonts w:cs="Arial"/>
                <w:i/>
                <w:sz w:val="16"/>
                <w:szCs w:val="16"/>
              </w:rPr>
              <w:br/>
            </w:r>
            <w:proofErr w:type="spellStart"/>
            <w:r w:rsidRPr="00B133DF">
              <w:rPr>
                <w:rFonts w:cs="Arial"/>
                <w:i/>
                <w:sz w:val="16"/>
                <w:szCs w:val="16"/>
              </w:rPr>
              <w:t>EC</w:t>
            </w:r>
            <w:r w:rsidR="00AC3312">
              <w:rPr>
                <w:rFonts w:cs="Arial"/>
                <w:i/>
                <w:sz w:val="16"/>
                <w:szCs w:val="16"/>
                <w:vertAlign w:val="subscript"/>
              </w:rPr>
              <w:t>j</w:t>
            </w:r>
            <w:proofErr w:type="spellEnd"/>
            <w:r w:rsidRPr="00B133DF">
              <w:rPr>
                <w:rFonts w:cs="Arial"/>
                <w:i/>
                <w:sz w:val="16"/>
                <w:szCs w:val="16"/>
              </w:rPr>
              <w:t xml:space="preserve"> = the energy content of </w:t>
            </w:r>
            <w:proofErr w:type="spellStart"/>
            <w:r w:rsidRPr="00B133DF">
              <w:rPr>
                <w:rFonts w:cs="Arial"/>
                <w:i/>
                <w:sz w:val="16"/>
                <w:szCs w:val="16"/>
              </w:rPr>
              <w:t>fuel</w:t>
            </w:r>
            <w:r w:rsidR="00AC3312">
              <w:rPr>
                <w:rFonts w:cs="Arial"/>
                <w:i/>
                <w:sz w:val="16"/>
                <w:szCs w:val="16"/>
                <w:vertAlign w:val="subscript"/>
              </w:rPr>
              <w:t>j</w:t>
            </w:r>
            <w:proofErr w:type="spellEnd"/>
            <w:r w:rsidRPr="00B133DF">
              <w:rPr>
                <w:rFonts w:cs="Arial"/>
                <w:i/>
                <w:sz w:val="16"/>
                <w:szCs w:val="16"/>
              </w:rPr>
              <w:br/>
            </w:r>
            <w:proofErr w:type="spellStart"/>
            <w:r w:rsidRPr="00B133DF">
              <w:rPr>
                <w:rFonts w:cs="Arial"/>
                <w:i/>
                <w:sz w:val="16"/>
                <w:szCs w:val="16"/>
              </w:rPr>
              <w:t>EF</w:t>
            </w:r>
            <w:r w:rsidR="00AC3312">
              <w:rPr>
                <w:rFonts w:cs="Arial"/>
                <w:i/>
                <w:sz w:val="16"/>
                <w:szCs w:val="16"/>
                <w:vertAlign w:val="subscript"/>
              </w:rPr>
              <w:t>j</w:t>
            </w:r>
            <w:proofErr w:type="spellEnd"/>
            <w:r w:rsidRPr="00B133DF">
              <w:rPr>
                <w:rFonts w:cs="Arial"/>
                <w:i/>
                <w:sz w:val="16"/>
                <w:szCs w:val="16"/>
              </w:rPr>
              <w:t xml:space="preserve"> = the emissions factor of </w:t>
            </w:r>
            <w:proofErr w:type="spellStart"/>
            <w:r w:rsidRPr="00B133DF">
              <w:rPr>
                <w:rFonts w:cs="Arial"/>
                <w:i/>
                <w:sz w:val="16"/>
                <w:szCs w:val="16"/>
              </w:rPr>
              <w:t>fuel</w:t>
            </w:r>
            <w:r w:rsidR="00AC3312">
              <w:rPr>
                <w:rFonts w:cs="Arial"/>
                <w:i/>
                <w:sz w:val="16"/>
                <w:szCs w:val="16"/>
                <w:vertAlign w:val="subscript"/>
              </w:rPr>
              <w:t>j</w:t>
            </w:r>
            <w:proofErr w:type="spellEnd"/>
          </w:p>
        </w:tc>
      </w:tr>
      <w:tr w:rsidR="00E039BA" w:rsidRPr="00763307" w14:paraId="480E1EEF" w14:textId="77777777" w:rsidTr="0034555F">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7447B239" w14:textId="29871D3C" w:rsidR="00E039BA" w:rsidRPr="00731552" w:rsidRDefault="00E039BA" w:rsidP="00E523AE">
            <w:pPr>
              <w:spacing w:line="240" w:lineRule="auto"/>
              <w:rPr>
                <w:rFonts w:eastAsia="Times New Roman" w:cs="Arial"/>
                <w:color w:val="000000"/>
                <w:szCs w:val="20"/>
                <w:lang w:eastAsia="en-AU"/>
              </w:rPr>
            </w:pPr>
            <w:r w:rsidRPr="00731552">
              <w:rPr>
                <w:rFonts w:eastAsia="Times New Roman" w:cs="Arial"/>
                <w:color w:val="000000"/>
                <w:szCs w:val="20"/>
                <w:lang w:eastAsia="en-AU"/>
              </w:rPr>
              <w:t>Construction</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7D8D3CEC" w14:textId="05D2D6CC" w:rsidR="00E039BA" w:rsidRPr="00CE2775" w:rsidRDefault="0003514A" w:rsidP="00B133DF">
            <w:pPr>
              <w:spacing w:line="240" w:lineRule="auto"/>
              <w:rPr>
                <w:rFonts w:cs="Arial"/>
              </w:rPr>
            </w:pPr>
            <w:r w:rsidRPr="00CE2775">
              <w:rPr>
                <w:rFonts w:cs="Arial"/>
              </w:rPr>
              <w:t>Activity d</w:t>
            </w:r>
            <w:r w:rsidR="00654A7C" w:rsidRPr="00CE2775">
              <w:rPr>
                <w:rFonts w:cs="Arial"/>
              </w:rPr>
              <w:t xml:space="preserve">ata from </w:t>
            </w:r>
            <w:r w:rsidRPr="00CE2775">
              <w:rPr>
                <w:rFonts w:cs="Arial"/>
              </w:rPr>
              <w:t>ACIF 2017</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47319EBF" w14:textId="0F3EBD9D" w:rsidR="00654A7C" w:rsidRPr="00CE2775" w:rsidRDefault="00654A7C">
            <w:pPr>
              <w:rPr>
                <w:rFonts w:cs="Arial"/>
                <w:i/>
              </w:rPr>
            </w:pPr>
            <w:r w:rsidRPr="00CE2775">
              <w:rPr>
                <w:rFonts w:cs="Arial"/>
                <w:i/>
              </w:rPr>
              <w:t>E</w:t>
            </w:r>
            <w:r w:rsidRPr="00CE2775">
              <w:rPr>
                <w:rFonts w:cs="Arial"/>
                <w:i/>
                <w:vertAlign w:val="subscript"/>
              </w:rPr>
              <w:t>t</w:t>
            </w:r>
            <w:r w:rsidRPr="00CE2775">
              <w:rPr>
                <w:rFonts w:cs="Arial"/>
                <w:i/>
              </w:rPr>
              <w:t xml:space="preserve"> = E</w:t>
            </w:r>
            <w:r w:rsidRPr="00CE2775">
              <w:rPr>
                <w:rFonts w:cs="Arial"/>
                <w:i/>
                <w:vertAlign w:val="subscript"/>
              </w:rPr>
              <w:t>t-</w:t>
            </w:r>
            <w:proofErr w:type="gramStart"/>
            <w:r w:rsidRPr="00CE2775">
              <w:rPr>
                <w:rFonts w:cs="Arial"/>
                <w:i/>
                <w:vertAlign w:val="subscript"/>
              </w:rPr>
              <w:t xml:space="preserve">1 </w:t>
            </w:r>
            <w:r w:rsidR="003067BD" w:rsidRPr="00CE2775">
              <w:rPr>
                <w:rFonts w:cs="Arial"/>
                <w:b/>
                <w:i/>
              </w:rPr>
              <w:t>.</w:t>
            </w:r>
            <w:proofErr w:type="gramEnd"/>
            <w:r w:rsidRPr="008142E3">
              <w:rPr>
                <w:rFonts w:cs="Arial"/>
                <w:i/>
              </w:rPr>
              <w:t xml:space="preserve"> </w:t>
            </w:r>
            <w:r w:rsidRPr="00731552">
              <w:rPr>
                <w:rFonts w:cs="Arial"/>
                <w:i/>
              </w:rPr>
              <w:t>Δ</w:t>
            </w:r>
            <w:r w:rsidRPr="00CE2775">
              <w:rPr>
                <w:rFonts w:cs="Arial"/>
                <w:i/>
              </w:rPr>
              <w:t xml:space="preserve"> </w:t>
            </w:r>
            <w:r w:rsidR="0003514A" w:rsidRPr="00CE2775">
              <w:rPr>
                <w:rFonts w:cs="Arial"/>
                <w:i/>
              </w:rPr>
              <w:t>Activity</w:t>
            </w:r>
          </w:p>
          <w:p w14:paraId="55A3ED50" w14:textId="2D6C3075" w:rsidR="00654A7C" w:rsidRPr="00CE2775" w:rsidDel="00E57C11" w:rsidRDefault="00654A7C" w:rsidP="00E523AE">
            <w:pPr>
              <w:spacing w:line="240" w:lineRule="auto"/>
              <w:rPr>
                <w:rFonts w:cs="Arial"/>
                <w:i/>
              </w:rPr>
            </w:pPr>
            <w:r w:rsidRPr="00CE2775">
              <w:rPr>
                <w:rFonts w:cs="Arial"/>
                <w:i/>
                <w:sz w:val="16"/>
                <w:szCs w:val="16"/>
              </w:rPr>
              <w:t xml:space="preserve">Where: </w:t>
            </w:r>
            <w:r w:rsidRPr="00CE2775">
              <w:rPr>
                <w:rFonts w:cs="Arial"/>
                <w:i/>
                <w:sz w:val="16"/>
                <w:szCs w:val="16"/>
              </w:rPr>
              <w:br/>
              <w:t>E</w:t>
            </w:r>
            <w:r w:rsidRPr="00CE2775">
              <w:rPr>
                <w:rFonts w:cs="Arial"/>
                <w:i/>
                <w:sz w:val="16"/>
                <w:szCs w:val="16"/>
                <w:vertAlign w:val="subscript"/>
              </w:rPr>
              <w:t>t</w:t>
            </w:r>
            <w:r w:rsidRPr="00CE2775">
              <w:rPr>
                <w:rFonts w:cs="Arial"/>
                <w:i/>
                <w:sz w:val="16"/>
                <w:szCs w:val="16"/>
              </w:rPr>
              <w:t xml:space="preserve"> = emissions in year t</w:t>
            </w:r>
            <w:r w:rsidR="00FB329E">
              <w:rPr>
                <w:rFonts w:cs="Arial"/>
                <w:i/>
                <w:sz w:val="16"/>
                <w:szCs w:val="16"/>
                <w:vertAlign w:val="subscript"/>
              </w:rPr>
              <w:t xml:space="preserve"> </w:t>
            </w:r>
            <w:r w:rsidRPr="00CE2775">
              <w:rPr>
                <w:rFonts w:cs="Arial"/>
                <w:i/>
                <w:sz w:val="16"/>
                <w:szCs w:val="16"/>
              </w:rPr>
              <w:t>(Mt CO</w:t>
            </w:r>
            <w:r w:rsidRPr="00CE2775">
              <w:rPr>
                <w:rFonts w:cs="Arial"/>
                <w:i/>
                <w:sz w:val="16"/>
                <w:szCs w:val="16"/>
                <w:vertAlign w:val="subscript"/>
              </w:rPr>
              <w:t>2</w:t>
            </w:r>
            <w:r w:rsidRPr="008142E3">
              <w:rPr>
                <w:rFonts w:cs="Arial"/>
                <w:i/>
                <w:sz w:val="16"/>
                <w:szCs w:val="16"/>
              </w:rPr>
              <w:t>-e)</w:t>
            </w:r>
            <w:r w:rsidRPr="008142E3">
              <w:rPr>
                <w:rFonts w:cs="Arial"/>
                <w:i/>
                <w:sz w:val="16"/>
                <w:szCs w:val="16"/>
              </w:rPr>
              <w:br/>
              <w:t>E</w:t>
            </w:r>
            <w:r w:rsidRPr="008142E3">
              <w:rPr>
                <w:rFonts w:cs="Arial"/>
                <w:i/>
                <w:sz w:val="16"/>
                <w:szCs w:val="16"/>
                <w:vertAlign w:val="subscript"/>
              </w:rPr>
              <w:t>t-1</w:t>
            </w:r>
            <w:r w:rsidRPr="008142E3">
              <w:rPr>
                <w:rFonts w:cs="Arial"/>
                <w:i/>
                <w:sz w:val="16"/>
                <w:szCs w:val="16"/>
              </w:rPr>
              <w:t xml:space="preserve"> = emissions in the previous year</w:t>
            </w:r>
            <w:r w:rsidRPr="008142E3">
              <w:rPr>
                <w:rFonts w:cs="Arial"/>
                <w:i/>
                <w:sz w:val="16"/>
                <w:szCs w:val="16"/>
              </w:rPr>
              <w:br/>
            </w:r>
            <w:r w:rsidRPr="00731552">
              <w:rPr>
                <w:rFonts w:cs="Arial"/>
                <w:i/>
                <w:sz w:val="16"/>
                <w:szCs w:val="16"/>
              </w:rPr>
              <w:t>Δ</w:t>
            </w:r>
            <w:r w:rsidRPr="00CE2775">
              <w:rPr>
                <w:rFonts w:cs="Arial"/>
                <w:i/>
                <w:sz w:val="16"/>
                <w:szCs w:val="16"/>
                <w:vertAlign w:val="subscript"/>
              </w:rPr>
              <w:t xml:space="preserve"> </w:t>
            </w:r>
            <w:r w:rsidR="0003514A" w:rsidRPr="00CE2775">
              <w:rPr>
                <w:rFonts w:cs="Arial"/>
                <w:i/>
                <w:sz w:val="16"/>
                <w:szCs w:val="16"/>
              </w:rPr>
              <w:t>Activity</w:t>
            </w:r>
            <w:r w:rsidRPr="00CE2775">
              <w:rPr>
                <w:rFonts w:cs="Arial"/>
                <w:i/>
                <w:sz w:val="16"/>
                <w:szCs w:val="16"/>
              </w:rPr>
              <w:t xml:space="preserve"> = percentage change in </w:t>
            </w:r>
            <w:r w:rsidR="0003514A" w:rsidRPr="00CE2775">
              <w:rPr>
                <w:rFonts w:cs="Arial"/>
                <w:i/>
                <w:sz w:val="16"/>
                <w:szCs w:val="16"/>
              </w:rPr>
              <w:t>activity</w:t>
            </w:r>
            <w:r w:rsidRPr="00CE2775">
              <w:rPr>
                <w:rFonts w:cs="Arial"/>
                <w:i/>
                <w:sz w:val="16"/>
                <w:szCs w:val="16"/>
              </w:rPr>
              <w:t xml:space="preserve"> between year t and year t-1</w:t>
            </w:r>
          </w:p>
          <w:p w14:paraId="2E6732A1" w14:textId="77777777" w:rsidR="00E039BA" w:rsidRPr="00CE2775" w:rsidRDefault="00E039BA">
            <w:pPr>
              <w:rPr>
                <w:rFonts w:cs="Arial"/>
                <w:i/>
              </w:rPr>
            </w:pPr>
          </w:p>
        </w:tc>
      </w:tr>
      <w:tr w:rsidR="00D1580A" w:rsidRPr="00F33E9B" w14:paraId="7A2AD21B" w14:textId="77777777" w:rsidTr="0034555F">
        <w:trPr>
          <w:trHeight w:val="315"/>
        </w:trPr>
        <w:tc>
          <w:tcPr>
            <w:tcW w:w="3034"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5A7A06A1" w14:textId="77777777" w:rsidR="00D1580A" w:rsidRPr="00E523AE" w:rsidRDefault="00D1580A" w:rsidP="00E523AE">
            <w:pPr>
              <w:spacing w:line="240" w:lineRule="auto"/>
              <w:rPr>
                <w:rFonts w:eastAsia="Times New Roman" w:cs="Arial"/>
                <w:b/>
                <w:color w:val="000000"/>
                <w:szCs w:val="20"/>
                <w:lang w:eastAsia="en-AU"/>
              </w:rPr>
            </w:pPr>
            <w:r w:rsidRPr="00E523AE">
              <w:rPr>
                <w:rFonts w:eastAsia="Times New Roman" w:cs="Arial"/>
                <w:b/>
                <w:color w:val="000000"/>
                <w:szCs w:val="20"/>
                <w:lang w:eastAsia="en-AU"/>
              </w:rPr>
              <w:t>Agriculture, forestry and fishing</w:t>
            </w:r>
          </w:p>
        </w:tc>
        <w:tc>
          <w:tcPr>
            <w:tcW w:w="3035"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165D2615" w14:textId="74FCEF32" w:rsidR="00D1580A" w:rsidRPr="00731552" w:rsidRDefault="00D1580A" w:rsidP="008B4AC5">
            <w:pPr>
              <w:spacing w:line="240" w:lineRule="auto"/>
              <w:rPr>
                <w:rFonts w:eastAsia="Times New Roman" w:cs="Arial"/>
                <w:color w:val="000000"/>
                <w:szCs w:val="20"/>
                <w:lang w:eastAsia="en-AU"/>
              </w:rPr>
            </w:pPr>
            <w:proofErr w:type="spellStart"/>
            <w:r w:rsidRPr="00CE2775">
              <w:rPr>
                <w:rFonts w:cs="Arial"/>
              </w:rPr>
              <w:t>DoEE</w:t>
            </w:r>
            <w:proofErr w:type="spellEnd"/>
            <w:r w:rsidRPr="00CE2775">
              <w:rPr>
                <w:rFonts w:cs="Arial"/>
              </w:rPr>
              <w:t xml:space="preserve"> 2017</w:t>
            </w:r>
            <w:r w:rsidR="008B4AC5">
              <w:rPr>
                <w:rFonts w:cs="Arial"/>
              </w:rPr>
              <w:t>b</w:t>
            </w:r>
          </w:p>
        </w:tc>
        <w:tc>
          <w:tcPr>
            <w:tcW w:w="3035"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0E8AB412" w14:textId="77777777" w:rsidR="00D1580A" w:rsidRPr="00731552" w:rsidRDefault="00D1580A" w:rsidP="00B133DF">
            <w:pPr>
              <w:spacing w:line="240" w:lineRule="auto"/>
              <w:rPr>
                <w:rFonts w:cs="Arial"/>
                <w:i/>
                <w:color w:val="000000"/>
                <w:sz w:val="16"/>
                <w:szCs w:val="16"/>
                <w:lang w:eastAsia="en-AU"/>
              </w:rPr>
            </w:pPr>
            <w:r w:rsidRPr="00731552">
              <w:rPr>
                <w:rFonts w:cs="Arial"/>
                <w:i/>
                <w:color w:val="000000"/>
                <w:sz w:val="16"/>
                <w:szCs w:val="16"/>
                <w:lang w:eastAsia="en-AU"/>
              </w:rPr>
              <w:t>Historical diesel use from the agriculture sector is used to inform emissions</w:t>
            </w:r>
          </w:p>
        </w:tc>
      </w:tr>
      <w:tr w:rsidR="00D1580A" w:rsidRPr="00F333F9" w14:paraId="5F728798" w14:textId="77777777" w:rsidTr="0034555F">
        <w:trPr>
          <w:trHeight w:val="315"/>
        </w:trPr>
        <w:tc>
          <w:tcPr>
            <w:tcW w:w="3034"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57CB3F28" w14:textId="77777777" w:rsidR="00D1580A" w:rsidRPr="00E523AE" w:rsidRDefault="00D1580A" w:rsidP="00E523AE">
            <w:pPr>
              <w:spacing w:line="240" w:lineRule="auto"/>
              <w:rPr>
                <w:rFonts w:eastAsia="Times New Roman" w:cs="Arial"/>
                <w:b/>
                <w:color w:val="000000"/>
                <w:szCs w:val="20"/>
                <w:lang w:eastAsia="en-AU"/>
              </w:rPr>
            </w:pPr>
            <w:r w:rsidRPr="00E523AE">
              <w:rPr>
                <w:rFonts w:eastAsia="Times New Roman" w:cs="Arial"/>
                <w:b/>
                <w:color w:val="000000"/>
                <w:szCs w:val="20"/>
                <w:lang w:eastAsia="en-AU"/>
              </w:rPr>
              <w:t>Other (military)</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2B42CA5C" w14:textId="137465FF" w:rsidR="00D1580A" w:rsidRPr="00731552" w:rsidRDefault="00E039BA" w:rsidP="00B133DF">
            <w:pPr>
              <w:spacing w:line="240" w:lineRule="auto"/>
              <w:rPr>
                <w:rFonts w:eastAsia="Times New Roman" w:cs="Arial"/>
                <w:color w:val="000000"/>
                <w:szCs w:val="20"/>
                <w:lang w:eastAsia="en-AU"/>
              </w:rPr>
            </w:pPr>
            <w:r w:rsidRPr="00731552">
              <w:rPr>
                <w:rFonts w:eastAsia="Times New Roman" w:cs="Arial"/>
                <w:color w:val="000000"/>
                <w:szCs w:val="20"/>
                <w:lang w:eastAsia="en-AU"/>
              </w:rPr>
              <w:t>n/a</w:t>
            </w:r>
          </w:p>
        </w:tc>
        <w:tc>
          <w:tcPr>
            <w:tcW w:w="303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3C59E352" w14:textId="77777777" w:rsidR="00D1580A" w:rsidRPr="00731552" w:rsidRDefault="00D1580A" w:rsidP="00B133DF">
            <w:pPr>
              <w:spacing w:line="240" w:lineRule="auto"/>
              <w:rPr>
                <w:rFonts w:cs="Arial"/>
                <w:i/>
                <w:color w:val="000000"/>
                <w:sz w:val="16"/>
                <w:szCs w:val="16"/>
                <w:lang w:eastAsia="en-AU"/>
              </w:rPr>
            </w:pPr>
            <w:r w:rsidRPr="00731552">
              <w:rPr>
                <w:rFonts w:cs="Arial"/>
                <w:i/>
                <w:color w:val="000000"/>
                <w:sz w:val="16"/>
                <w:szCs w:val="16"/>
                <w:lang w:eastAsia="en-AU"/>
              </w:rPr>
              <w:t>10 year average of historical emissions</w:t>
            </w:r>
          </w:p>
        </w:tc>
      </w:tr>
    </w:tbl>
    <w:p w14:paraId="0D1C7BD6" w14:textId="668985D5" w:rsidR="000E7071" w:rsidRDefault="000E7071" w:rsidP="00C21785">
      <w:pPr>
        <w:pStyle w:val="Heading2"/>
        <w:spacing w:before="200"/>
      </w:pPr>
      <w:bookmarkStart w:id="16" w:name="_Toc510532004"/>
      <w:bookmarkStart w:id="17" w:name="_Toc510532534"/>
      <w:bookmarkStart w:id="18" w:name="_Toc510534098"/>
      <w:bookmarkStart w:id="19" w:name="_Toc510794627"/>
      <w:bookmarkStart w:id="20" w:name="_Toc511297986"/>
      <w:bookmarkStart w:id="21" w:name="_Toc511304015"/>
      <w:bookmarkStart w:id="22" w:name="_Toc511918019"/>
      <w:r>
        <w:t>Transport</w:t>
      </w:r>
      <w:bookmarkEnd w:id="16"/>
      <w:bookmarkEnd w:id="17"/>
      <w:bookmarkEnd w:id="18"/>
      <w:bookmarkEnd w:id="19"/>
      <w:bookmarkEnd w:id="20"/>
      <w:bookmarkEnd w:id="21"/>
      <w:bookmarkEnd w:id="22"/>
    </w:p>
    <w:p w14:paraId="59FF7452" w14:textId="26715617" w:rsidR="003067BD" w:rsidRDefault="00C8571C" w:rsidP="00C8571C">
      <w:pPr>
        <w:pStyle w:val="BodyText"/>
        <w:rPr>
          <w:rFonts w:ascii="Arial" w:hAnsi="Arial" w:cs="Arial"/>
          <w:color w:val="auto"/>
          <w:sz w:val="22"/>
          <w:lang w:eastAsia="en-US"/>
        </w:rPr>
      </w:pPr>
      <w:r w:rsidRPr="006F7412">
        <w:rPr>
          <w:rFonts w:ascii="Arial" w:hAnsi="Arial" w:cs="Arial"/>
          <w:color w:val="auto"/>
          <w:sz w:val="22"/>
          <w:lang w:eastAsia="en-US"/>
        </w:rPr>
        <w:t xml:space="preserve">The Department commissioned </w:t>
      </w:r>
      <w:r w:rsidR="003067BD">
        <w:rPr>
          <w:rFonts w:ascii="Arial" w:hAnsi="Arial" w:cs="Arial"/>
          <w:color w:val="auto"/>
          <w:sz w:val="22"/>
          <w:lang w:eastAsia="en-US"/>
        </w:rPr>
        <w:t xml:space="preserve">the </w:t>
      </w:r>
      <w:r>
        <w:rPr>
          <w:rFonts w:ascii="Arial" w:hAnsi="Arial" w:cs="Arial"/>
          <w:color w:val="auto"/>
          <w:sz w:val="22"/>
          <w:lang w:eastAsia="en-US"/>
        </w:rPr>
        <w:t>C</w:t>
      </w:r>
      <w:r w:rsidR="003067BD">
        <w:rPr>
          <w:rFonts w:ascii="Arial" w:hAnsi="Arial" w:cs="Arial"/>
          <w:color w:val="auto"/>
          <w:sz w:val="22"/>
          <w:lang w:eastAsia="en-US"/>
        </w:rPr>
        <w:t xml:space="preserve">ommonwealth </w:t>
      </w:r>
      <w:r>
        <w:rPr>
          <w:rFonts w:ascii="Arial" w:hAnsi="Arial" w:cs="Arial"/>
          <w:color w:val="auto"/>
          <w:sz w:val="22"/>
          <w:lang w:eastAsia="en-US"/>
        </w:rPr>
        <w:t>S</w:t>
      </w:r>
      <w:r w:rsidR="003067BD">
        <w:rPr>
          <w:rFonts w:ascii="Arial" w:hAnsi="Arial" w:cs="Arial"/>
          <w:color w:val="auto"/>
          <w:sz w:val="22"/>
          <w:lang w:eastAsia="en-US"/>
        </w:rPr>
        <w:t xml:space="preserve">cientific and Industrial </w:t>
      </w:r>
      <w:r>
        <w:rPr>
          <w:rFonts w:ascii="Arial" w:hAnsi="Arial" w:cs="Arial"/>
          <w:color w:val="auto"/>
          <w:sz w:val="22"/>
          <w:lang w:eastAsia="en-US"/>
        </w:rPr>
        <w:t>R</w:t>
      </w:r>
      <w:r w:rsidR="003067BD">
        <w:rPr>
          <w:rFonts w:ascii="Arial" w:hAnsi="Arial" w:cs="Arial"/>
          <w:color w:val="auto"/>
          <w:sz w:val="22"/>
          <w:lang w:eastAsia="en-US"/>
        </w:rPr>
        <w:t xml:space="preserve">esearch </w:t>
      </w:r>
      <w:r>
        <w:rPr>
          <w:rFonts w:ascii="Arial" w:hAnsi="Arial" w:cs="Arial"/>
          <w:color w:val="auto"/>
          <w:sz w:val="22"/>
          <w:lang w:eastAsia="en-US"/>
        </w:rPr>
        <w:t>O</w:t>
      </w:r>
      <w:r w:rsidR="003067BD">
        <w:rPr>
          <w:rFonts w:ascii="Arial" w:hAnsi="Arial" w:cs="Arial"/>
          <w:color w:val="auto"/>
          <w:sz w:val="22"/>
          <w:lang w:eastAsia="en-US"/>
        </w:rPr>
        <w:t>rganisation</w:t>
      </w:r>
      <w:r w:rsidR="00F67CC0">
        <w:rPr>
          <w:rFonts w:ascii="Arial" w:hAnsi="Arial" w:cs="Arial"/>
          <w:color w:val="auto"/>
          <w:sz w:val="22"/>
          <w:lang w:eastAsia="en-US"/>
        </w:rPr>
        <w:t xml:space="preserve">’s </w:t>
      </w:r>
      <w:r w:rsidR="003067BD">
        <w:rPr>
          <w:rFonts w:ascii="Arial" w:hAnsi="Arial" w:cs="Arial"/>
          <w:color w:val="auto"/>
          <w:sz w:val="22"/>
          <w:lang w:eastAsia="en-US"/>
        </w:rPr>
        <w:t>(CSIRO)</w:t>
      </w:r>
      <w:r w:rsidR="00F67CC0">
        <w:rPr>
          <w:rFonts w:ascii="Arial" w:hAnsi="Arial" w:cs="Arial"/>
          <w:color w:val="auto"/>
          <w:sz w:val="22"/>
          <w:lang w:eastAsia="en-US"/>
        </w:rPr>
        <w:t xml:space="preserve"> Energy Business Unit</w:t>
      </w:r>
      <w:r>
        <w:rPr>
          <w:rFonts w:ascii="Arial" w:hAnsi="Arial" w:cs="Arial"/>
          <w:color w:val="auto"/>
          <w:sz w:val="22"/>
          <w:lang w:eastAsia="en-US"/>
        </w:rPr>
        <w:t xml:space="preserve"> </w:t>
      </w:r>
      <w:r w:rsidRPr="006F7412">
        <w:rPr>
          <w:rFonts w:ascii="Arial" w:hAnsi="Arial" w:cs="Arial"/>
          <w:color w:val="auto"/>
          <w:sz w:val="22"/>
          <w:lang w:eastAsia="en-US"/>
        </w:rPr>
        <w:t xml:space="preserve">and ABMARC to undertake the modelling of transport emissions for the 2016 projections. </w:t>
      </w:r>
      <w:r>
        <w:rPr>
          <w:rFonts w:ascii="Arial" w:hAnsi="Arial" w:cs="Arial"/>
          <w:color w:val="auto"/>
          <w:sz w:val="22"/>
          <w:lang w:eastAsia="en-US"/>
        </w:rPr>
        <w:t>For the 2017 projections, a</w:t>
      </w:r>
      <w:r w:rsidRPr="006F7412">
        <w:rPr>
          <w:rFonts w:ascii="Arial" w:hAnsi="Arial" w:cs="Arial"/>
          <w:color w:val="auto"/>
          <w:sz w:val="22"/>
          <w:lang w:eastAsia="en-US"/>
        </w:rPr>
        <w:t xml:space="preserve"> review of major influences in the sector such as electric vehicle forecasts, oil prices and activity forecasts was conducted. </w:t>
      </w:r>
      <w:r w:rsidR="00B80BB3">
        <w:rPr>
          <w:rFonts w:ascii="Arial" w:hAnsi="Arial" w:cs="Arial"/>
          <w:color w:val="auto"/>
          <w:sz w:val="22"/>
          <w:lang w:eastAsia="en-US"/>
        </w:rPr>
        <w:t>The review concluded that it was not necessary to</w:t>
      </w:r>
      <w:r w:rsidRPr="006F7412">
        <w:rPr>
          <w:rFonts w:ascii="Arial" w:hAnsi="Arial" w:cs="Arial"/>
          <w:color w:val="auto"/>
          <w:sz w:val="22"/>
          <w:lang w:eastAsia="en-US"/>
        </w:rPr>
        <w:t xml:space="preserve"> adjust the </w:t>
      </w:r>
      <w:r w:rsidRPr="000A642D">
        <w:rPr>
          <w:rFonts w:ascii="Arial" w:hAnsi="Arial" w:cs="Arial"/>
          <w:i/>
          <w:color w:val="auto"/>
          <w:sz w:val="22"/>
          <w:lang w:eastAsia="en-US"/>
        </w:rPr>
        <w:t>transport sector</w:t>
      </w:r>
      <w:r w:rsidRPr="006F7412">
        <w:rPr>
          <w:rFonts w:ascii="Arial" w:hAnsi="Arial" w:cs="Arial"/>
          <w:color w:val="auto"/>
          <w:sz w:val="22"/>
          <w:lang w:eastAsia="en-US"/>
        </w:rPr>
        <w:t xml:space="preserve"> emissions from those calculated for the 2016 projections.</w:t>
      </w:r>
    </w:p>
    <w:p w14:paraId="0529415A" w14:textId="07BE2A0C" w:rsidR="00C8571C" w:rsidRDefault="005F7D0F" w:rsidP="00C8571C">
      <w:pPr>
        <w:pStyle w:val="BodyText"/>
        <w:rPr>
          <w:rFonts w:ascii="Arial" w:hAnsi="Arial" w:cs="Arial"/>
          <w:color w:val="auto"/>
          <w:sz w:val="22"/>
          <w:lang w:eastAsia="en-US"/>
        </w:rPr>
      </w:pPr>
      <w:r w:rsidRPr="005F7D0F">
        <w:rPr>
          <w:rFonts w:ascii="Arial" w:hAnsi="Arial" w:cs="Arial"/>
          <w:color w:val="auto"/>
          <w:sz w:val="22"/>
          <w:lang w:eastAsia="en-US"/>
        </w:rPr>
        <w:t xml:space="preserve">The </w:t>
      </w:r>
      <w:r w:rsidR="004E7D0E">
        <w:rPr>
          <w:rFonts w:ascii="Arial" w:hAnsi="Arial" w:cs="Arial"/>
          <w:color w:val="auto"/>
          <w:sz w:val="22"/>
          <w:lang w:eastAsia="en-US"/>
        </w:rPr>
        <w:t xml:space="preserve">transport projections have </w:t>
      </w:r>
      <w:r w:rsidRPr="005F7D0F">
        <w:rPr>
          <w:rFonts w:ascii="Arial" w:hAnsi="Arial" w:cs="Arial"/>
          <w:color w:val="auto"/>
          <w:sz w:val="22"/>
          <w:lang w:eastAsia="en-US"/>
        </w:rPr>
        <w:t xml:space="preserve">been developed to reflect current policies and measures. The three key policies impacting the </w:t>
      </w:r>
      <w:r w:rsidRPr="00FB329E">
        <w:rPr>
          <w:rFonts w:ascii="Arial" w:hAnsi="Arial" w:cs="Arial"/>
          <w:i/>
          <w:color w:val="auto"/>
          <w:sz w:val="22"/>
          <w:lang w:eastAsia="en-US"/>
        </w:rPr>
        <w:t>transport sector</w:t>
      </w:r>
      <w:r w:rsidRPr="005F7D0F">
        <w:rPr>
          <w:rFonts w:ascii="Arial" w:hAnsi="Arial" w:cs="Arial"/>
          <w:color w:val="auto"/>
          <w:sz w:val="22"/>
          <w:lang w:eastAsia="en-US"/>
        </w:rPr>
        <w:t xml:space="preserve"> that were included are </w:t>
      </w:r>
      <w:r w:rsidR="003067BD">
        <w:rPr>
          <w:rFonts w:ascii="Arial" w:hAnsi="Arial" w:cs="Arial"/>
          <w:color w:val="auto"/>
          <w:sz w:val="22"/>
          <w:lang w:eastAsia="en-US"/>
        </w:rPr>
        <w:t xml:space="preserve">the </w:t>
      </w:r>
      <w:r w:rsidRPr="005F7D0F">
        <w:rPr>
          <w:rFonts w:ascii="Arial" w:hAnsi="Arial" w:cs="Arial"/>
          <w:color w:val="auto"/>
          <w:sz w:val="22"/>
          <w:lang w:eastAsia="en-US"/>
        </w:rPr>
        <w:t>Commonwealth fuel excise, the NSW biofuels mandate and the Queensland biofuel policy.</w:t>
      </w:r>
      <w:r>
        <w:rPr>
          <w:rFonts w:ascii="Arial" w:hAnsi="Arial" w:cs="Arial"/>
          <w:color w:val="auto"/>
          <w:sz w:val="22"/>
          <w:lang w:eastAsia="en-US"/>
        </w:rPr>
        <w:t xml:space="preserve"> </w:t>
      </w:r>
      <w:r w:rsidRPr="005F7D0F">
        <w:rPr>
          <w:rFonts w:ascii="Arial" w:hAnsi="Arial" w:cs="Arial"/>
          <w:color w:val="auto"/>
          <w:sz w:val="22"/>
          <w:lang w:eastAsia="en-US"/>
        </w:rPr>
        <w:t xml:space="preserve">Abatement from the </w:t>
      </w:r>
      <w:r w:rsidR="003067BD">
        <w:rPr>
          <w:rFonts w:ascii="Arial" w:hAnsi="Arial" w:cs="Arial"/>
          <w:color w:val="auto"/>
          <w:sz w:val="22"/>
          <w:lang w:eastAsia="en-US"/>
        </w:rPr>
        <w:t>ERF</w:t>
      </w:r>
      <w:r w:rsidRPr="005F7D0F">
        <w:rPr>
          <w:rFonts w:ascii="Arial" w:hAnsi="Arial" w:cs="Arial"/>
          <w:color w:val="auto"/>
          <w:sz w:val="22"/>
          <w:lang w:eastAsia="en-US"/>
        </w:rPr>
        <w:t xml:space="preserve"> </w:t>
      </w:r>
      <w:r w:rsidR="003067BD">
        <w:rPr>
          <w:rFonts w:ascii="Arial" w:hAnsi="Arial" w:cs="Arial"/>
          <w:color w:val="auto"/>
          <w:sz w:val="22"/>
          <w:lang w:eastAsia="en-US"/>
        </w:rPr>
        <w:t>w</w:t>
      </w:r>
      <w:r w:rsidRPr="005F7D0F">
        <w:rPr>
          <w:rFonts w:ascii="Arial" w:hAnsi="Arial" w:cs="Arial"/>
          <w:color w:val="auto"/>
          <w:sz w:val="22"/>
          <w:lang w:eastAsia="en-US"/>
        </w:rPr>
        <w:t>as adjusted separately.</w:t>
      </w:r>
    </w:p>
    <w:p w14:paraId="1ABCCCB9" w14:textId="58475CCC" w:rsidR="00C8571C" w:rsidRDefault="00C8571C" w:rsidP="00C8571C">
      <w:pPr>
        <w:rPr>
          <w:rFonts w:cs="Arial"/>
        </w:rPr>
      </w:pPr>
      <w:r>
        <w:rPr>
          <w:rFonts w:cs="Arial"/>
        </w:rPr>
        <w:lastRenderedPageBreak/>
        <w:t xml:space="preserve">Emissions from the </w:t>
      </w:r>
      <w:r w:rsidRPr="000A642D">
        <w:rPr>
          <w:rFonts w:cs="Arial"/>
          <w:i/>
        </w:rPr>
        <w:t>transport sector</w:t>
      </w:r>
      <w:r>
        <w:rPr>
          <w:rFonts w:cs="Arial"/>
        </w:rPr>
        <w:t xml:space="preserve"> a</w:t>
      </w:r>
      <w:r w:rsidRPr="00930515">
        <w:rPr>
          <w:rFonts w:cs="Arial"/>
        </w:rPr>
        <w:t xml:space="preserve">re projected using an </w:t>
      </w:r>
      <w:r w:rsidRPr="00EE64C9">
        <w:rPr>
          <w:rFonts w:cs="Arial"/>
        </w:rPr>
        <w:t>in</w:t>
      </w:r>
      <w:r>
        <w:rPr>
          <w:rFonts w:cs="Arial"/>
        </w:rPr>
        <w:t xml:space="preserve">tegrated bottom-up and top-down </w:t>
      </w:r>
      <w:r w:rsidRPr="00EE64C9">
        <w:rPr>
          <w:rFonts w:cs="Arial"/>
        </w:rPr>
        <w:t>modelling approach</w:t>
      </w:r>
      <w:r w:rsidR="00A5050B" w:rsidRPr="00A5050B">
        <w:t xml:space="preserve"> </w:t>
      </w:r>
      <w:r w:rsidR="00A5050B">
        <w:t>(</w:t>
      </w:r>
      <w:r w:rsidR="00A5050B" w:rsidRPr="00892B4E">
        <w:t>Reedman, L</w:t>
      </w:r>
      <w:r w:rsidR="00A5050B">
        <w:t>uke J. and Graham, Paul W. 2016)</w:t>
      </w:r>
      <w:r>
        <w:rPr>
          <w:rFonts w:cs="Arial"/>
        </w:rPr>
        <w:t xml:space="preserve">. The </w:t>
      </w:r>
      <w:r w:rsidRPr="00930515">
        <w:rPr>
          <w:rFonts w:cs="Arial"/>
        </w:rPr>
        <w:t>economic par</w:t>
      </w:r>
      <w:r>
        <w:rPr>
          <w:rFonts w:cs="Arial"/>
        </w:rPr>
        <w:t xml:space="preserve">tial equilibrium model applied is </w:t>
      </w:r>
      <w:r w:rsidRPr="00930515">
        <w:rPr>
          <w:rFonts w:cs="Arial"/>
        </w:rPr>
        <w:t>called the Energy Sector Model (ESM)</w:t>
      </w:r>
      <w:r>
        <w:rPr>
          <w:rFonts w:cs="Arial"/>
        </w:rPr>
        <w:t xml:space="preserve">, which </w:t>
      </w:r>
      <w:r w:rsidRPr="00930515">
        <w:rPr>
          <w:rFonts w:cs="Arial"/>
        </w:rPr>
        <w:t>represents the Australian energy sector. The ESM was developed by CSIRO and ABARE</w:t>
      </w:r>
      <w:r w:rsidR="003067BD">
        <w:rPr>
          <w:rFonts w:cs="Arial"/>
        </w:rPr>
        <w:t>S</w:t>
      </w:r>
      <w:r w:rsidRPr="00930515">
        <w:rPr>
          <w:rFonts w:cs="Arial"/>
        </w:rPr>
        <w:t xml:space="preserve"> in 2006.</w:t>
      </w:r>
    </w:p>
    <w:p w14:paraId="5806A36E" w14:textId="77777777" w:rsidR="00C8571C" w:rsidRDefault="00C8571C" w:rsidP="00C8571C">
      <w:pPr>
        <w:pStyle w:val="BodyText"/>
        <w:rPr>
          <w:rFonts w:ascii="Arial" w:hAnsi="Arial" w:cs="Arial"/>
          <w:color w:val="auto"/>
          <w:sz w:val="22"/>
          <w:lang w:eastAsia="en-US"/>
        </w:rPr>
      </w:pPr>
      <w:r w:rsidRPr="0032222A">
        <w:rPr>
          <w:rFonts w:ascii="Arial" w:hAnsi="Arial" w:cs="Arial"/>
          <w:color w:val="auto"/>
          <w:sz w:val="22"/>
          <w:lang w:eastAsia="en-US"/>
        </w:rPr>
        <w:t>The ESM determines the least cost fuel and vehicle mix to meet given transport activity levels.</w:t>
      </w:r>
      <w:r>
        <w:rPr>
          <w:rFonts w:ascii="Arial" w:hAnsi="Arial" w:cs="Arial"/>
          <w:color w:val="auto"/>
          <w:sz w:val="22"/>
          <w:lang w:eastAsia="en-US"/>
        </w:rPr>
        <w:t xml:space="preserve"> </w:t>
      </w:r>
      <w:r w:rsidRPr="00E5202B">
        <w:rPr>
          <w:rFonts w:ascii="Arial" w:hAnsi="Arial" w:cs="Arial"/>
          <w:color w:val="auto"/>
          <w:sz w:val="22"/>
          <w:lang w:eastAsia="en-US"/>
        </w:rPr>
        <w:t>The model has a robust economic decision making framework that incorporates the cost of alternative fuels and vehicles, as well as detailed characterisation of fuel and vehicle technical performance, including fuel efficiencies and emission factors by transport mode, vehicle type, engine type and age.</w:t>
      </w:r>
    </w:p>
    <w:p w14:paraId="11B8A514" w14:textId="25C7E796" w:rsidR="00C8571C" w:rsidRPr="00930515" w:rsidRDefault="00C8571C" w:rsidP="00C8571C">
      <w:pPr>
        <w:pStyle w:val="BodyText"/>
        <w:rPr>
          <w:rFonts w:ascii="Arial" w:hAnsi="Arial" w:cs="Arial"/>
          <w:sz w:val="22"/>
        </w:rPr>
      </w:pPr>
      <w:r w:rsidRPr="0032222A">
        <w:rPr>
          <w:rFonts w:ascii="Arial" w:hAnsi="Arial" w:cs="Arial"/>
          <w:color w:val="auto"/>
          <w:sz w:val="22"/>
          <w:lang w:eastAsia="en-US"/>
        </w:rPr>
        <w:t xml:space="preserve">In the modelling, the rail, marine and aviation sectors are primarily represented by their current and future fuel </w:t>
      </w:r>
      <w:r w:rsidR="007E6031">
        <w:rPr>
          <w:rFonts w:ascii="Arial" w:hAnsi="Arial" w:cs="Arial"/>
          <w:color w:val="auto"/>
          <w:sz w:val="22"/>
          <w:lang w:eastAsia="en-US"/>
        </w:rPr>
        <w:t>demand</w:t>
      </w:r>
      <w:r w:rsidRPr="0032222A">
        <w:rPr>
          <w:rFonts w:ascii="Arial" w:hAnsi="Arial" w:cs="Arial"/>
          <w:color w:val="auto"/>
          <w:sz w:val="22"/>
          <w:lang w:eastAsia="en-US"/>
        </w:rPr>
        <w:t xml:space="preserve">. </w:t>
      </w:r>
      <w:r w:rsidR="007E6031">
        <w:rPr>
          <w:rFonts w:ascii="Arial" w:hAnsi="Arial" w:cs="Arial"/>
          <w:color w:val="auto"/>
          <w:sz w:val="22"/>
          <w:lang w:eastAsia="en-US"/>
        </w:rPr>
        <w:t>The future f</w:t>
      </w:r>
      <w:r w:rsidR="007E6031" w:rsidRPr="007E6031">
        <w:rPr>
          <w:rFonts w:ascii="Arial" w:hAnsi="Arial" w:cs="Arial"/>
          <w:color w:val="auto"/>
          <w:sz w:val="22"/>
          <w:lang w:eastAsia="en-US"/>
        </w:rPr>
        <w:t>uel demand is projected by</w:t>
      </w:r>
      <w:r w:rsidR="007E6031">
        <w:rPr>
          <w:rFonts w:ascii="Arial" w:hAnsi="Arial" w:cs="Arial"/>
          <w:color w:val="auto"/>
          <w:sz w:val="22"/>
          <w:lang w:eastAsia="en-US"/>
        </w:rPr>
        <w:t xml:space="preserve"> </w:t>
      </w:r>
      <w:r w:rsidR="007E6031" w:rsidRPr="007E6031">
        <w:rPr>
          <w:rFonts w:ascii="Arial" w:hAnsi="Arial" w:cs="Arial"/>
          <w:color w:val="auto"/>
          <w:sz w:val="22"/>
          <w:lang w:eastAsia="en-US"/>
        </w:rPr>
        <w:t xml:space="preserve">applying a fuel energy efficiency (MJ/km) improvement rate to the projected growth in non-road transport activity demand (km). </w:t>
      </w:r>
      <w:r w:rsidRPr="0032222A">
        <w:rPr>
          <w:rFonts w:ascii="Arial" w:hAnsi="Arial" w:cs="Arial"/>
          <w:color w:val="auto"/>
          <w:sz w:val="22"/>
          <w:lang w:eastAsia="en-US"/>
        </w:rPr>
        <w:t>These sectors use a top-down approach, which assumes that demand is driven by population and industry activity that is a function of the general level of economic activity and that infrastructure needs will keep pace to meet that demand</w:t>
      </w:r>
      <w:r w:rsidRPr="00930515">
        <w:rPr>
          <w:rFonts w:ascii="Arial" w:hAnsi="Arial" w:cs="Arial"/>
          <w:sz w:val="22"/>
        </w:rPr>
        <w:t>.</w:t>
      </w:r>
      <w:r>
        <w:rPr>
          <w:rFonts w:ascii="Arial" w:hAnsi="Arial" w:cs="Arial"/>
          <w:sz w:val="22"/>
        </w:rPr>
        <w:t xml:space="preserve"> </w:t>
      </w:r>
    </w:p>
    <w:p w14:paraId="191E8098" w14:textId="4B1CDBA1" w:rsidR="00851456" w:rsidRPr="00851456" w:rsidRDefault="00851456" w:rsidP="00851456">
      <w:pPr>
        <w:pStyle w:val="BodyText"/>
        <w:rPr>
          <w:rFonts w:ascii="Arial" w:hAnsi="Arial" w:cs="Arial"/>
          <w:color w:val="auto"/>
          <w:sz w:val="22"/>
          <w:lang w:eastAsia="en-US"/>
        </w:rPr>
      </w:pPr>
      <w:r w:rsidRPr="00851456">
        <w:rPr>
          <w:rFonts w:ascii="Arial" w:hAnsi="Arial" w:cs="Arial"/>
          <w:color w:val="auto"/>
          <w:sz w:val="22"/>
          <w:lang w:eastAsia="en-US"/>
        </w:rPr>
        <w:t>The main components of ESM</w:t>
      </w:r>
      <w:r w:rsidR="00AD6DB3">
        <w:rPr>
          <w:rFonts w:ascii="Arial" w:hAnsi="Arial" w:cs="Arial"/>
          <w:color w:val="auto"/>
          <w:sz w:val="22"/>
          <w:lang w:eastAsia="en-US"/>
        </w:rPr>
        <w:t xml:space="preserve"> for the </w:t>
      </w:r>
      <w:r w:rsidR="00AD6DB3" w:rsidRPr="00FB329E">
        <w:rPr>
          <w:rFonts w:ascii="Arial" w:hAnsi="Arial" w:cs="Arial"/>
          <w:i/>
          <w:color w:val="auto"/>
          <w:sz w:val="22"/>
          <w:lang w:eastAsia="en-US"/>
        </w:rPr>
        <w:t>transport sector</w:t>
      </w:r>
      <w:r w:rsidRPr="00851456">
        <w:rPr>
          <w:rFonts w:ascii="Arial" w:hAnsi="Arial" w:cs="Arial"/>
          <w:color w:val="auto"/>
          <w:sz w:val="22"/>
          <w:lang w:eastAsia="en-US"/>
        </w:rPr>
        <w:t xml:space="preserve"> include:</w:t>
      </w:r>
    </w:p>
    <w:p w14:paraId="42381166" w14:textId="53C00F94" w:rsidR="00851456" w:rsidRPr="00851456" w:rsidRDefault="00851456" w:rsidP="00851456">
      <w:pPr>
        <w:pStyle w:val="BodyText"/>
        <w:numPr>
          <w:ilvl w:val="0"/>
          <w:numId w:val="61"/>
        </w:numPr>
        <w:rPr>
          <w:rFonts w:ascii="Arial" w:hAnsi="Arial" w:cs="Arial"/>
          <w:color w:val="auto"/>
          <w:sz w:val="22"/>
          <w:lang w:eastAsia="en-US"/>
        </w:rPr>
      </w:pPr>
      <w:r w:rsidRPr="00851456">
        <w:rPr>
          <w:rFonts w:ascii="Arial" w:hAnsi="Arial" w:cs="Arial"/>
          <w:color w:val="auto"/>
          <w:sz w:val="22"/>
          <w:lang w:eastAsia="en-US"/>
        </w:rPr>
        <w:t>Coverage of all States and the Northern Territory (Australian Capital Terr</w:t>
      </w:r>
      <w:r>
        <w:rPr>
          <w:rFonts w:ascii="Arial" w:hAnsi="Arial" w:cs="Arial"/>
          <w:color w:val="auto"/>
          <w:sz w:val="22"/>
          <w:lang w:eastAsia="en-US"/>
        </w:rPr>
        <w:t>itory is modelled as part of New South Wales</w:t>
      </w:r>
      <w:r w:rsidRPr="00851456">
        <w:rPr>
          <w:rFonts w:ascii="Arial" w:hAnsi="Arial" w:cs="Arial"/>
          <w:color w:val="auto"/>
          <w:sz w:val="22"/>
          <w:lang w:eastAsia="en-US"/>
        </w:rPr>
        <w:t>)</w:t>
      </w:r>
      <w:r w:rsidR="003067BD">
        <w:rPr>
          <w:rFonts w:ascii="Arial" w:hAnsi="Arial" w:cs="Arial"/>
          <w:color w:val="auto"/>
          <w:sz w:val="22"/>
          <w:lang w:eastAsia="en-US"/>
        </w:rPr>
        <w:t>.</w:t>
      </w:r>
    </w:p>
    <w:p w14:paraId="7C004926" w14:textId="052C73A1" w:rsidR="00851456" w:rsidRDefault="00851456" w:rsidP="00851456">
      <w:pPr>
        <w:pStyle w:val="BodyText"/>
        <w:numPr>
          <w:ilvl w:val="0"/>
          <w:numId w:val="61"/>
        </w:numPr>
        <w:rPr>
          <w:rFonts w:ascii="Arial" w:hAnsi="Arial" w:cs="Arial"/>
          <w:color w:val="auto"/>
          <w:sz w:val="22"/>
          <w:lang w:eastAsia="en-US"/>
        </w:rPr>
      </w:pPr>
      <w:r w:rsidRPr="00851456">
        <w:rPr>
          <w:rFonts w:ascii="Arial" w:hAnsi="Arial" w:cs="Arial"/>
          <w:color w:val="auto"/>
          <w:sz w:val="22"/>
          <w:lang w:eastAsia="en-US"/>
        </w:rPr>
        <w:t>Ten road transport modes: motorcycles, small, medium and large passenger cars; small, medium and large commercial vehicles; rigid trucks; articulated trucks and buses</w:t>
      </w:r>
      <w:r>
        <w:rPr>
          <w:rFonts w:ascii="Arial" w:hAnsi="Arial" w:cs="Arial"/>
          <w:color w:val="auto"/>
          <w:sz w:val="22"/>
          <w:lang w:eastAsia="en-US"/>
        </w:rPr>
        <w:t xml:space="preserve">. The </w:t>
      </w:r>
      <w:r w:rsidRPr="00851456">
        <w:rPr>
          <w:rFonts w:ascii="Arial" w:hAnsi="Arial" w:cs="Arial"/>
          <w:color w:val="auto"/>
          <w:sz w:val="22"/>
          <w:lang w:eastAsia="en-US"/>
        </w:rPr>
        <w:t>passenger and light commercial vehicles are represented in three weight categories:</w:t>
      </w:r>
    </w:p>
    <w:p w14:paraId="0743E1B3" w14:textId="4F176267" w:rsidR="00851456" w:rsidRPr="00851456" w:rsidRDefault="003067BD" w:rsidP="00851456">
      <w:pPr>
        <w:pStyle w:val="BodyText"/>
        <w:numPr>
          <w:ilvl w:val="0"/>
          <w:numId w:val="62"/>
        </w:numPr>
        <w:rPr>
          <w:rFonts w:ascii="Arial" w:hAnsi="Arial" w:cs="Arial"/>
          <w:color w:val="auto"/>
          <w:sz w:val="22"/>
          <w:lang w:eastAsia="en-US"/>
        </w:rPr>
      </w:pPr>
      <w:r>
        <w:rPr>
          <w:rFonts w:ascii="Arial" w:hAnsi="Arial" w:cs="Arial"/>
          <w:color w:val="auto"/>
          <w:sz w:val="22"/>
          <w:lang w:eastAsia="en-US"/>
        </w:rPr>
        <w:t>l</w:t>
      </w:r>
      <w:r w:rsidR="00851456" w:rsidRPr="00851456">
        <w:rPr>
          <w:rFonts w:ascii="Arial" w:hAnsi="Arial" w:cs="Arial"/>
          <w:color w:val="auto"/>
          <w:sz w:val="22"/>
          <w:lang w:eastAsia="en-US"/>
        </w:rPr>
        <w:t>ight/small:</w:t>
      </w:r>
      <w:r w:rsidR="00FB329E">
        <w:rPr>
          <w:rFonts w:ascii="Arial" w:hAnsi="Arial" w:cs="Arial"/>
          <w:color w:val="auto"/>
          <w:sz w:val="22"/>
          <w:lang w:eastAsia="en-US"/>
        </w:rPr>
        <w:t xml:space="preserve"> </w:t>
      </w:r>
      <w:r w:rsidR="00851456" w:rsidRPr="00851456">
        <w:rPr>
          <w:rFonts w:ascii="Arial" w:hAnsi="Arial" w:cs="Arial"/>
          <w:color w:val="auto"/>
          <w:sz w:val="22"/>
          <w:lang w:eastAsia="en-US"/>
        </w:rPr>
        <w:t>less than 1200 kg</w:t>
      </w:r>
    </w:p>
    <w:p w14:paraId="52364E38" w14:textId="66E6918A" w:rsidR="00851456" w:rsidRPr="00851456" w:rsidRDefault="003067BD" w:rsidP="00851456">
      <w:pPr>
        <w:pStyle w:val="BodyText"/>
        <w:numPr>
          <w:ilvl w:val="0"/>
          <w:numId w:val="62"/>
        </w:numPr>
        <w:rPr>
          <w:rFonts w:ascii="Arial" w:hAnsi="Arial" w:cs="Arial"/>
          <w:color w:val="auto"/>
          <w:sz w:val="22"/>
          <w:lang w:eastAsia="en-US"/>
        </w:rPr>
      </w:pPr>
      <w:r>
        <w:rPr>
          <w:rFonts w:ascii="Arial" w:hAnsi="Arial" w:cs="Arial"/>
          <w:color w:val="auto"/>
          <w:sz w:val="22"/>
          <w:lang w:eastAsia="en-US"/>
        </w:rPr>
        <w:t>m</w:t>
      </w:r>
      <w:r w:rsidR="00851456" w:rsidRPr="00851456">
        <w:rPr>
          <w:rFonts w:ascii="Arial" w:hAnsi="Arial" w:cs="Arial"/>
          <w:color w:val="auto"/>
          <w:sz w:val="22"/>
          <w:lang w:eastAsia="en-US"/>
        </w:rPr>
        <w:t>edium: 1200 to 1500 kg</w:t>
      </w:r>
    </w:p>
    <w:p w14:paraId="155C96D9" w14:textId="366A4D53" w:rsidR="00851456" w:rsidRPr="00851456" w:rsidRDefault="003067BD" w:rsidP="00851456">
      <w:pPr>
        <w:pStyle w:val="BodyText"/>
        <w:numPr>
          <w:ilvl w:val="0"/>
          <w:numId w:val="62"/>
        </w:numPr>
        <w:rPr>
          <w:rFonts w:ascii="Arial" w:hAnsi="Arial" w:cs="Arial"/>
          <w:color w:val="auto"/>
          <w:sz w:val="22"/>
          <w:lang w:eastAsia="en-US"/>
        </w:rPr>
      </w:pPr>
      <w:proofErr w:type="gramStart"/>
      <w:r>
        <w:rPr>
          <w:rFonts w:ascii="Arial" w:hAnsi="Arial" w:cs="Arial"/>
          <w:color w:val="auto"/>
          <w:sz w:val="22"/>
          <w:lang w:eastAsia="en-US"/>
        </w:rPr>
        <w:t>h</w:t>
      </w:r>
      <w:r w:rsidR="00851456" w:rsidRPr="00851456">
        <w:rPr>
          <w:rFonts w:ascii="Arial" w:hAnsi="Arial" w:cs="Arial"/>
          <w:color w:val="auto"/>
          <w:sz w:val="22"/>
          <w:lang w:eastAsia="en-US"/>
        </w:rPr>
        <w:t>eavy/large</w:t>
      </w:r>
      <w:proofErr w:type="gramEnd"/>
      <w:r w:rsidR="00851456" w:rsidRPr="00851456">
        <w:rPr>
          <w:rFonts w:ascii="Arial" w:hAnsi="Arial" w:cs="Arial"/>
          <w:color w:val="auto"/>
          <w:sz w:val="22"/>
          <w:lang w:eastAsia="en-US"/>
        </w:rPr>
        <w:t>: 1500 to 3000 kg.</w:t>
      </w:r>
    </w:p>
    <w:p w14:paraId="32032181" w14:textId="336C74B0" w:rsidR="00851456" w:rsidRPr="00851456" w:rsidRDefault="00851456" w:rsidP="00851456">
      <w:pPr>
        <w:pStyle w:val="BodyText"/>
        <w:numPr>
          <w:ilvl w:val="0"/>
          <w:numId w:val="61"/>
        </w:numPr>
        <w:rPr>
          <w:rFonts w:ascii="Arial" w:hAnsi="Arial" w:cs="Arial"/>
          <w:color w:val="auto"/>
          <w:sz w:val="22"/>
          <w:lang w:eastAsia="en-US"/>
        </w:rPr>
      </w:pPr>
      <w:r w:rsidRPr="00851456">
        <w:rPr>
          <w:rFonts w:ascii="Arial" w:hAnsi="Arial" w:cs="Arial"/>
          <w:color w:val="auto"/>
          <w:sz w:val="22"/>
          <w:lang w:eastAsia="en-US"/>
        </w:rPr>
        <w:t>Five engine types: internal combustion; hybrid electric/internal combustion; hybrid plug-in electric/internal combustion; fully electric and fuel cell</w:t>
      </w:r>
      <w:r w:rsidR="003067BD">
        <w:rPr>
          <w:rFonts w:ascii="Arial" w:hAnsi="Arial" w:cs="Arial"/>
          <w:color w:val="auto"/>
          <w:sz w:val="22"/>
          <w:lang w:eastAsia="en-US"/>
        </w:rPr>
        <w:t>.</w:t>
      </w:r>
    </w:p>
    <w:p w14:paraId="3D291E84" w14:textId="64BF9E5C" w:rsidR="00851456" w:rsidRPr="00851456" w:rsidRDefault="00851456" w:rsidP="00851456">
      <w:pPr>
        <w:pStyle w:val="BodyText"/>
        <w:numPr>
          <w:ilvl w:val="0"/>
          <w:numId w:val="61"/>
        </w:numPr>
        <w:rPr>
          <w:rFonts w:ascii="Arial" w:hAnsi="Arial" w:cs="Arial"/>
          <w:color w:val="auto"/>
          <w:sz w:val="22"/>
          <w:lang w:eastAsia="en-US"/>
        </w:rPr>
      </w:pPr>
      <w:r w:rsidRPr="00851456">
        <w:rPr>
          <w:rFonts w:ascii="Arial" w:hAnsi="Arial" w:cs="Arial"/>
          <w:color w:val="auto"/>
          <w:sz w:val="22"/>
          <w:lang w:eastAsia="en-US"/>
        </w:rPr>
        <w:t>Fourteen road transport fuels: petrol; diesel; liquefied petroleum gas (LPG); natural gas (compressed (CNG) or liquefied (LNG)); petrol with 10 per cent ethanol blend</w:t>
      </w:r>
      <w:r>
        <w:rPr>
          <w:rFonts w:ascii="Arial" w:hAnsi="Arial" w:cs="Arial"/>
          <w:color w:val="auto"/>
          <w:sz w:val="22"/>
          <w:lang w:eastAsia="en-US"/>
        </w:rPr>
        <w:t xml:space="preserve"> (E10)</w:t>
      </w:r>
      <w:r w:rsidRPr="00851456">
        <w:rPr>
          <w:rFonts w:ascii="Arial" w:hAnsi="Arial" w:cs="Arial"/>
          <w:color w:val="auto"/>
          <w:sz w:val="22"/>
          <w:lang w:eastAsia="en-US"/>
        </w:rPr>
        <w:t>; diesel with 20 per cent biodiesel blend</w:t>
      </w:r>
      <w:r>
        <w:rPr>
          <w:rFonts w:ascii="Arial" w:hAnsi="Arial" w:cs="Arial"/>
          <w:color w:val="auto"/>
          <w:sz w:val="22"/>
          <w:lang w:eastAsia="en-US"/>
        </w:rPr>
        <w:t xml:space="preserve"> (B20)</w:t>
      </w:r>
      <w:r w:rsidRPr="00851456">
        <w:rPr>
          <w:rFonts w:ascii="Arial" w:hAnsi="Arial" w:cs="Arial"/>
          <w:color w:val="auto"/>
          <w:sz w:val="22"/>
          <w:lang w:eastAsia="en-US"/>
        </w:rPr>
        <w:t>; ethanol and biodiesel at high concentrations; gas to liquids diesel</w:t>
      </w:r>
      <w:r>
        <w:rPr>
          <w:rFonts w:ascii="Arial" w:hAnsi="Arial" w:cs="Arial"/>
          <w:color w:val="auto"/>
          <w:sz w:val="22"/>
          <w:lang w:eastAsia="en-US"/>
        </w:rPr>
        <w:t xml:space="preserve"> (GTL)</w:t>
      </w:r>
      <w:r w:rsidRPr="00851456">
        <w:rPr>
          <w:rFonts w:ascii="Arial" w:hAnsi="Arial" w:cs="Arial"/>
          <w:color w:val="auto"/>
          <w:sz w:val="22"/>
          <w:lang w:eastAsia="en-US"/>
        </w:rPr>
        <w:t>; coal to liquids diesel</w:t>
      </w:r>
      <w:r>
        <w:rPr>
          <w:rFonts w:ascii="Arial" w:hAnsi="Arial" w:cs="Arial"/>
          <w:color w:val="auto"/>
          <w:sz w:val="22"/>
          <w:lang w:eastAsia="en-US"/>
        </w:rPr>
        <w:t xml:space="preserve"> (CTL)</w:t>
      </w:r>
      <w:r w:rsidRPr="00851456">
        <w:rPr>
          <w:rFonts w:ascii="Arial" w:hAnsi="Arial" w:cs="Arial"/>
          <w:color w:val="auto"/>
          <w:sz w:val="22"/>
          <w:lang w:eastAsia="en-US"/>
        </w:rPr>
        <w:t xml:space="preserve"> with upstream </w:t>
      </w:r>
      <w:r w:rsidR="00F6454E" w:rsidRPr="00851456">
        <w:rPr>
          <w:rFonts w:ascii="Arial" w:hAnsi="Arial" w:cs="Arial"/>
          <w:color w:val="auto"/>
          <w:sz w:val="22"/>
          <w:lang w:eastAsia="en-US"/>
        </w:rPr>
        <w:t>CO</w:t>
      </w:r>
      <w:r w:rsidR="00F6454E">
        <w:rPr>
          <w:rFonts w:ascii="Arial" w:hAnsi="Arial" w:cs="Arial"/>
          <w:color w:val="auto"/>
          <w:sz w:val="22"/>
          <w:vertAlign w:val="subscript"/>
          <w:lang w:eastAsia="en-US"/>
        </w:rPr>
        <w:t>2</w:t>
      </w:r>
      <w:r w:rsidR="00F6454E" w:rsidRPr="00851456">
        <w:rPr>
          <w:rFonts w:ascii="Arial" w:hAnsi="Arial" w:cs="Arial"/>
          <w:color w:val="auto"/>
          <w:sz w:val="22"/>
          <w:lang w:eastAsia="en-US"/>
        </w:rPr>
        <w:t xml:space="preserve"> </w:t>
      </w:r>
      <w:r w:rsidRPr="00851456">
        <w:rPr>
          <w:rFonts w:ascii="Arial" w:hAnsi="Arial" w:cs="Arial"/>
          <w:color w:val="auto"/>
          <w:sz w:val="22"/>
          <w:lang w:eastAsia="en-US"/>
        </w:rPr>
        <w:t xml:space="preserve">capture; shale to liquids </w:t>
      </w:r>
      <w:r>
        <w:rPr>
          <w:rFonts w:ascii="Arial" w:hAnsi="Arial" w:cs="Arial"/>
          <w:color w:val="auto"/>
          <w:sz w:val="22"/>
          <w:lang w:eastAsia="en-US"/>
        </w:rPr>
        <w:t xml:space="preserve">(STL) </w:t>
      </w:r>
      <w:r w:rsidRPr="00851456">
        <w:rPr>
          <w:rFonts w:ascii="Arial" w:hAnsi="Arial" w:cs="Arial"/>
          <w:color w:val="auto"/>
          <w:sz w:val="22"/>
          <w:lang w:eastAsia="en-US"/>
        </w:rPr>
        <w:t>diesel with upstream CO</w:t>
      </w:r>
      <w:r w:rsidRPr="0097482A">
        <w:rPr>
          <w:rFonts w:ascii="Arial" w:hAnsi="Arial" w:cs="Arial"/>
          <w:color w:val="auto"/>
          <w:sz w:val="22"/>
          <w:vertAlign w:val="subscript"/>
          <w:lang w:eastAsia="en-US"/>
        </w:rPr>
        <w:t>2</w:t>
      </w:r>
      <w:r w:rsidRPr="00851456">
        <w:rPr>
          <w:rFonts w:ascii="Arial" w:hAnsi="Arial" w:cs="Arial"/>
          <w:color w:val="auto"/>
          <w:sz w:val="22"/>
          <w:lang w:eastAsia="en-US"/>
        </w:rPr>
        <w:t xml:space="preserve"> capture, hydrogen (from renewables) and electricity</w:t>
      </w:r>
      <w:r w:rsidR="003067BD">
        <w:rPr>
          <w:rFonts w:ascii="Arial" w:hAnsi="Arial" w:cs="Arial"/>
          <w:color w:val="auto"/>
          <w:sz w:val="22"/>
          <w:lang w:eastAsia="en-US"/>
        </w:rPr>
        <w:t>.</w:t>
      </w:r>
    </w:p>
    <w:p w14:paraId="50EB8811" w14:textId="72F29BF3" w:rsidR="005B046B" w:rsidRPr="00932A37" w:rsidRDefault="005B046B" w:rsidP="000A642D">
      <w:pPr>
        <w:pStyle w:val="BodyText"/>
        <w:rPr>
          <w:rFonts w:ascii="Arial" w:hAnsi="Arial" w:cs="Arial"/>
          <w:color w:val="auto"/>
          <w:sz w:val="22"/>
          <w:lang w:eastAsia="en-US"/>
        </w:rPr>
      </w:pPr>
      <w:r w:rsidRPr="000A642D">
        <w:rPr>
          <w:rFonts w:ascii="Arial" w:hAnsi="Arial" w:cs="Arial"/>
          <w:color w:val="auto"/>
          <w:sz w:val="22"/>
          <w:lang w:eastAsia="en-US"/>
        </w:rPr>
        <w:t xml:space="preserve">All technologies are assessed on the basis of their relative costs subject to constraints such as the turnover of capital stock, existing policies such as </w:t>
      </w:r>
      <w:r w:rsidRPr="00932A37">
        <w:rPr>
          <w:rFonts w:ascii="Arial" w:hAnsi="Arial" w:cs="Arial"/>
          <w:color w:val="auto"/>
          <w:sz w:val="22"/>
          <w:lang w:eastAsia="en-US"/>
        </w:rPr>
        <w:t>subsidies and taxes. The model aims to mirror real world investment decisions by simultaneously taking into account:</w:t>
      </w:r>
    </w:p>
    <w:p w14:paraId="76CFDCB3" w14:textId="262B27E9" w:rsidR="005B046B" w:rsidRPr="000A642D" w:rsidRDefault="003067BD">
      <w:pPr>
        <w:pStyle w:val="BodyText"/>
        <w:numPr>
          <w:ilvl w:val="0"/>
          <w:numId w:val="61"/>
        </w:numPr>
        <w:rPr>
          <w:rFonts w:ascii="Arial" w:hAnsi="Arial" w:cs="Arial"/>
          <w:color w:val="auto"/>
          <w:sz w:val="22"/>
          <w:lang w:eastAsia="en-US"/>
        </w:rPr>
      </w:pPr>
      <w:r>
        <w:rPr>
          <w:rFonts w:ascii="Arial" w:hAnsi="Arial" w:cs="Arial"/>
          <w:color w:val="auto"/>
          <w:sz w:val="22"/>
          <w:lang w:eastAsia="en-US"/>
        </w:rPr>
        <w:t>t</w:t>
      </w:r>
      <w:r w:rsidR="005B046B" w:rsidRPr="00932A37">
        <w:rPr>
          <w:rFonts w:ascii="Arial" w:hAnsi="Arial" w:cs="Arial"/>
          <w:color w:val="auto"/>
          <w:sz w:val="22"/>
          <w:lang w:eastAsia="en-US"/>
        </w:rPr>
        <w:t xml:space="preserve">he requirement to earn a reasonable return on investment over the life of </w:t>
      </w:r>
      <w:r w:rsidR="00581107" w:rsidRPr="00581107">
        <w:rPr>
          <w:rFonts w:ascii="Arial" w:hAnsi="Arial" w:cs="Arial"/>
          <w:color w:val="auto"/>
          <w:sz w:val="22"/>
          <w:lang w:eastAsia="en-US"/>
        </w:rPr>
        <w:t xml:space="preserve">a </w:t>
      </w:r>
      <w:r w:rsidR="005B046B" w:rsidRPr="000A642D">
        <w:rPr>
          <w:rFonts w:ascii="Arial" w:hAnsi="Arial" w:cs="Arial"/>
          <w:color w:val="auto"/>
          <w:sz w:val="22"/>
          <w:lang w:eastAsia="en-US"/>
        </w:rPr>
        <w:t>vehicle</w:t>
      </w:r>
    </w:p>
    <w:p w14:paraId="40FB54BC" w14:textId="60A6CC1E" w:rsidR="005B046B" w:rsidRPr="00932A37" w:rsidRDefault="003067BD">
      <w:pPr>
        <w:pStyle w:val="BodyText"/>
        <w:numPr>
          <w:ilvl w:val="0"/>
          <w:numId w:val="61"/>
        </w:numPr>
        <w:rPr>
          <w:rFonts w:ascii="Arial" w:hAnsi="Arial" w:cs="Arial"/>
          <w:color w:val="auto"/>
          <w:sz w:val="22"/>
          <w:lang w:eastAsia="en-US"/>
        </w:rPr>
      </w:pPr>
      <w:r>
        <w:rPr>
          <w:rFonts w:ascii="Arial" w:hAnsi="Arial" w:cs="Arial"/>
          <w:color w:val="auto"/>
          <w:sz w:val="22"/>
          <w:lang w:eastAsia="en-US"/>
        </w:rPr>
        <w:t>t</w:t>
      </w:r>
      <w:r w:rsidR="005B046B" w:rsidRPr="00932A37">
        <w:rPr>
          <w:rFonts w:ascii="Arial" w:hAnsi="Arial" w:cs="Arial"/>
          <w:color w:val="auto"/>
          <w:sz w:val="22"/>
          <w:lang w:eastAsia="en-US"/>
        </w:rPr>
        <w:t>hat consumers react to price signals (price elastic demand)</w:t>
      </w:r>
    </w:p>
    <w:p w14:paraId="04EE892A" w14:textId="79F176C2" w:rsidR="005B046B" w:rsidRPr="00932A37" w:rsidRDefault="003067BD">
      <w:pPr>
        <w:pStyle w:val="BodyText"/>
        <w:numPr>
          <w:ilvl w:val="0"/>
          <w:numId w:val="61"/>
        </w:numPr>
        <w:rPr>
          <w:rFonts w:ascii="Arial" w:hAnsi="Arial" w:cs="Arial"/>
          <w:color w:val="auto"/>
          <w:sz w:val="22"/>
          <w:lang w:eastAsia="en-US"/>
        </w:rPr>
      </w:pPr>
      <w:r>
        <w:rPr>
          <w:rFonts w:ascii="Arial" w:hAnsi="Arial" w:cs="Arial"/>
          <w:color w:val="auto"/>
          <w:sz w:val="22"/>
          <w:lang w:eastAsia="en-US"/>
        </w:rPr>
        <w:t>t</w:t>
      </w:r>
      <w:r w:rsidR="005B046B" w:rsidRPr="00932A37">
        <w:rPr>
          <w:rFonts w:ascii="Arial" w:hAnsi="Arial" w:cs="Arial"/>
          <w:color w:val="auto"/>
          <w:sz w:val="22"/>
          <w:lang w:eastAsia="en-US"/>
        </w:rPr>
        <w:t>he overall cost of transport services, and</w:t>
      </w:r>
    </w:p>
    <w:p w14:paraId="4E10D411" w14:textId="3F65E4D7" w:rsidR="005B046B" w:rsidRPr="000A642D" w:rsidRDefault="003067BD">
      <w:pPr>
        <w:pStyle w:val="BodyText"/>
        <w:numPr>
          <w:ilvl w:val="0"/>
          <w:numId w:val="61"/>
        </w:numPr>
        <w:rPr>
          <w:rFonts w:ascii="Arial" w:hAnsi="Arial" w:cs="Arial"/>
          <w:color w:val="auto"/>
          <w:sz w:val="22"/>
          <w:lang w:eastAsia="en-US"/>
        </w:rPr>
      </w:pPr>
      <w:proofErr w:type="gramStart"/>
      <w:r>
        <w:rPr>
          <w:rFonts w:ascii="Arial" w:hAnsi="Arial" w:cs="Arial"/>
          <w:color w:val="auto"/>
          <w:sz w:val="22"/>
          <w:lang w:eastAsia="en-US"/>
        </w:rPr>
        <w:t>t</w:t>
      </w:r>
      <w:r w:rsidR="005B046B" w:rsidRPr="000A642D">
        <w:rPr>
          <w:rFonts w:ascii="Arial" w:hAnsi="Arial" w:cs="Arial"/>
          <w:color w:val="auto"/>
          <w:sz w:val="22"/>
          <w:lang w:eastAsia="en-US"/>
        </w:rPr>
        <w:t>ransport</w:t>
      </w:r>
      <w:proofErr w:type="gramEnd"/>
      <w:r w:rsidR="005B046B" w:rsidRPr="000A642D">
        <w:rPr>
          <w:rFonts w:ascii="Arial" w:hAnsi="Arial" w:cs="Arial"/>
          <w:color w:val="auto"/>
          <w:sz w:val="22"/>
          <w:lang w:eastAsia="en-US"/>
        </w:rPr>
        <w:t xml:space="preserve"> market policies and regulations.</w:t>
      </w:r>
    </w:p>
    <w:p w14:paraId="074AE547" w14:textId="5C0620DE" w:rsidR="0097482A" w:rsidRDefault="005B046B" w:rsidP="000A642D">
      <w:pPr>
        <w:pStyle w:val="BodyText"/>
        <w:rPr>
          <w:rFonts w:ascii="Arial" w:hAnsi="Arial" w:cs="Arial"/>
          <w:color w:val="auto"/>
          <w:sz w:val="22"/>
          <w:lang w:eastAsia="en-US"/>
        </w:rPr>
      </w:pPr>
      <w:r w:rsidRPr="00932A37">
        <w:rPr>
          <w:rFonts w:ascii="Arial" w:hAnsi="Arial" w:cs="Arial"/>
          <w:color w:val="auto"/>
          <w:sz w:val="22"/>
          <w:lang w:eastAsia="en-US"/>
        </w:rPr>
        <w:t xml:space="preserve">The model projects uptake on the basis of cost competitiveness but at the same time takes into account constraints on the operation of transport markets, current excise and mandated fuel mix legislation, existing vehicle stock in each State, and lead times in the availability of new vehicles. </w:t>
      </w:r>
    </w:p>
    <w:p w14:paraId="66D68891" w14:textId="4308E964" w:rsidR="0079062F" w:rsidRPr="00C808FE" w:rsidRDefault="0079062F" w:rsidP="0079062F">
      <w:pPr>
        <w:rPr>
          <w:b/>
        </w:rPr>
      </w:pPr>
      <w:r w:rsidRPr="00C808FE">
        <w:rPr>
          <w:b/>
        </w:rPr>
        <w:t xml:space="preserve">Table </w:t>
      </w:r>
      <w:r>
        <w:rPr>
          <w:b/>
        </w:rPr>
        <w:t>2</w:t>
      </w:r>
      <w:r w:rsidR="003067BD">
        <w:rPr>
          <w:b/>
        </w:rPr>
        <w:t>.</w:t>
      </w:r>
      <w:r w:rsidRPr="00C808FE">
        <w:rPr>
          <w:b/>
        </w:rPr>
        <w:tab/>
      </w:r>
      <w:r>
        <w:rPr>
          <w:b/>
        </w:rPr>
        <w:t>Input and data sources for the transport sector model</w:t>
      </w:r>
    </w:p>
    <w:tbl>
      <w:tblPr>
        <w:tblStyle w:val="ListTable4-Accent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70"/>
        <w:gridCol w:w="6732"/>
      </w:tblGrid>
      <w:tr w:rsidR="00C8571C" w:rsidRPr="00930515" w14:paraId="7459307C" w14:textId="77777777" w:rsidTr="00FB3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134F8E"/>
          </w:tcPr>
          <w:p w14:paraId="1EBF7768" w14:textId="77777777" w:rsidR="00C8571C" w:rsidRPr="00250F63" w:rsidRDefault="00C8571C" w:rsidP="00DA675E">
            <w:pPr>
              <w:spacing w:line="240" w:lineRule="auto"/>
              <w:rPr>
                <w:rFonts w:eastAsia="Times New Roman" w:cs="Arial"/>
                <w:bCs w:val="0"/>
                <w:szCs w:val="24"/>
                <w:lang w:eastAsia="en-AU"/>
              </w:rPr>
            </w:pPr>
            <w:r w:rsidRPr="00250F63">
              <w:rPr>
                <w:rFonts w:eastAsia="Times New Roman" w:cs="Arial"/>
                <w:bCs w:val="0"/>
                <w:szCs w:val="24"/>
                <w:lang w:eastAsia="en-AU"/>
              </w:rPr>
              <w:t>Input</w:t>
            </w:r>
          </w:p>
        </w:tc>
        <w:tc>
          <w:tcPr>
            <w:tcW w:w="0" w:type="auto"/>
            <w:tcBorders>
              <w:top w:val="none" w:sz="0" w:space="0" w:color="auto"/>
              <w:bottom w:val="none" w:sz="0" w:space="0" w:color="auto"/>
              <w:right w:val="none" w:sz="0" w:space="0" w:color="auto"/>
            </w:tcBorders>
            <w:shd w:val="clear" w:color="auto" w:fill="134F8E"/>
          </w:tcPr>
          <w:p w14:paraId="3254A560" w14:textId="47EE80A3" w:rsidR="00C8571C" w:rsidRPr="00250F63" w:rsidRDefault="00851456" w:rsidP="00DA675E">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val="0"/>
                <w:szCs w:val="24"/>
                <w:lang w:eastAsia="en-AU"/>
              </w:rPr>
            </w:pPr>
            <w:r>
              <w:rPr>
                <w:rFonts w:eastAsia="Times New Roman" w:cs="Arial"/>
                <w:bCs w:val="0"/>
                <w:szCs w:val="24"/>
                <w:lang w:eastAsia="en-AU"/>
              </w:rPr>
              <w:t xml:space="preserve">Data </w:t>
            </w:r>
            <w:r w:rsidR="003067BD">
              <w:rPr>
                <w:rFonts w:eastAsia="Times New Roman" w:cs="Arial"/>
                <w:bCs w:val="0"/>
                <w:szCs w:val="24"/>
                <w:lang w:eastAsia="en-AU"/>
              </w:rPr>
              <w:t>s</w:t>
            </w:r>
            <w:r w:rsidR="00C8571C" w:rsidRPr="00250F63">
              <w:rPr>
                <w:rFonts w:eastAsia="Times New Roman" w:cs="Arial"/>
                <w:bCs w:val="0"/>
                <w:szCs w:val="24"/>
                <w:lang w:eastAsia="en-AU"/>
              </w:rPr>
              <w:t>ource</w:t>
            </w:r>
          </w:p>
        </w:tc>
      </w:tr>
      <w:tr w:rsidR="00C8571C" w:rsidRPr="00930515" w14:paraId="03818F8D" w14:textId="77777777" w:rsidTr="0094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A5F25F" w14:textId="77777777" w:rsidR="00C8571C" w:rsidRPr="00250F63" w:rsidRDefault="00C8571C" w:rsidP="00DA675E">
            <w:pPr>
              <w:spacing w:line="240" w:lineRule="auto"/>
              <w:rPr>
                <w:rFonts w:eastAsia="Times New Roman" w:cs="Arial"/>
                <w:b w:val="0"/>
                <w:color w:val="000000"/>
                <w:szCs w:val="20"/>
                <w:lang w:eastAsia="en-AU"/>
              </w:rPr>
            </w:pPr>
            <w:r w:rsidRPr="00250F63">
              <w:rPr>
                <w:rFonts w:eastAsia="Times New Roman" w:cs="Arial"/>
                <w:b w:val="0"/>
                <w:color w:val="000000"/>
                <w:szCs w:val="20"/>
                <w:lang w:eastAsia="en-AU"/>
              </w:rPr>
              <w:t>Demand for road and non-road transport</w:t>
            </w:r>
          </w:p>
        </w:tc>
        <w:tc>
          <w:tcPr>
            <w:tcW w:w="0" w:type="auto"/>
          </w:tcPr>
          <w:p w14:paraId="254FDA97" w14:textId="77777777" w:rsidR="00C8571C" w:rsidRPr="00250F63" w:rsidRDefault="00C8571C" w:rsidP="00DA675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en-AU"/>
              </w:rPr>
            </w:pPr>
            <w:r w:rsidRPr="00250F63">
              <w:rPr>
                <w:rFonts w:eastAsia="Times New Roman" w:cs="Arial"/>
                <w:color w:val="000000"/>
                <w:szCs w:val="20"/>
                <w:lang w:eastAsia="en-AU"/>
              </w:rPr>
              <w:t>Bureau of Infrastructure, Transport and Regional Economics (BITRE)</w:t>
            </w:r>
          </w:p>
        </w:tc>
      </w:tr>
      <w:tr w:rsidR="00C8571C" w:rsidRPr="00930515" w14:paraId="6260CC33" w14:textId="77777777" w:rsidTr="00947FE6">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1C6CCCA5" w14:textId="77777777" w:rsidR="00C8571C" w:rsidRPr="00250F63" w:rsidRDefault="00C8571C" w:rsidP="00250F63">
            <w:pPr>
              <w:spacing w:line="240" w:lineRule="auto"/>
              <w:rPr>
                <w:rFonts w:eastAsia="Times New Roman" w:cs="Arial"/>
                <w:b w:val="0"/>
                <w:color w:val="000000"/>
                <w:szCs w:val="20"/>
                <w:lang w:eastAsia="en-AU"/>
              </w:rPr>
            </w:pPr>
            <w:r w:rsidRPr="00250F63">
              <w:rPr>
                <w:rFonts w:eastAsia="Times New Roman" w:cs="Arial"/>
                <w:b w:val="0"/>
                <w:color w:val="000000"/>
                <w:szCs w:val="20"/>
                <w:lang w:eastAsia="en-AU"/>
              </w:rPr>
              <w:t>Fuel consumption</w:t>
            </w:r>
          </w:p>
        </w:tc>
        <w:tc>
          <w:tcPr>
            <w:tcW w:w="0" w:type="auto"/>
            <w:shd w:val="clear" w:color="auto" w:fill="DBE5F1" w:themeFill="accent1" w:themeFillTint="33"/>
          </w:tcPr>
          <w:p w14:paraId="14F3A72B" w14:textId="24E0FB76" w:rsidR="00C8571C" w:rsidRPr="00250F63" w:rsidRDefault="00920796" w:rsidP="00250F63">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t>Table F of the Australian Energy Update</w:t>
            </w:r>
            <w:r w:rsidR="00466520">
              <w:t xml:space="preserve"> 2016</w:t>
            </w:r>
            <w:r w:rsidR="00FB329E">
              <w:t xml:space="preserve"> </w:t>
            </w:r>
            <w:r>
              <w:t>(</w:t>
            </w:r>
            <w:r w:rsidR="00512CB4">
              <w:t>DIIS</w:t>
            </w:r>
            <w:r w:rsidR="00A02779">
              <w:t xml:space="preserve"> 2016</w:t>
            </w:r>
            <w:r>
              <w:t>)</w:t>
            </w:r>
          </w:p>
        </w:tc>
      </w:tr>
      <w:tr w:rsidR="00C8571C" w:rsidRPr="00930515" w14:paraId="69BF898B" w14:textId="77777777" w:rsidTr="0094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86A77B" w14:textId="77777777" w:rsidR="00C8571C" w:rsidRPr="00932A37" w:rsidRDefault="00C8571C" w:rsidP="00250F63">
            <w:pPr>
              <w:spacing w:line="240" w:lineRule="auto"/>
              <w:rPr>
                <w:rFonts w:eastAsia="Times New Roman" w:cs="Arial"/>
                <w:b w:val="0"/>
                <w:color w:val="000000"/>
                <w:szCs w:val="20"/>
                <w:lang w:eastAsia="en-AU"/>
              </w:rPr>
            </w:pPr>
            <w:r w:rsidRPr="00932A37">
              <w:rPr>
                <w:rFonts w:eastAsia="Times New Roman" w:cs="Arial"/>
                <w:b w:val="0"/>
                <w:color w:val="000000"/>
                <w:szCs w:val="20"/>
                <w:lang w:eastAsia="en-AU"/>
              </w:rPr>
              <w:t>Oil prices</w:t>
            </w:r>
          </w:p>
        </w:tc>
        <w:tc>
          <w:tcPr>
            <w:tcW w:w="0" w:type="auto"/>
          </w:tcPr>
          <w:p w14:paraId="66D3E330" w14:textId="10959872" w:rsidR="00C8571C" w:rsidRPr="00851456" w:rsidRDefault="00851456" w:rsidP="00250F63">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en-AU"/>
              </w:rPr>
            </w:pPr>
            <w:r w:rsidRPr="00851456">
              <w:rPr>
                <w:rFonts w:eastAsia="Times New Roman" w:cs="Arial"/>
                <w:color w:val="000000"/>
                <w:szCs w:val="20"/>
                <w:lang w:eastAsia="en-AU"/>
              </w:rPr>
              <w:t>The oil price projections are</w:t>
            </w:r>
            <w:r w:rsidR="00C8571C" w:rsidRPr="00851456">
              <w:rPr>
                <w:rFonts w:eastAsia="Times New Roman" w:cs="Arial"/>
                <w:color w:val="000000"/>
                <w:szCs w:val="20"/>
                <w:lang w:eastAsia="en-AU"/>
              </w:rPr>
              <w:t xml:space="preserve"> informed by the Office of the Chief Economist </w:t>
            </w:r>
            <w:r w:rsidR="00504B2A">
              <w:rPr>
                <w:rFonts w:eastAsia="Times New Roman" w:cs="Arial"/>
                <w:color w:val="000000"/>
                <w:szCs w:val="20"/>
                <w:lang w:eastAsia="en-AU"/>
              </w:rPr>
              <w:t>(OCE 2016</w:t>
            </w:r>
            <w:r w:rsidR="00C8571C">
              <w:rPr>
                <w:rFonts w:eastAsia="Times New Roman" w:cs="Arial"/>
                <w:color w:val="000000"/>
                <w:szCs w:val="20"/>
                <w:lang w:eastAsia="en-AU"/>
              </w:rPr>
              <w:t xml:space="preserve">) </w:t>
            </w:r>
            <w:r w:rsidR="00C8571C" w:rsidRPr="00851456">
              <w:rPr>
                <w:rFonts w:eastAsia="Times New Roman" w:cs="Arial"/>
                <w:color w:val="000000"/>
                <w:szCs w:val="20"/>
                <w:lang w:eastAsia="en-AU"/>
              </w:rPr>
              <w:t xml:space="preserve">and the United </w:t>
            </w:r>
            <w:r w:rsidRPr="00851456">
              <w:rPr>
                <w:rFonts w:eastAsia="Times New Roman" w:cs="Arial"/>
                <w:color w:val="000000"/>
                <w:szCs w:val="20"/>
                <w:lang w:eastAsia="en-AU"/>
              </w:rPr>
              <w:t>States</w:t>
            </w:r>
            <w:r w:rsidR="00C8571C" w:rsidRPr="00851456">
              <w:rPr>
                <w:rFonts w:eastAsia="Times New Roman" w:cs="Arial"/>
                <w:color w:val="000000"/>
                <w:szCs w:val="20"/>
                <w:lang w:eastAsia="en-AU"/>
              </w:rPr>
              <w:t xml:space="preserve"> Energy Information Administration</w:t>
            </w:r>
            <w:r w:rsidR="00504B2A">
              <w:rPr>
                <w:rFonts w:eastAsia="Times New Roman" w:cs="Arial"/>
                <w:color w:val="000000"/>
                <w:szCs w:val="20"/>
                <w:lang w:eastAsia="en-AU"/>
              </w:rPr>
              <w:t xml:space="preserve"> (EIA 2016)</w:t>
            </w:r>
            <w:r w:rsidRPr="00851456">
              <w:rPr>
                <w:rFonts w:eastAsia="Times New Roman" w:cs="Arial"/>
                <w:color w:val="000000"/>
                <w:szCs w:val="20"/>
                <w:lang w:eastAsia="en-AU"/>
              </w:rPr>
              <w:t>.</w:t>
            </w:r>
          </w:p>
        </w:tc>
      </w:tr>
      <w:tr w:rsidR="00C8571C" w:rsidRPr="00930515" w14:paraId="7921A2CD" w14:textId="77777777" w:rsidTr="00947FE6">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40C82EB" w14:textId="0CD8A379" w:rsidR="00C8571C" w:rsidRPr="00250F63" w:rsidRDefault="00466520" w:rsidP="00250F63">
            <w:pPr>
              <w:spacing w:line="240" w:lineRule="auto"/>
              <w:rPr>
                <w:rFonts w:eastAsia="Times New Roman" w:cs="Arial"/>
                <w:b w:val="0"/>
                <w:color w:val="000000"/>
                <w:szCs w:val="20"/>
                <w:lang w:eastAsia="en-AU"/>
              </w:rPr>
            </w:pPr>
            <w:r>
              <w:rPr>
                <w:rFonts w:eastAsia="Times New Roman" w:cs="Arial"/>
                <w:b w:val="0"/>
                <w:color w:val="000000"/>
                <w:szCs w:val="20"/>
                <w:lang w:eastAsia="en-AU"/>
              </w:rPr>
              <w:t>Wholesale gas</w:t>
            </w:r>
            <w:r w:rsidR="00C8571C" w:rsidRPr="00250F63">
              <w:rPr>
                <w:rFonts w:eastAsia="Times New Roman" w:cs="Arial"/>
                <w:b w:val="0"/>
                <w:color w:val="000000"/>
                <w:szCs w:val="20"/>
                <w:lang w:eastAsia="en-AU"/>
              </w:rPr>
              <w:t xml:space="preserve"> prices</w:t>
            </w:r>
          </w:p>
        </w:tc>
        <w:tc>
          <w:tcPr>
            <w:tcW w:w="0" w:type="auto"/>
            <w:shd w:val="clear" w:color="auto" w:fill="DBE5F1" w:themeFill="accent1" w:themeFillTint="33"/>
          </w:tcPr>
          <w:p w14:paraId="1F076104" w14:textId="53351DED" w:rsidR="00C8571C" w:rsidRPr="00250F63" w:rsidRDefault="00466520" w:rsidP="00250F63">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Pr>
                <w:rFonts w:eastAsia="Times New Roman" w:cs="Arial"/>
                <w:color w:val="000000"/>
                <w:szCs w:val="20"/>
                <w:lang w:eastAsia="en-AU"/>
              </w:rPr>
              <w:t xml:space="preserve">Consistent with the </w:t>
            </w:r>
            <w:r w:rsidRPr="00B133DF">
              <w:rPr>
                <w:rFonts w:eastAsia="Times New Roman" w:cs="Arial"/>
                <w:i/>
                <w:color w:val="000000"/>
                <w:szCs w:val="20"/>
                <w:lang w:eastAsia="en-AU"/>
              </w:rPr>
              <w:t>e</w:t>
            </w:r>
            <w:r w:rsidR="00C8571C" w:rsidRPr="00B133DF">
              <w:rPr>
                <w:rFonts w:eastAsia="Times New Roman" w:cs="Arial"/>
                <w:i/>
                <w:color w:val="000000"/>
                <w:szCs w:val="20"/>
                <w:lang w:eastAsia="en-AU"/>
              </w:rPr>
              <w:t>lectricity</w:t>
            </w:r>
            <w:r w:rsidR="00C8571C" w:rsidRPr="000A642D">
              <w:rPr>
                <w:rFonts w:eastAsia="Times New Roman" w:cs="Arial"/>
                <w:i/>
                <w:color w:val="000000"/>
                <w:szCs w:val="20"/>
                <w:lang w:eastAsia="en-AU"/>
              </w:rPr>
              <w:t xml:space="preserve"> sector</w:t>
            </w:r>
            <w:r w:rsidR="00C8571C" w:rsidRPr="00250F63">
              <w:rPr>
                <w:rFonts w:eastAsia="Times New Roman" w:cs="Arial"/>
                <w:color w:val="000000"/>
                <w:szCs w:val="20"/>
                <w:lang w:eastAsia="en-AU"/>
              </w:rPr>
              <w:t xml:space="preserve"> </w:t>
            </w:r>
          </w:p>
        </w:tc>
      </w:tr>
      <w:tr w:rsidR="00C8571C" w:rsidRPr="00930515" w14:paraId="05BEA050" w14:textId="77777777" w:rsidTr="00947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F9633" w14:textId="47E190AF" w:rsidR="00C8571C" w:rsidRPr="00250F63" w:rsidRDefault="00C8571C" w:rsidP="009B27D8">
            <w:pPr>
              <w:spacing w:line="240" w:lineRule="auto"/>
              <w:rPr>
                <w:rFonts w:eastAsia="Times New Roman" w:cs="Arial"/>
                <w:b w:val="0"/>
                <w:color w:val="000000"/>
                <w:szCs w:val="20"/>
                <w:lang w:eastAsia="en-AU"/>
              </w:rPr>
            </w:pPr>
            <w:r w:rsidRPr="00250F63">
              <w:rPr>
                <w:rFonts w:eastAsia="Times New Roman" w:cs="Arial"/>
                <w:b w:val="0"/>
                <w:color w:val="000000"/>
                <w:szCs w:val="20"/>
                <w:lang w:eastAsia="en-AU"/>
              </w:rPr>
              <w:t xml:space="preserve">Gross Domestic Product </w:t>
            </w:r>
          </w:p>
        </w:tc>
        <w:tc>
          <w:tcPr>
            <w:tcW w:w="0" w:type="auto"/>
          </w:tcPr>
          <w:p w14:paraId="45E1E297" w14:textId="0052484B" w:rsidR="00C8571C" w:rsidRPr="00851456" w:rsidRDefault="00C8571C" w:rsidP="00133CD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en-AU"/>
              </w:rPr>
            </w:pPr>
            <w:r w:rsidRPr="00851456">
              <w:rPr>
                <w:rFonts w:eastAsia="Times New Roman" w:cs="Arial"/>
                <w:color w:val="000000"/>
                <w:szCs w:val="20"/>
                <w:lang w:eastAsia="en-AU"/>
              </w:rPr>
              <w:t>Department of the Treasury consistent with the Australian Government’s 2016-17 Budget</w:t>
            </w:r>
            <w:r w:rsidR="00477B34">
              <w:rPr>
                <w:rFonts w:eastAsia="Times New Roman" w:cs="Arial"/>
                <w:color w:val="000000"/>
                <w:szCs w:val="20"/>
                <w:lang w:eastAsia="en-AU"/>
              </w:rPr>
              <w:t xml:space="preserve"> (</w:t>
            </w:r>
            <w:r w:rsidR="00477B34">
              <w:t>Australian Government 2016)</w:t>
            </w:r>
          </w:p>
        </w:tc>
      </w:tr>
      <w:tr w:rsidR="00C8571C" w:rsidRPr="00930515" w14:paraId="3CFBC282" w14:textId="77777777" w:rsidTr="00947FE6">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7D18CE49" w14:textId="77777777" w:rsidR="00C8571C" w:rsidRPr="00250F63" w:rsidRDefault="00C8571C" w:rsidP="00250F63">
            <w:pPr>
              <w:spacing w:line="240" w:lineRule="auto"/>
              <w:rPr>
                <w:rFonts w:eastAsia="Times New Roman" w:cs="Arial"/>
                <w:b w:val="0"/>
                <w:color w:val="000000"/>
                <w:szCs w:val="20"/>
                <w:lang w:eastAsia="en-AU"/>
              </w:rPr>
            </w:pPr>
            <w:r w:rsidRPr="00250F63">
              <w:rPr>
                <w:rFonts w:eastAsia="Times New Roman" w:cs="Arial"/>
                <w:b w:val="0"/>
                <w:color w:val="000000"/>
                <w:szCs w:val="20"/>
                <w:lang w:eastAsia="en-AU"/>
              </w:rPr>
              <w:t>Fuel efficiency and technology trends</w:t>
            </w:r>
          </w:p>
        </w:tc>
        <w:tc>
          <w:tcPr>
            <w:tcW w:w="0" w:type="auto"/>
            <w:shd w:val="clear" w:color="auto" w:fill="DBE5F1" w:themeFill="accent1" w:themeFillTint="33"/>
          </w:tcPr>
          <w:p w14:paraId="3BAED3AF" w14:textId="77777777" w:rsidR="00C8571C" w:rsidRPr="00250F63" w:rsidRDefault="00C8571C" w:rsidP="00250F63">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851456">
              <w:rPr>
                <w:rFonts w:eastAsia="Times New Roman" w:cs="Arial"/>
                <w:color w:val="000000"/>
                <w:szCs w:val="20"/>
                <w:lang w:eastAsia="en-AU"/>
              </w:rPr>
              <w:t>ABMARC 2016</w:t>
            </w:r>
          </w:p>
        </w:tc>
      </w:tr>
    </w:tbl>
    <w:p w14:paraId="3CE4D84B" w14:textId="6C7427AE" w:rsidR="00C8571C" w:rsidRPr="00930515" w:rsidRDefault="00C8571C" w:rsidP="00C8571C">
      <w:pPr>
        <w:pStyle w:val="BodyText"/>
        <w:rPr>
          <w:rFonts w:ascii="Arial" w:hAnsi="Arial" w:cs="Arial"/>
          <w:sz w:val="22"/>
        </w:rPr>
      </w:pPr>
      <w:r w:rsidRPr="00930515">
        <w:rPr>
          <w:rFonts w:ascii="Arial" w:hAnsi="Arial" w:cs="Arial"/>
          <w:sz w:val="22"/>
        </w:rPr>
        <w:t xml:space="preserve">Key output variables </w:t>
      </w:r>
      <w:r>
        <w:rPr>
          <w:rFonts w:ascii="Arial" w:hAnsi="Arial" w:cs="Arial"/>
          <w:sz w:val="22"/>
        </w:rPr>
        <w:t xml:space="preserve">from the ESM </w:t>
      </w:r>
      <w:r w:rsidRPr="00930515">
        <w:rPr>
          <w:rFonts w:ascii="Arial" w:hAnsi="Arial" w:cs="Arial"/>
          <w:sz w:val="22"/>
        </w:rPr>
        <w:t>include</w:t>
      </w:r>
      <w:r w:rsidR="007157A9">
        <w:rPr>
          <w:rFonts w:ascii="Arial" w:hAnsi="Arial" w:cs="Arial"/>
          <w:sz w:val="22"/>
        </w:rPr>
        <w:t>:</w:t>
      </w:r>
    </w:p>
    <w:p w14:paraId="324A8592" w14:textId="3F23253D" w:rsidR="00C8571C" w:rsidRDefault="007157A9" w:rsidP="00C8571C">
      <w:pPr>
        <w:pStyle w:val="BodyText"/>
        <w:numPr>
          <w:ilvl w:val="0"/>
          <w:numId w:val="54"/>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0" w:after="240" w:line="280" w:lineRule="atLeast"/>
        <w:rPr>
          <w:rFonts w:ascii="Arial" w:hAnsi="Arial" w:cs="Arial"/>
          <w:sz w:val="22"/>
        </w:rPr>
      </w:pPr>
      <w:r>
        <w:rPr>
          <w:rFonts w:ascii="Arial" w:hAnsi="Arial" w:cs="Arial"/>
          <w:sz w:val="22"/>
        </w:rPr>
        <w:t>d</w:t>
      </w:r>
      <w:r w:rsidR="00C8571C" w:rsidRPr="00930515">
        <w:rPr>
          <w:rFonts w:ascii="Arial" w:hAnsi="Arial" w:cs="Arial"/>
          <w:sz w:val="22"/>
        </w:rPr>
        <w:t xml:space="preserve">emand for transport </w:t>
      </w:r>
      <w:r w:rsidR="00C8571C">
        <w:rPr>
          <w:rFonts w:ascii="Arial" w:hAnsi="Arial" w:cs="Arial"/>
          <w:sz w:val="22"/>
        </w:rPr>
        <w:t>activity by fuel, engine and vehicle types in vehicle kilometres travelled (VKT)</w:t>
      </w:r>
    </w:p>
    <w:p w14:paraId="6FF30116" w14:textId="09479BF2" w:rsidR="00C8571C" w:rsidRPr="00930515" w:rsidRDefault="007157A9" w:rsidP="00C8571C">
      <w:pPr>
        <w:pStyle w:val="BodyText"/>
        <w:numPr>
          <w:ilvl w:val="0"/>
          <w:numId w:val="54"/>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0" w:after="240" w:line="280" w:lineRule="atLeast"/>
        <w:rPr>
          <w:rFonts w:ascii="Arial" w:hAnsi="Arial" w:cs="Arial"/>
          <w:sz w:val="22"/>
        </w:rPr>
      </w:pPr>
      <w:r>
        <w:rPr>
          <w:rFonts w:ascii="Arial" w:hAnsi="Arial" w:cs="Arial"/>
          <w:sz w:val="22"/>
        </w:rPr>
        <w:t>f</w:t>
      </w:r>
      <w:r w:rsidR="00C8571C" w:rsidRPr="00930515">
        <w:rPr>
          <w:rFonts w:ascii="Arial" w:hAnsi="Arial" w:cs="Arial"/>
          <w:sz w:val="22"/>
        </w:rPr>
        <w:t>uel consumption</w:t>
      </w:r>
      <w:r w:rsidR="00C8571C" w:rsidRPr="00076B1D">
        <w:rPr>
          <w:rFonts w:ascii="Arial" w:hAnsi="Arial" w:cs="Arial"/>
          <w:sz w:val="22"/>
        </w:rPr>
        <w:t xml:space="preserve"> </w:t>
      </w:r>
      <w:r w:rsidR="00C8571C" w:rsidRPr="00930515">
        <w:rPr>
          <w:rFonts w:ascii="Arial" w:hAnsi="Arial" w:cs="Arial"/>
          <w:sz w:val="22"/>
        </w:rPr>
        <w:t xml:space="preserve">by different fuel </w:t>
      </w:r>
      <w:r w:rsidR="00C8571C">
        <w:rPr>
          <w:rFonts w:ascii="Arial" w:hAnsi="Arial" w:cs="Arial"/>
          <w:sz w:val="22"/>
        </w:rPr>
        <w:t xml:space="preserve">and vehicles </w:t>
      </w:r>
      <w:r w:rsidR="00C8571C" w:rsidRPr="00930515">
        <w:rPr>
          <w:rFonts w:ascii="Arial" w:hAnsi="Arial" w:cs="Arial"/>
          <w:sz w:val="22"/>
        </w:rPr>
        <w:t>types</w:t>
      </w:r>
      <w:r w:rsidR="00C8571C">
        <w:rPr>
          <w:rFonts w:ascii="Arial" w:hAnsi="Arial" w:cs="Arial"/>
          <w:sz w:val="22"/>
        </w:rPr>
        <w:t xml:space="preserve"> in PJ</w:t>
      </w:r>
    </w:p>
    <w:p w14:paraId="587D9B08" w14:textId="0F2B32A8" w:rsidR="00C8571C" w:rsidRPr="00930515" w:rsidRDefault="007157A9" w:rsidP="00C8571C">
      <w:pPr>
        <w:pStyle w:val="BodyText"/>
        <w:numPr>
          <w:ilvl w:val="0"/>
          <w:numId w:val="54"/>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0" w:after="240" w:line="280" w:lineRule="atLeast"/>
        <w:rPr>
          <w:rFonts w:ascii="Arial" w:hAnsi="Arial" w:cs="Arial"/>
          <w:sz w:val="22"/>
        </w:rPr>
      </w:pPr>
      <w:r>
        <w:rPr>
          <w:rFonts w:ascii="Arial" w:hAnsi="Arial" w:cs="Arial"/>
          <w:sz w:val="22"/>
        </w:rPr>
        <w:t>p</w:t>
      </w:r>
      <w:r w:rsidR="00C8571C" w:rsidRPr="00930515">
        <w:rPr>
          <w:rFonts w:ascii="Arial" w:hAnsi="Arial" w:cs="Arial"/>
          <w:sz w:val="22"/>
        </w:rPr>
        <w:t>rice of fuels</w:t>
      </w:r>
      <w:r w:rsidR="00C8571C">
        <w:rPr>
          <w:rFonts w:ascii="Arial" w:hAnsi="Arial" w:cs="Arial"/>
          <w:sz w:val="22"/>
        </w:rPr>
        <w:t xml:space="preserve"> (i.e</w:t>
      </w:r>
      <w:r w:rsidR="00904B71">
        <w:rPr>
          <w:rFonts w:ascii="Arial" w:hAnsi="Arial" w:cs="Arial"/>
          <w:sz w:val="22"/>
        </w:rPr>
        <w:t>.</w:t>
      </w:r>
      <w:r w:rsidR="00C8571C">
        <w:rPr>
          <w:rFonts w:ascii="Arial" w:hAnsi="Arial" w:cs="Arial"/>
          <w:sz w:val="22"/>
        </w:rPr>
        <w:t xml:space="preserve"> </w:t>
      </w:r>
      <w:r w:rsidR="003067BD">
        <w:rPr>
          <w:rFonts w:ascii="Arial" w:hAnsi="Arial" w:cs="Arial"/>
          <w:sz w:val="22"/>
        </w:rPr>
        <w:t>c</w:t>
      </w:r>
      <w:r w:rsidR="00C8571C">
        <w:rPr>
          <w:rFonts w:ascii="Arial" w:hAnsi="Arial" w:cs="Arial"/>
          <w:sz w:val="22"/>
        </w:rPr>
        <w:t xml:space="preserve">apital cost, fuel cost and </w:t>
      </w:r>
      <w:proofErr w:type="spellStart"/>
      <w:r w:rsidR="00C8571C">
        <w:rPr>
          <w:rFonts w:ascii="Arial" w:hAnsi="Arial" w:cs="Arial"/>
          <w:sz w:val="22"/>
        </w:rPr>
        <w:t>OpexCost</w:t>
      </w:r>
      <w:proofErr w:type="spellEnd"/>
      <w:r w:rsidR="00C8571C">
        <w:rPr>
          <w:rFonts w:ascii="Arial" w:hAnsi="Arial" w:cs="Arial"/>
          <w:sz w:val="22"/>
        </w:rPr>
        <w:t xml:space="preserve"> by different vehicle types) </w:t>
      </w:r>
    </w:p>
    <w:p w14:paraId="65B16D6D" w14:textId="42F7AA31" w:rsidR="00C8571C" w:rsidRPr="00361D52" w:rsidRDefault="00C8571C" w:rsidP="00C8571C">
      <w:pPr>
        <w:pStyle w:val="BodyText"/>
        <w:numPr>
          <w:ilvl w:val="0"/>
          <w:numId w:val="54"/>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0" w:after="240" w:line="280" w:lineRule="atLeast"/>
        <w:rPr>
          <w:rFonts w:ascii="Arial" w:hAnsi="Arial" w:cs="Arial"/>
          <w:i/>
          <w:sz w:val="22"/>
        </w:rPr>
      </w:pPr>
      <w:proofErr w:type="gramStart"/>
      <w:r w:rsidRPr="00930515">
        <w:rPr>
          <w:rFonts w:ascii="Arial" w:hAnsi="Arial" w:cs="Arial"/>
          <w:sz w:val="22"/>
        </w:rPr>
        <w:t>greenhouse</w:t>
      </w:r>
      <w:proofErr w:type="gramEnd"/>
      <w:r w:rsidRPr="00930515">
        <w:rPr>
          <w:rFonts w:ascii="Arial" w:hAnsi="Arial" w:cs="Arial"/>
          <w:sz w:val="22"/>
        </w:rPr>
        <w:t xml:space="preserve"> gas </w:t>
      </w:r>
      <w:r>
        <w:rPr>
          <w:rFonts w:ascii="Arial" w:hAnsi="Arial" w:cs="Arial"/>
          <w:sz w:val="22"/>
        </w:rPr>
        <w:t>and</w:t>
      </w:r>
      <w:r w:rsidRPr="00930515">
        <w:rPr>
          <w:rFonts w:ascii="Arial" w:hAnsi="Arial" w:cs="Arial"/>
          <w:sz w:val="22"/>
        </w:rPr>
        <w:t xml:space="preserve"> air pollutant emissions</w:t>
      </w:r>
      <w:r>
        <w:rPr>
          <w:rFonts w:ascii="Arial" w:hAnsi="Arial" w:cs="Arial"/>
          <w:sz w:val="22"/>
        </w:rPr>
        <w:t xml:space="preserve"> (i.e. Mt CO</w:t>
      </w:r>
      <w:r w:rsidRPr="00361D52">
        <w:rPr>
          <w:rFonts w:ascii="Arial" w:hAnsi="Arial" w:cs="Arial"/>
          <w:sz w:val="22"/>
          <w:vertAlign w:val="subscript"/>
        </w:rPr>
        <w:t>2</w:t>
      </w:r>
      <w:r>
        <w:rPr>
          <w:rFonts w:ascii="Arial" w:hAnsi="Arial" w:cs="Arial"/>
          <w:sz w:val="22"/>
        </w:rPr>
        <w:t>-e, Mt CO</w:t>
      </w:r>
      <w:r w:rsidRPr="00361D52">
        <w:rPr>
          <w:rFonts w:ascii="Arial" w:hAnsi="Arial" w:cs="Arial"/>
          <w:sz w:val="22"/>
          <w:vertAlign w:val="subscript"/>
        </w:rPr>
        <w:t>2</w:t>
      </w:r>
      <w:r>
        <w:rPr>
          <w:rFonts w:ascii="Arial" w:hAnsi="Arial" w:cs="Arial"/>
          <w:sz w:val="22"/>
        </w:rPr>
        <w:t>, Mt CH</w:t>
      </w:r>
      <w:r>
        <w:rPr>
          <w:rFonts w:ascii="Arial" w:hAnsi="Arial" w:cs="Arial"/>
          <w:sz w:val="22"/>
          <w:vertAlign w:val="subscript"/>
        </w:rPr>
        <w:t>4</w:t>
      </w:r>
      <w:r>
        <w:rPr>
          <w:rFonts w:ascii="Arial" w:hAnsi="Arial" w:cs="Arial"/>
          <w:sz w:val="22"/>
        </w:rPr>
        <w:t xml:space="preserve"> and Mt</w:t>
      </w:r>
      <w:r w:rsidR="00401336">
        <w:rPr>
          <w:rFonts w:ascii="Arial" w:hAnsi="Arial" w:cs="Arial"/>
          <w:sz w:val="22"/>
        </w:rPr>
        <w:t> </w:t>
      </w:r>
      <w:r>
        <w:rPr>
          <w:rFonts w:ascii="Arial" w:hAnsi="Arial" w:cs="Arial"/>
          <w:sz w:val="22"/>
        </w:rPr>
        <w:t>N</w:t>
      </w:r>
      <w:r>
        <w:rPr>
          <w:rFonts w:ascii="Arial" w:hAnsi="Arial" w:cs="Arial"/>
          <w:sz w:val="22"/>
          <w:vertAlign w:val="subscript"/>
        </w:rPr>
        <w:t>2</w:t>
      </w:r>
      <w:r w:rsidRPr="00361D52">
        <w:rPr>
          <w:rFonts w:ascii="Arial" w:hAnsi="Arial" w:cs="Arial"/>
          <w:sz w:val="22"/>
        </w:rPr>
        <w:t>O</w:t>
      </w:r>
      <w:r>
        <w:rPr>
          <w:rFonts w:ascii="Arial" w:hAnsi="Arial" w:cs="Arial"/>
          <w:sz w:val="22"/>
        </w:rPr>
        <w:t>)</w:t>
      </w:r>
      <w:r w:rsidR="007157A9">
        <w:rPr>
          <w:rFonts w:ascii="Arial" w:hAnsi="Arial" w:cs="Arial"/>
          <w:sz w:val="22"/>
        </w:rPr>
        <w:t>.</w:t>
      </w:r>
    </w:p>
    <w:p w14:paraId="00BF3627" w14:textId="07431A3F" w:rsidR="005C0E93" w:rsidRDefault="004A4348" w:rsidP="00C8571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0" w:after="240" w:line="280" w:lineRule="atLeast"/>
        <w:rPr>
          <w:rFonts w:ascii="Arial" w:hAnsi="Arial" w:cs="Arial"/>
          <w:sz w:val="22"/>
        </w:rPr>
      </w:pPr>
      <w:r>
        <w:rPr>
          <w:rFonts w:ascii="Arial" w:hAnsi="Arial" w:cs="Arial"/>
          <w:sz w:val="22"/>
        </w:rPr>
        <w:t>Understanding the</w:t>
      </w:r>
      <w:r w:rsidR="005B046B" w:rsidRPr="005B046B">
        <w:rPr>
          <w:rFonts w:ascii="Arial" w:hAnsi="Arial" w:cs="Arial"/>
          <w:sz w:val="22"/>
        </w:rPr>
        <w:t xml:space="preserve"> </w:t>
      </w:r>
      <w:r>
        <w:rPr>
          <w:rFonts w:ascii="Arial" w:hAnsi="Arial" w:cs="Arial"/>
          <w:sz w:val="22"/>
        </w:rPr>
        <w:t>flow</w:t>
      </w:r>
      <w:r w:rsidR="005B046B" w:rsidRPr="005B046B">
        <w:rPr>
          <w:rFonts w:ascii="Arial" w:hAnsi="Arial" w:cs="Arial"/>
          <w:sz w:val="22"/>
        </w:rPr>
        <w:t xml:space="preserve"> from economic growth</w:t>
      </w:r>
      <w:r w:rsidR="00C46FEE">
        <w:rPr>
          <w:rFonts w:ascii="Arial" w:hAnsi="Arial" w:cs="Arial"/>
          <w:sz w:val="22"/>
        </w:rPr>
        <w:t xml:space="preserve"> and</w:t>
      </w:r>
      <w:r w:rsidR="005B046B" w:rsidRPr="005B046B">
        <w:rPr>
          <w:rFonts w:ascii="Arial" w:hAnsi="Arial" w:cs="Arial"/>
          <w:sz w:val="22"/>
        </w:rPr>
        <w:t xml:space="preserve"> transport activity (including modal substitution where relevant) to fuel consumption </w:t>
      </w:r>
      <w:r w:rsidR="00C46FEE">
        <w:rPr>
          <w:rFonts w:ascii="Arial" w:hAnsi="Arial" w:cs="Arial"/>
          <w:sz w:val="22"/>
        </w:rPr>
        <w:t>(</w:t>
      </w:r>
      <w:r w:rsidR="005B046B" w:rsidRPr="005B046B">
        <w:rPr>
          <w:rFonts w:ascii="Arial" w:hAnsi="Arial" w:cs="Arial"/>
          <w:sz w:val="22"/>
        </w:rPr>
        <w:t>via fuel efficiency</w:t>
      </w:r>
      <w:r w:rsidR="00C46FEE">
        <w:rPr>
          <w:rFonts w:ascii="Arial" w:hAnsi="Arial" w:cs="Arial"/>
          <w:sz w:val="22"/>
        </w:rPr>
        <w:t>)</w:t>
      </w:r>
      <w:r w:rsidR="005B046B" w:rsidRPr="005B046B">
        <w:rPr>
          <w:rFonts w:ascii="Arial" w:hAnsi="Arial" w:cs="Arial"/>
          <w:sz w:val="22"/>
        </w:rPr>
        <w:t xml:space="preserve"> and fuel selection is almost all that is required to project emissions. The final step is to apply a fuel emission factor whic</w:t>
      </w:r>
      <w:r w:rsidR="00642716">
        <w:rPr>
          <w:rFonts w:ascii="Arial" w:hAnsi="Arial" w:cs="Arial"/>
          <w:sz w:val="22"/>
        </w:rPr>
        <w:t xml:space="preserve">h is sourced from the </w:t>
      </w:r>
      <w:r w:rsidR="00BF41D6">
        <w:rPr>
          <w:rFonts w:ascii="Arial" w:hAnsi="Arial" w:cs="Arial"/>
          <w:sz w:val="22"/>
        </w:rPr>
        <w:t>n</w:t>
      </w:r>
      <w:r w:rsidR="00642716">
        <w:rPr>
          <w:rFonts w:ascii="Arial" w:hAnsi="Arial" w:cs="Arial"/>
          <w:sz w:val="22"/>
        </w:rPr>
        <w:t>ational greenhouse gas i</w:t>
      </w:r>
      <w:r w:rsidR="005B046B" w:rsidRPr="005B046B">
        <w:rPr>
          <w:rFonts w:ascii="Arial" w:hAnsi="Arial" w:cs="Arial"/>
          <w:sz w:val="22"/>
        </w:rPr>
        <w:t xml:space="preserve">nventory </w:t>
      </w:r>
      <w:r w:rsidR="005C0E93">
        <w:rPr>
          <w:rFonts w:ascii="Arial" w:hAnsi="Arial" w:cs="Arial"/>
          <w:sz w:val="22"/>
        </w:rPr>
        <w:t>which remain constant over time</w:t>
      </w:r>
      <w:r w:rsidR="005B046B" w:rsidRPr="005B046B">
        <w:rPr>
          <w:rFonts w:ascii="Arial" w:hAnsi="Arial" w:cs="Arial"/>
          <w:sz w:val="22"/>
        </w:rPr>
        <w:t xml:space="preserve">. </w:t>
      </w:r>
      <w:r w:rsidR="005B046B" w:rsidRPr="00FB329E">
        <w:rPr>
          <w:rFonts w:ascii="Arial" w:hAnsi="Arial" w:cs="Arial"/>
          <w:i/>
          <w:sz w:val="22"/>
        </w:rPr>
        <w:t>Electricity sector</w:t>
      </w:r>
      <w:r w:rsidR="005B046B" w:rsidRPr="005B046B">
        <w:rPr>
          <w:rFonts w:ascii="Arial" w:hAnsi="Arial" w:cs="Arial"/>
          <w:sz w:val="22"/>
        </w:rPr>
        <w:t xml:space="preserve"> emissions are accounted for separately in </w:t>
      </w:r>
      <w:r w:rsidR="005B046B" w:rsidRPr="00FB329E">
        <w:rPr>
          <w:rFonts w:ascii="Arial" w:hAnsi="Arial" w:cs="Arial"/>
          <w:i/>
          <w:sz w:val="22"/>
        </w:rPr>
        <w:t>electricity sector</w:t>
      </w:r>
      <w:r w:rsidR="005B046B" w:rsidRPr="005B046B">
        <w:rPr>
          <w:rFonts w:ascii="Arial" w:hAnsi="Arial" w:cs="Arial"/>
          <w:sz w:val="22"/>
        </w:rPr>
        <w:t xml:space="preserve"> modelling as are upstream refining sector emissions. </w:t>
      </w:r>
    </w:p>
    <w:p w14:paraId="62BFE189" w14:textId="77777777" w:rsidR="00C8571C" w:rsidRPr="002D24DF" w:rsidRDefault="00C8571C" w:rsidP="00C8571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0" w:after="240" w:line="280" w:lineRule="atLeast"/>
        <w:rPr>
          <w:rFonts w:ascii="Arial" w:hAnsi="Arial" w:cs="Arial"/>
          <w:i/>
          <w:sz w:val="22"/>
        </w:rPr>
      </w:pPr>
      <w:r>
        <w:rPr>
          <w:rFonts w:ascii="Arial" w:hAnsi="Arial" w:cs="Arial"/>
          <w:sz w:val="22"/>
        </w:rPr>
        <w:t xml:space="preserve">Emissions from other transportation (i.e. off-road recreational vehicles and </w:t>
      </w:r>
      <w:r w:rsidRPr="007B7C31">
        <w:rPr>
          <w:rFonts w:ascii="Arial" w:hAnsi="Arial" w:cs="Arial"/>
          <w:sz w:val="22"/>
        </w:rPr>
        <w:t>pipeline transport</w:t>
      </w:r>
      <w:r>
        <w:rPr>
          <w:rFonts w:ascii="Arial" w:hAnsi="Arial" w:cs="Arial"/>
          <w:sz w:val="22"/>
        </w:rPr>
        <w:t>) are projected based on historical growth rates in these subsectors.</w:t>
      </w:r>
    </w:p>
    <w:p w14:paraId="31364FC4" w14:textId="77777777" w:rsidR="000E7071" w:rsidRDefault="000E7071" w:rsidP="007835F3">
      <w:pPr>
        <w:pStyle w:val="Heading2"/>
      </w:pPr>
      <w:bookmarkStart w:id="23" w:name="_Toc510532005"/>
      <w:bookmarkStart w:id="24" w:name="_Toc510532535"/>
      <w:bookmarkStart w:id="25" w:name="_Toc510534099"/>
      <w:bookmarkStart w:id="26" w:name="_Toc510794628"/>
      <w:bookmarkStart w:id="27" w:name="_Toc511297987"/>
      <w:bookmarkStart w:id="28" w:name="_Toc511304016"/>
      <w:bookmarkStart w:id="29" w:name="_Toc511918020"/>
      <w:r>
        <w:t>Fugitives</w:t>
      </w:r>
      <w:bookmarkEnd w:id="23"/>
      <w:bookmarkEnd w:id="24"/>
      <w:bookmarkEnd w:id="25"/>
      <w:bookmarkEnd w:id="26"/>
      <w:bookmarkEnd w:id="27"/>
      <w:bookmarkEnd w:id="28"/>
      <w:bookmarkEnd w:id="29"/>
    </w:p>
    <w:p w14:paraId="7EDD721F" w14:textId="23A00796" w:rsidR="00436DF9" w:rsidRDefault="00436DF9" w:rsidP="00436DF9">
      <w:r>
        <w:t xml:space="preserve">Emissions from the </w:t>
      </w:r>
      <w:r w:rsidR="00633124" w:rsidRPr="00774171">
        <w:rPr>
          <w:i/>
        </w:rPr>
        <w:t>fugitives</w:t>
      </w:r>
      <w:r w:rsidRPr="000034C2">
        <w:rPr>
          <w:i/>
        </w:rPr>
        <w:t xml:space="preserve"> sector</w:t>
      </w:r>
      <w:r>
        <w:t xml:space="preserve"> are projected using </w:t>
      </w:r>
      <w:r w:rsidR="00CB10EC">
        <w:t xml:space="preserve">emission estimation </w:t>
      </w:r>
      <w:r>
        <w:t>models maintained and up</w:t>
      </w:r>
      <w:r w:rsidR="002C3AB7">
        <w:t>dated</w:t>
      </w:r>
      <w:r>
        <w:t xml:space="preserve"> </w:t>
      </w:r>
      <w:r w:rsidR="002C3AB7">
        <w:t>by the</w:t>
      </w:r>
      <w:r>
        <w:t xml:space="preserve"> Department using external inputs. The</w:t>
      </w:r>
      <w:r w:rsidR="00D74905">
        <w:t xml:space="preserve"> </w:t>
      </w:r>
      <w:r>
        <w:t xml:space="preserve">models are a combination of </w:t>
      </w:r>
      <w:r w:rsidR="00CB10EC">
        <w:t xml:space="preserve">facility specific </w:t>
      </w:r>
      <w:r>
        <w:t>and top</w:t>
      </w:r>
      <w:r w:rsidR="00CB10EC">
        <w:t xml:space="preserve"> </w:t>
      </w:r>
      <w:r>
        <w:t>down models depending on the</w:t>
      </w:r>
      <w:r w:rsidR="00CB10EC">
        <w:t xml:space="preserve"> nature of the emission source and the</w:t>
      </w:r>
      <w:r>
        <w:t xml:space="preserve"> availability of data</w:t>
      </w:r>
      <w:r w:rsidR="00CB10EC">
        <w:t>.</w:t>
      </w:r>
    </w:p>
    <w:p w14:paraId="51233FD9" w14:textId="0E836D2D" w:rsidR="00436DF9" w:rsidRPr="0097482A" w:rsidRDefault="00436DF9" w:rsidP="004B6666">
      <w:pPr>
        <w:pStyle w:val="Heading3"/>
      </w:pPr>
      <w:r w:rsidRPr="0097482A">
        <w:t>Coal fugitives</w:t>
      </w:r>
    </w:p>
    <w:p w14:paraId="7166596C" w14:textId="797A0A20" w:rsidR="00436DF9" w:rsidRPr="002C3AB7" w:rsidRDefault="002C3AB7" w:rsidP="003676CD">
      <w:pPr>
        <w:rPr>
          <w:i/>
          <w:u w:val="single"/>
        </w:rPr>
      </w:pPr>
      <w:r w:rsidRPr="002C3AB7">
        <w:rPr>
          <w:i/>
          <w:u w:val="single"/>
        </w:rPr>
        <w:t>Operating coal mines</w:t>
      </w:r>
    </w:p>
    <w:p w14:paraId="7496C033" w14:textId="0463343E" w:rsidR="002C3AB7" w:rsidRDefault="0055314F" w:rsidP="00436DF9">
      <w:r>
        <w:t xml:space="preserve">The Department maintains a </w:t>
      </w:r>
      <w:r w:rsidR="00651598">
        <w:t>mine-by-mine</w:t>
      </w:r>
      <w:r>
        <w:t xml:space="preserve"> model of fugitive emissions from operating coal mines</w:t>
      </w:r>
      <w:r w:rsidR="00C9294D">
        <w:t xml:space="preserve">. A </w:t>
      </w:r>
      <w:r w:rsidR="00651598">
        <w:t>mine-by-mine</w:t>
      </w:r>
      <w:r w:rsidR="00C9294D">
        <w:t xml:space="preserve"> model takes account of the </w:t>
      </w:r>
      <w:r w:rsidR="00D74905">
        <w:t xml:space="preserve">emissions </w:t>
      </w:r>
      <w:r>
        <w:t>intensity</w:t>
      </w:r>
      <w:r w:rsidR="00C9294D">
        <w:t xml:space="preserve"> of each mine which</w:t>
      </w:r>
      <w:r>
        <w:t xml:space="preserve"> </w:t>
      </w:r>
      <w:r w:rsidR="00C9294D">
        <w:t xml:space="preserve">is </w:t>
      </w:r>
      <w:r w:rsidR="00651598">
        <w:t>dependent on</w:t>
      </w:r>
      <w:r>
        <w:t xml:space="preserve"> the operational and geological characteristics of the mine.</w:t>
      </w:r>
      <w:r w:rsidR="006C594D">
        <w:t xml:space="preserve"> </w:t>
      </w:r>
    </w:p>
    <w:p w14:paraId="0A12D127" w14:textId="174D6117" w:rsidR="006C594D" w:rsidRPr="003676CD" w:rsidRDefault="006C594D" w:rsidP="006C594D">
      <w:pPr>
        <w:rPr>
          <w:i/>
          <w:vertAlign w:val="superscript"/>
        </w:rPr>
      </w:pPr>
      <w:r w:rsidRPr="003676CD">
        <w:rPr>
          <w:i/>
        </w:rPr>
        <w:t>E</w:t>
      </w:r>
      <w:r w:rsidR="00C9294D">
        <w:rPr>
          <w:i/>
          <w:vertAlign w:val="subscript"/>
        </w:rPr>
        <w:t>t</w:t>
      </w:r>
      <w:r w:rsidRPr="003676CD">
        <w:rPr>
          <w:i/>
        </w:rPr>
        <w:t xml:space="preserve"> = </w:t>
      </w:r>
      <w:proofErr w:type="gramStart"/>
      <w:r w:rsidRPr="003676CD">
        <w:rPr>
          <w:rFonts w:cs="Arial"/>
          <w:i/>
        </w:rPr>
        <w:t>∑</w:t>
      </w:r>
      <w:r w:rsidRPr="003676CD">
        <w:rPr>
          <w:i/>
        </w:rPr>
        <w:t>(</w:t>
      </w:r>
      <w:proofErr w:type="gramEnd"/>
      <w:r w:rsidRPr="003676CD">
        <w:rPr>
          <w:i/>
        </w:rPr>
        <w:t xml:space="preserve"> [</w:t>
      </w:r>
      <w:r w:rsidR="00C41C7C" w:rsidRPr="003676CD">
        <w:rPr>
          <w:i/>
        </w:rPr>
        <w:t>P</w:t>
      </w:r>
      <w:r w:rsidRPr="003676CD">
        <w:rPr>
          <w:i/>
          <w:vertAlign w:val="subscript"/>
        </w:rPr>
        <w:t>i</w:t>
      </w:r>
      <w:r w:rsidR="00C9294D">
        <w:rPr>
          <w:i/>
          <w:vertAlign w:val="subscript"/>
        </w:rPr>
        <w:t>t</w:t>
      </w:r>
      <w:r w:rsidRPr="003676CD">
        <w:rPr>
          <w:i/>
        </w:rPr>
        <w:t xml:space="preserve"> </w:t>
      </w:r>
      <w:r w:rsidRPr="003676CD">
        <w:rPr>
          <w:b/>
          <w:i/>
        </w:rPr>
        <w:t>.</w:t>
      </w:r>
      <w:r w:rsidRPr="003676CD">
        <w:rPr>
          <w:i/>
        </w:rPr>
        <w:t xml:space="preserve"> </w:t>
      </w:r>
      <w:proofErr w:type="spellStart"/>
      <w:r w:rsidRPr="003676CD">
        <w:rPr>
          <w:i/>
        </w:rPr>
        <w:t>E</w:t>
      </w:r>
      <w:r w:rsidR="00C41C7C" w:rsidRPr="003676CD">
        <w:rPr>
          <w:i/>
        </w:rPr>
        <w:t>I</w:t>
      </w:r>
      <w:r w:rsidR="00C41C7C" w:rsidRPr="003676CD">
        <w:rPr>
          <w:i/>
          <w:vertAlign w:val="subscript"/>
        </w:rPr>
        <w:t>i</w:t>
      </w:r>
      <w:proofErr w:type="spellEnd"/>
      <w:r w:rsidRPr="003676CD">
        <w:rPr>
          <w:i/>
        </w:rPr>
        <w:t>]</w:t>
      </w:r>
      <w:proofErr w:type="gramStart"/>
      <w:r w:rsidRPr="003676CD">
        <w:rPr>
          <w:i/>
        </w:rPr>
        <w:t>)</w:t>
      </w:r>
      <w:r w:rsidR="00C41C7C" w:rsidRPr="003676CD">
        <w:rPr>
          <w:i/>
        </w:rPr>
        <w:t>-</w:t>
      </w:r>
      <w:proofErr w:type="gramEnd"/>
      <w:r w:rsidR="00C41C7C" w:rsidRPr="003676CD">
        <w:rPr>
          <w:i/>
        </w:rPr>
        <w:t xml:space="preserve"> </w:t>
      </w:r>
      <w:proofErr w:type="spellStart"/>
      <w:r w:rsidR="00C41C7C" w:rsidRPr="003676CD">
        <w:rPr>
          <w:i/>
        </w:rPr>
        <w:t>ERF</w:t>
      </w:r>
      <w:r w:rsidR="00C9294D" w:rsidRPr="00C9294D">
        <w:rPr>
          <w:i/>
          <w:vertAlign w:val="subscript"/>
        </w:rPr>
        <w:t>t</w:t>
      </w:r>
      <w:proofErr w:type="spellEnd"/>
    </w:p>
    <w:p w14:paraId="40A5145C" w14:textId="38E29BF8" w:rsidR="00C41C7C" w:rsidRPr="003676CD" w:rsidRDefault="006C594D" w:rsidP="006C594D">
      <w:pPr>
        <w:rPr>
          <w:i/>
          <w:sz w:val="16"/>
          <w:szCs w:val="16"/>
        </w:rPr>
      </w:pPr>
      <w:r w:rsidRPr="003676CD">
        <w:rPr>
          <w:i/>
          <w:sz w:val="16"/>
          <w:szCs w:val="16"/>
        </w:rPr>
        <w:t xml:space="preserve">Where: </w:t>
      </w:r>
      <w:r w:rsidRPr="003676CD">
        <w:rPr>
          <w:i/>
          <w:sz w:val="16"/>
          <w:szCs w:val="16"/>
        </w:rPr>
        <w:br/>
        <w:t>E</w:t>
      </w:r>
      <w:r w:rsidR="00C9294D" w:rsidRPr="00C9294D">
        <w:rPr>
          <w:i/>
          <w:sz w:val="16"/>
          <w:szCs w:val="16"/>
          <w:vertAlign w:val="subscript"/>
        </w:rPr>
        <w:t>t</w:t>
      </w:r>
      <w:r w:rsidRPr="003676CD">
        <w:rPr>
          <w:i/>
          <w:sz w:val="16"/>
          <w:szCs w:val="16"/>
        </w:rPr>
        <w:t xml:space="preserve"> = annual emissions</w:t>
      </w:r>
      <w:r w:rsidR="00D74905" w:rsidRPr="003676CD">
        <w:rPr>
          <w:i/>
          <w:sz w:val="16"/>
          <w:szCs w:val="16"/>
        </w:rPr>
        <w:t xml:space="preserve"> from operating coal mines</w:t>
      </w:r>
      <w:r w:rsidR="00C9294D">
        <w:rPr>
          <w:i/>
          <w:sz w:val="16"/>
          <w:szCs w:val="16"/>
        </w:rPr>
        <w:t xml:space="preserve"> in year t</w:t>
      </w:r>
      <w:r w:rsidRPr="003676CD">
        <w:rPr>
          <w:i/>
          <w:sz w:val="16"/>
          <w:szCs w:val="16"/>
        </w:rPr>
        <w:t xml:space="preserve"> (</w:t>
      </w:r>
      <w:r w:rsidR="00651598">
        <w:rPr>
          <w:i/>
          <w:sz w:val="16"/>
          <w:szCs w:val="16"/>
        </w:rPr>
        <w:t>M</w:t>
      </w:r>
      <w:r w:rsidR="00D74905" w:rsidRPr="003676CD">
        <w:rPr>
          <w:i/>
          <w:sz w:val="16"/>
          <w:szCs w:val="16"/>
        </w:rPr>
        <w:t xml:space="preserve">t </w:t>
      </w:r>
      <w:r w:rsidRPr="003676CD">
        <w:rPr>
          <w:i/>
          <w:sz w:val="16"/>
          <w:szCs w:val="16"/>
        </w:rPr>
        <w:t>CO</w:t>
      </w:r>
      <w:r w:rsidRPr="003676CD">
        <w:rPr>
          <w:i/>
          <w:sz w:val="16"/>
          <w:szCs w:val="16"/>
          <w:vertAlign w:val="subscript"/>
        </w:rPr>
        <w:t>2</w:t>
      </w:r>
      <w:r w:rsidRPr="003676CD">
        <w:rPr>
          <w:i/>
          <w:sz w:val="16"/>
          <w:szCs w:val="16"/>
        </w:rPr>
        <w:t>-e</w:t>
      </w:r>
      <w:proofErr w:type="gramStart"/>
      <w:r w:rsidRPr="003676CD">
        <w:rPr>
          <w:i/>
          <w:sz w:val="16"/>
          <w:szCs w:val="16"/>
        </w:rPr>
        <w:t>)</w:t>
      </w:r>
      <w:proofErr w:type="gramEnd"/>
      <w:r w:rsidRPr="003676CD">
        <w:rPr>
          <w:i/>
          <w:sz w:val="16"/>
          <w:szCs w:val="16"/>
        </w:rPr>
        <w:br/>
      </w:r>
      <w:r w:rsidR="00D74905" w:rsidRPr="003676CD">
        <w:rPr>
          <w:i/>
          <w:sz w:val="16"/>
          <w:szCs w:val="16"/>
        </w:rPr>
        <w:t>P</w:t>
      </w:r>
      <w:r w:rsidRPr="003676CD">
        <w:rPr>
          <w:i/>
          <w:sz w:val="16"/>
          <w:szCs w:val="16"/>
          <w:vertAlign w:val="subscript"/>
        </w:rPr>
        <w:t>i</w:t>
      </w:r>
      <w:r w:rsidR="00C9294D">
        <w:rPr>
          <w:i/>
          <w:sz w:val="16"/>
          <w:szCs w:val="16"/>
          <w:vertAlign w:val="subscript"/>
        </w:rPr>
        <w:t>t</w:t>
      </w:r>
      <w:r w:rsidRPr="003676CD">
        <w:rPr>
          <w:i/>
          <w:sz w:val="16"/>
          <w:szCs w:val="16"/>
        </w:rPr>
        <w:t xml:space="preserve"> = </w:t>
      </w:r>
      <w:r w:rsidR="00D74905" w:rsidRPr="003676CD">
        <w:rPr>
          <w:i/>
          <w:sz w:val="16"/>
          <w:szCs w:val="16"/>
        </w:rPr>
        <w:t xml:space="preserve">coal production at </w:t>
      </w:r>
      <w:proofErr w:type="spellStart"/>
      <w:r w:rsidR="00D74905" w:rsidRPr="003676CD">
        <w:rPr>
          <w:i/>
          <w:sz w:val="16"/>
          <w:szCs w:val="16"/>
        </w:rPr>
        <w:t>mine</w:t>
      </w:r>
      <w:r w:rsidRPr="003676CD">
        <w:rPr>
          <w:i/>
          <w:sz w:val="16"/>
          <w:szCs w:val="16"/>
          <w:vertAlign w:val="subscript"/>
        </w:rPr>
        <w:t>i</w:t>
      </w:r>
      <w:proofErr w:type="spellEnd"/>
      <w:r w:rsidRPr="003676CD">
        <w:rPr>
          <w:i/>
          <w:sz w:val="16"/>
          <w:szCs w:val="16"/>
        </w:rPr>
        <w:t>,</w:t>
      </w:r>
      <w:r w:rsidR="00904B71">
        <w:rPr>
          <w:i/>
          <w:sz w:val="16"/>
          <w:szCs w:val="16"/>
        </w:rPr>
        <w:t xml:space="preserve"> </w:t>
      </w:r>
      <w:r w:rsidR="00C9294D">
        <w:rPr>
          <w:i/>
          <w:sz w:val="16"/>
          <w:szCs w:val="16"/>
        </w:rPr>
        <w:t xml:space="preserve">in year t </w:t>
      </w:r>
      <w:r w:rsidRPr="003676CD">
        <w:rPr>
          <w:i/>
          <w:sz w:val="16"/>
          <w:szCs w:val="16"/>
        </w:rPr>
        <w:t>(</w:t>
      </w:r>
      <w:proofErr w:type="spellStart"/>
      <w:r w:rsidR="00D74905" w:rsidRPr="003676CD">
        <w:rPr>
          <w:i/>
          <w:sz w:val="16"/>
          <w:szCs w:val="16"/>
        </w:rPr>
        <w:t>kt</w:t>
      </w:r>
      <w:proofErr w:type="spellEnd"/>
      <w:r w:rsidRPr="003676CD">
        <w:rPr>
          <w:i/>
          <w:sz w:val="16"/>
          <w:szCs w:val="16"/>
        </w:rPr>
        <w:t>)</w:t>
      </w:r>
      <w:r w:rsidRPr="003676CD">
        <w:rPr>
          <w:i/>
          <w:sz w:val="16"/>
          <w:szCs w:val="16"/>
        </w:rPr>
        <w:br/>
      </w:r>
      <w:proofErr w:type="spellStart"/>
      <w:r w:rsidRPr="003676CD">
        <w:rPr>
          <w:i/>
          <w:sz w:val="16"/>
          <w:szCs w:val="16"/>
        </w:rPr>
        <w:t>E</w:t>
      </w:r>
      <w:r w:rsidR="00D74905" w:rsidRPr="003676CD">
        <w:rPr>
          <w:i/>
          <w:sz w:val="16"/>
          <w:szCs w:val="16"/>
        </w:rPr>
        <w:t>I</w:t>
      </w:r>
      <w:r w:rsidR="00D74905" w:rsidRPr="003676CD">
        <w:rPr>
          <w:i/>
          <w:sz w:val="16"/>
          <w:szCs w:val="16"/>
          <w:vertAlign w:val="subscript"/>
        </w:rPr>
        <w:t>i</w:t>
      </w:r>
      <w:proofErr w:type="spellEnd"/>
      <w:r w:rsidRPr="003676CD">
        <w:rPr>
          <w:i/>
          <w:sz w:val="16"/>
          <w:szCs w:val="16"/>
        </w:rPr>
        <w:t xml:space="preserve"> = the</w:t>
      </w:r>
      <w:r w:rsidR="00D74905" w:rsidRPr="003676CD">
        <w:rPr>
          <w:i/>
          <w:sz w:val="16"/>
          <w:szCs w:val="16"/>
        </w:rPr>
        <w:t xml:space="preserve"> emissions intensity of production at mine</w:t>
      </w:r>
      <w:r w:rsidR="00D74905" w:rsidRPr="003676CD">
        <w:rPr>
          <w:i/>
          <w:sz w:val="16"/>
          <w:szCs w:val="16"/>
          <w:vertAlign w:val="subscript"/>
        </w:rPr>
        <w:t xml:space="preserve"> </w:t>
      </w:r>
      <w:proofErr w:type="spellStart"/>
      <w:r w:rsidR="00D74905" w:rsidRPr="003676CD">
        <w:rPr>
          <w:i/>
          <w:sz w:val="16"/>
          <w:szCs w:val="16"/>
          <w:vertAlign w:val="subscript"/>
        </w:rPr>
        <w:t>i</w:t>
      </w:r>
      <w:proofErr w:type="spellEnd"/>
      <w:r w:rsidR="00D74905" w:rsidRPr="003676CD">
        <w:rPr>
          <w:i/>
          <w:sz w:val="16"/>
          <w:szCs w:val="16"/>
        </w:rPr>
        <w:t>,(</w:t>
      </w:r>
      <w:r w:rsidR="00651598">
        <w:rPr>
          <w:i/>
          <w:sz w:val="16"/>
          <w:szCs w:val="16"/>
        </w:rPr>
        <w:t>M</w:t>
      </w:r>
      <w:r w:rsidR="00D74905" w:rsidRPr="003676CD">
        <w:rPr>
          <w:i/>
          <w:sz w:val="16"/>
          <w:szCs w:val="16"/>
        </w:rPr>
        <w:t>t CO</w:t>
      </w:r>
      <w:r w:rsidR="00D74905" w:rsidRPr="003676CD">
        <w:rPr>
          <w:i/>
          <w:sz w:val="16"/>
          <w:szCs w:val="16"/>
          <w:vertAlign w:val="subscript"/>
        </w:rPr>
        <w:t>2</w:t>
      </w:r>
      <w:r w:rsidR="00D74905" w:rsidRPr="003676CD">
        <w:rPr>
          <w:i/>
          <w:sz w:val="16"/>
          <w:szCs w:val="16"/>
        </w:rPr>
        <w:t>-e/</w:t>
      </w:r>
      <w:proofErr w:type="spellStart"/>
      <w:r w:rsidR="00D74905" w:rsidRPr="003676CD">
        <w:rPr>
          <w:i/>
          <w:sz w:val="16"/>
          <w:szCs w:val="16"/>
        </w:rPr>
        <w:t>kt</w:t>
      </w:r>
      <w:proofErr w:type="spellEnd"/>
      <w:r w:rsidR="00D74905" w:rsidRPr="003676CD">
        <w:rPr>
          <w:i/>
          <w:sz w:val="16"/>
          <w:szCs w:val="16"/>
        </w:rPr>
        <w:t xml:space="preserve"> coal)</w:t>
      </w:r>
      <w:r w:rsidR="00D74905" w:rsidRPr="003676CD">
        <w:rPr>
          <w:i/>
          <w:sz w:val="16"/>
          <w:szCs w:val="16"/>
        </w:rPr>
        <w:br/>
      </w:r>
      <w:proofErr w:type="spellStart"/>
      <w:r w:rsidR="00C41C7C" w:rsidRPr="003676CD">
        <w:rPr>
          <w:i/>
          <w:sz w:val="16"/>
          <w:szCs w:val="16"/>
        </w:rPr>
        <w:t>ERF</w:t>
      </w:r>
      <w:r w:rsidR="00C9294D">
        <w:rPr>
          <w:i/>
          <w:sz w:val="16"/>
          <w:szCs w:val="16"/>
          <w:vertAlign w:val="subscript"/>
        </w:rPr>
        <w:t>t</w:t>
      </w:r>
      <w:proofErr w:type="spellEnd"/>
      <w:r w:rsidR="00C41C7C" w:rsidRPr="003676CD">
        <w:rPr>
          <w:i/>
          <w:sz w:val="16"/>
          <w:szCs w:val="16"/>
        </w:rPr>
        <w:t xml:space="preserve"> = abatement from forthcoming ERF projects</w:t>
      </w:r>
      <w:r w:rsidR="00C9294D">
        <w:rPr>
          <w:i/>
          <w:sz w:val="16"/>
          <w:szCs w:val="16"/>
        </w:rPr>
        <w:t xml:space="preserve"> in year t</w:t>
      </w:r>
      <w:r w:rsidR="00C41C7C" w:rsidRPr="003676CD">
        <w:rPr>
          <w:i/>
          <w:sz w:val="16"/>
          <w:szCs w:val="16"/>
        </w:rPr>
        <w:t xml:space="preserve"> (</w:t>
      </w:r>
      <w:r w:rsidR="00651598">
        <w:rPr>
          <w:i/>
          <w:sz w:val="16"/>
          <w:szCs w:val="16"/>
        </w:rPr>
        <w:t>M</w:t>
      </w:r>
      <w:r w:rsidR="00C41C7C" w:rsidRPr="003676CD">
        <w:rPr>
          <w:i/>
          <w:sz w:val="16"/>
          <w:szCs w:val="16"/>
        </w:rPr>
        <w:t>t CO</w:t>
      </w:r>
      <w:r w:rsidR="00C41C7C" w:rsidRPr="003676CD">
        <w:rPr>
          <w:i/>
          <w:sz w:val="16"/>
          <w:szCs w:val="16"/>
          <w:vertAlign w:val="subscript"/>
        </w:rPr>
        <w:t>2</w:t>
      </w:r>
      <w:r w:rsidR="00C41C7C" w:rsidRPr="003676CD">
        <w:rPr>
          <w:i/>
          <w:sz w:val="16"/>
          <w:szCs w:val="16"/>
        </w:rPr>
        <w:t>-e)</w:t>
      </w:r>
    </w:p>
    <w:p w14:paraId="407986D7" w14:textId="345293BE" w:rsidR="0055314F" w:rsidRDefault="00C41C7C" w:rsidP="006C594D">
      <w:r w:rsidRPr="006C594D">
        <w:rPr>
          <w:i/>
          <w:sz w:val="16"/>
          <w:szCs w:val="16"/>
          <w:highlight w:val="yellow"/>
        </w:rPr>
        <w:br/>
      </w:r>
      <w:r w:rsidR="006C594D">
        <w:t>The e</w:t>
      </w:r>
      <w:r w:rsidR="0055314F">
        <w:t>mission</w:t>
      </w:r>
      <w:r w:rsidR="00C2368F">
        <w:t>s</w:t>
      </w:r>
      <w:r w:rsidR="0055314F">
        <w:t xml:space="preserve"> intensity of</w:t>
      </w:r>
      <w:r w:rsidR="006C594D">
        <w:t xml:space="preserve"> coal mine</w:t>
      </w:r>
      <w:r w:rsidR="00D7185D">
        <w:t>s</w:t>
      </w:r>
      <w:r w:rsidR="006C594D">
        <w:t xml:space="preserve"> </w:t>
      </w:r>
      <w:r w:rsidR="0036200C">
        <w:t>includes</w:t>
      </w:r>
      <w:r w:rsidR="006C594D">
        <w:t xml:space="preserve"> all</w:t>
      </w:r>
      <w:r w:rsidR="0036200C">
        <w:t xml:space="preserve"> sources of fugitive emissions</w:t>
      </w:r>
      <w:r w:rsidR="006C594D">
        <w:t xml:space="preserve"> </w:t>
      </w:r>
      <w:r w:rsidR="00651598">
        <w:t xml:space="preserve">from </w:t>
      </w:r>
      <w:r w:rsidR="00D74905">
        <w:t xml:space="preserve">vented </w:t>
      </w:r>
      <w:r w:rsidR="006433D4">
        <w:t>methane and carbon dioxide,</w:t>
      </w:r>
      <w:r w:rsidR="006C594D">
        <w:t xml:space="preserve"> </w:t>
      </w:r>
      <w:r w:rsidR="006433D4">
        <w:t>flaring and post min</w:t>
      </w:r>
      <w:r w:rsidR="006C594D">
        <w:t>ing</w:t>
      </w:r>
      <w:r w:rsidR="006433D4">
        <w:t>.</w:t>
      </w:r>
      <w:r w:rsidR="006C594D">
        <w:t xml:space="preserve"> For mines </w:t>
      </w:r>
      <w:r w:rsidR="00D74905">
        <w:t>that are operating in 2015 or 2016 the</w:t>
      </w:r>
      <w:r w:rsidR="006C594D">
        <w:t xml:space="preserve"> emissions intensity is</w:t>
      </w:r>
      <w:r w:rsidR="00270C04">
        <w:t xml:space="preserve"> </w:t>
      </w:r>
      <w:r w:rsidR="006C594D">
        <w:t>sourced from the latest</w:t>
      </w:r>
      <w:r w:rsidR="00642716">
        <w:t xml:space="preserve"> </w:t>
      </w:r>
      <w:r w:rsidR="003067BD">
        <w:t>n</w:t>
      </w:r>
      <w:r w:rsidR="0036200C" w:rsidRPr="00FB329E">
        <w:t xml:space="preserve">ational greenhouse gas </w:t>
      </w:r>
      <w:r w:rsidR="006C594D" w:rsidRPr="00FB329E">
        <w:t>inventory</w:t>
      </w:r>
      <w:r w:rsidR="006C594D">
        <w:t xml:space="preserve"> data</w:t>
      </w:r>
      <w:r w:rsidR="00CA08EF">
        <w:t xml:space="preserve"> </w:t>
      </w:r>
      <w:r w:rsidR="00C9294D">
        <w:t>which is based on</w:t>
      </w:r>
      <w:r w:rsidR="0036200C">
        <w:t xml:space="preserve"> company data reported under </w:t>
      </w:r>
      <w:r w:rsidR="006C594D">
        <w:t xml:space="preserve">the </w:t>
      </w:r>
      <w:r w:rsidR="00362604">
        <w:t>NGER s</w:t>
      </w:r>
      <w:r w:rsidR="006C594D">
        <w:t xml:space="preserve">cheme. </w:t>
      </w:r>
      <w:r w:rsidR="006433D4">
        <w:t>For prospective coal mines emission intensities are</w:t>
      </w:r>
      <w:r w:rsidR="00D74905">
        <w:t xml:space="preserve"> sourced from</w:t>
      </w:r>
      <w:r>
        <w:t xml:space="preserve"> </w:t>
      </w:r>
      <w:r w:rsidR="00D74905">
        <w:t>Environmental Impact</w:t>
      </w:r>
      <w:r>
        <w:t xml:space="preserve"> Statement</w:t>
      </w:r>
      <w:r w:rsidR="00C9294D">
        <w:t>s</w:t>
      </w:r>
      <w:r w:rsidR="0036200C">
        <w:t xml:space="preserve"> or are the average for currently operating mines in the same coal basin</w:t>
      </w:r>
      <w:r w:rsidR="006433D4">
        <w:t>.</w:t>
      </w:r>
    </w:p>
    <w:p w14:paraId="02E5CE63" w14:textId="5071CAB8" w:rsidR="00C9294D" w:rsidRDefault="006433D4" w:rsidP="00C9294D">
      <w:r>
        <w:t xml:space="preserve">Mine-by-mine production </w:t>
      </w:r>
      <w:r w:rsidR="006C594D">
        <w:t xml:space="preserve">estimates </w:t>
      </w:r>
      <w:r w:rsidR="00651598">
        <w:t xml:space="preserve">for existing and new mines </w:t>
      </w:r>
      <w:r w:rsidR="006C594D">
        <w:t>are informed by</w:t>
      </w:r>
      <w:r w:rsidR="003067BD">
        <w:t xml:space="preserve"> </w:t>
      </w:r>
      <w:r w:rsidR="009E75DB">
        <w:t xml:space="preserve">the </w:t>
      </w:r>
      <w:r w:rsidR="003067BD">
        <w:t xml:space="preserve">OCE </w:t>
      </w:r>
      <w:r w:rsidR="006C594D">
        <w:t>and A</w:t>
      </w:r>
      <w:r>
        <w:t>ME Group</w:t>
      </w:r>
      <w:r w:rsidR="00651598">
        <w:t xml:space="preserve"> estimates</w:t>
      </w:r>
      <w:r w:rsidR="006C594D">
        <w:t>. Production is separately calculated for thermal and coking coal</w:t>
      </w:r>
      <w:r w:rsidR="00C41C7C">
        <w:t xml:space="preserve"> production</w:t>
      </w:r>
      <w:r w:rsidR="0036200C">
        <w:t xml:space="preserve"> at each mine</w:t>
      </w:r>
      <w:r w:rsidR="006C594D">
        <w:t xml:space="preserve">. </w:t>
      </w:r>
    </w:p>
    <w:p w14:paraId="46911028" w14:textId="5E784F60" w:rsidR="00C41C7C" w:rsidRDefault="00C41C7C" w:rsidP="00270C04">
      <w:r>
        <w:t>P</w:t>
      </w:r>
      <w:r w:rsidR="006C594D">
        <w:t>roduction</w:t>
      </w:r>
      <w:r>
        <w:t xml:space="preserve"> fr</w:t>
      </w:r>
      <w:r w:rsidR="0036200C">
        <w:t>om</w:t>
      </w:r>
      <w:r>
        <w:t xml:space="preserve"> prospective new mines </w:t>
      </w:r>
      <w:r w:rsidR="00D7185D">
        <w:t xml:space="preserve">is </w:t>
      </w:r>
      <w:r>
        <w:t xml:space="preserve">scaled down </w:t>
      </w:r>
      <w:r w:rsidR="00C177C2">
        <w:t xml:space="preserve">so that total </w:t>
      </w:r>
      <w:r>
        <w:t>Australian</w:t>
      </w:r>
      <w:r w:rsidR="006C594D">
        <w:t xml:space="preserve"> production is equal to </w:t>
      </w:r>
      <w:r w:rsidR="003067BD">
        <w:t>International Energy Agency (IEA)</w:t>
      </w:r>
      <w:r w:rsidR="00C177C2">
        <w:t xml:space="preserve"> estimates</w:t>
      </w:r>
      <w:r w:rsidR="006C594D">
        <w:t>.</w:t>
      </w:r>
      <w:r w:rsidR="00C9294D">
        <w:t xml:space="preserve"> The IEA supplies the Department with projections of thermal and coking coal production consistent with the New Policies Scenario in the </w:t>
      </w:r>
      <w:r w:rsidR="00651598" w:rsidRPr="00362604">
        <w:rPr>
          <w:i/>
        </w:rPr>
        <w:t>2017</w:t>
      </w:r>
      <w:r w:rsidR="00C9294D" w:rsidRPr="00362604">
        <w:rPr>
          <w:i/>
        </w:rPr>
        <w:t xml:space="preserve"> World Energy Outlook</w:t>
      </w:r>
      <w:r w:rsidR="00CA08EF">
        <w:t xml:space="preserve"> (</w:t>
      </w:r>
      <w:r w:rsidR="0005523B">
        <w:t>IEA 2017)</w:t>
      </w:r>
      <w:r w:rsidR="00C9294D">
        <w:t>.</w:t>
      </w:r>
      <w:r>
        <w:t xml:space="preserve"> All prospective coal mines are scaled back at an equivalent rate, the projections do not make decisions on which prospective mines would and would not proceed.</w:t>
      </w:r>
      <w:r w:rsidR="006C594D">
        <w:t xml:space="preserve"> </w:t>
      </w:r>
      <w:r>
        <w:t xml:space="preserve">Scaling is undertaken for thermal and coking coal separately. </w:t>
      </w:r>
    </w:p>
    <w:p w14:paraId="7165D176" w14:textId="711D0FC4" w:rsidR="006C594D" w:rsidRDefault="00883BD2" w:rsidP="00436DF9">
      <w:r>
        <w:t>Production</w:t>
      </w:r>
      <w:r w:rsidR="00C41C7C">
        <w:t xml:space="preserve"> from brown coal </w:t>
      </w:r>
      <w:r w:rsidR="00270C04">
        <w:t>mines</w:t>
      </w:r>
      <w:r w:rsidR="00C9294D">
        <w:t xml:space="preserve"> is </w:t>
      </w:r>
      <w:r w:rsidR="00C2368F">
        <w:t>sourced</w:t>
      </w:r>
      <w:r w:rsidR="00C9294D">
        <w:t xml:space="preserve"> from the </w:t>
      </w:r>
      <w:r w:rsidR="00270C04" w:rsidRPr="00774171">
        <w:rPr>
          <w:i/>
        </w:rPr>
        <w:t xml:space="preserve">electricity </w:t>
      </w:r>
      <w:r w:rsidR="00C9294D" w:rsidRPr="000034C2">
        <w:rPr>
          <w:i/>
        </w:rPr>
        <w:t>sector</w:t>
      </w:r>
      <w:r w:rsidR="00C9294D">
        <w:t xml:space="preserve"> </w:t>
      </w:r>
      <w:r w:rsidR="00270C04">
        <w:t>model.</w:t>
      </w:r>
    </w:p>
    <w:p w14:paraId="74982DDF" w14:textId="717891B9" w:rsidR="006433D4" w:rsidRDefault="00883BD2" w:rsidP="00270C04">
      <w:r>
        <w:t xml:space="preserve">The </w:t>
      </w:r>
      <w:r w:rsidR="004F441E">
        <w:rPr>
          <w:rFonts w:cs="Arial"/>
        </w:rPr>
        <w:t>E</w:t>
      </w:r>
      <w:r w:rsidR="009E75DB">
        <w:rPr>
          <w:rFonts w:cs="Arial"/>
        </w:rPr>
        <w:t xml:space="preserve">RF </w:t>
      </w:r>
      <w:r>
        <w:t xml:space="preserve">has contracted </w:t>
      </w:r>
      <w:r w:rsidR="0024181A">
        <w:t>abatement</w:t>
      </w:r>
      <w:r>
        <w:t xml:space="preserve"> from coal mine waste gas capture projects. Abatement from projects are subtracted from the coal </w:t>
      </w:r>
      <w:proofErr w:type="gramStart"/>
      <w:r>
        <w:t>fugitive</w:t>
      </w:r>
      <w:r w:rsidR="00DE76E7">
        <w:t>s</w:t>
      </w:r>
      <w:proofErr w:type="gramEnd"/>
      <w:r>
        <w:t xml:space="preserve"> projection. </w:t>
      </w:r>
    </w:p>
    <w:p w14:paraId="5B7AE6C8" w14:textId="7A234889" w:rsidR="002C3AB7" w:rsidRPr="002C3AB7" w:rsidRDefault="002C3AB7" w:rsidP="00436DF9">
      <w:pPr>
        <w:rPr>
          <w:i/>
          <w:u w:val="single"/>
        </w:rPr>
      </w:pPr>
      <w:r w:rsidRPr="002C3AB7">
        <w:rPr>
          <w:i/>
          <w:u w:val="single"/>
        </w:rPr>
        <w:t>Abandoned coal mines</w:t>
      </w:r>
    </w:p>
    <w:p w14:paraId="670EAA9D" w14:textId="397B61FD" w:rsidR="001A7BF0" w:rsidRDefault="001A7BF0" w:rsidP="00C808FE">
      <w:r>
        <w:t xml:space="preserve">Methane emissions occur under certain </w:t>
      </w:r>
      <w:r w:rsidR="0055314F">
        <w:t>conditions</w:t>
      </w:r>
      <w:r>
        <w:t xml:space="preserve"> following</w:t>
      </w:r>
      <w:r w:rsidR="0024181A">
        <w:t xml:space="preserve"> the</w:t>
      </w:r>
      <w:r>
        <w:t xml:space="preserve"> closure of underground coal mines. </w:t>
      </w:r>
      <w:r w:rsidR="00C177C2">
        <w:t xml:space="preserve">Emissions are estimated using </w:t>
      </w:r>
      <w:r w:rsidR="00C9294D">
        <w:t>a</w:t>
      </w:r>
      <w:r w:rsidR="00C177C2">
        <w:t xml:space="preserve"> mine-by-mine</w:t>
      </w:r>
      <w:r w:rsidR="0024181A">
        <w:t xml:space="preserve"> model </w:t>
      </w:r>
      <w:r w:rsidR="00C9294D">
        <w:t>developed for</w:t>
      </w:r>
      <w:r w:rsidR="007B7D6E">
        <w:t xml:space="preserve"> the </w:t>
      </w:r>
      <w:r w:rsidR="009E75DB">
        <w:t>n</w:t>
      </w:r>
      <w:r w:rsidRPr="00FB329E">
        <w:t xml:space="preserve">ational </w:t>
      </w:r>
      <w:r w:rsidR="00642716" w:rsidRPr="00FB329E">
        <w:t>greenhouse gas i</w:t>
      </w:r>
      <w:r w:rsidR="0024181A" w:rsidRPr="00FB329E">
        <w:t>nventory</w:t>
      </w:r>
      <w:r w:rsidR="007B7D6E">
        <w:t xml:space="preserve">. </w:t>
      </w:r>
      <w:r w:rsidR="00C177C2">
        <w:t>The model is extended to include projected closures of</w:t>
      </w:r>
      <w:r w:rsidR="0024181A">
        <w:t xml:space="preserve"> underground coal mines</w:t>
      </w:r>
      <w:r w:rsidR="00C177C2">
        <w:t xml:space="preserve"> to 2030</w:t>
      </w:r>
      <w:r w:rsidR="0024181A">
        <w:t>.</w:t>
      </w:r>
    </w:p>
    <w:p w14:paraId="440BE62C" w14:textId="5CA48FC7" w:rsidR="007D5B02" w:rsidRPr="00730A73" w:rsidRDefault="007D5B02" w:rsidP="007D5B02">
      <w:pPr>
        <w:rPr>
          <w:vertAlign w:val="subscript"/>
        </w:rPr>
      </w:pPr>
      <w:r w:rsidRPr="003676CD">
        <w:rPr>
          <w:i/>
        </w:rPr>
        <w:t>E</w:t>
      </w:r>
      <w:r w:rsidR="00C9294D">
        <w:rPr>
          <w:i/>
          <w:vertAlign w:val="subscript"/>
        </w:rPr>
        <w:t>t</w:t>
      </w:r>
      <w:r w:rsidRPr="003676CD">
        <w:rPr>
          <w:i/>
        </w:rPr>
        <w:t xml:space="preserve"> = </w:t>
      </w:r>
      <w:r w:rsidRPr="00730A73">
        <w:rPr>
          <w:rFonts w:cs="Arial"/>
          <w:i/>
        </w:rPr>
        <w:t>∑</w:t>
      </w:r>
      <w:r w:rsidRPr="00730A73">
        <w:t xml:space="preserve"> </w:t>
      </w:r>
      <w:r>
        <w:t>(</w:t>
      </w:r>
      <w:r w:rsidRPr="00730A73">
        <w:t>(</w:t>
      </w:r>
      <w:proofErr w:type="spellStart"/>
      <w:proofErr w:type="gramStart"/>
      <w:r w:rsidRPr="00730A73">
        <w:t>E</w:t>
      </w:r>
      <w:r w:rsidR="00C9294D">
        <w:t>D</w:t>
      </w:r>
      <w:r>
        <w:rPr>
          <w:vertAlign w:val="subscript"/>
        </w:rPr>
        <w:t>i</w:t>
      </w:r>
      <w:proofErr w:type="spellEnd"/>
      <w:r w:rsidRPr="00730A73">
        <w:t xml:space="preserve"> .</w:t>
      </w:r>
      <w:proofErr w:type="gramEnd"/>
      <w:r w:rsidRPr="00730A73">
        <w:t xml:space="preserve"> </w:t>
      </w:r>
      <w:proofErr w:type="spellStart"/>
      <w:proofErr w:type="gramStart"/>
      <w:r w:rsidRPr="00730A73">
        <w:t>EF</w:t>
      </w:r>
      <w:r>
        <w:rPr>
          <w:vertAlign w:val="subscript"/>
        </w:rPr>
        <w:t>i</w:t>
      </w:r>
      <w:proofErr w:type="spellEnd"/>
      <w:r w:rsidRPr="00730A73">
        <w:t xml:space="preserve"> .</w:t>
      </w:r>
      <w:proofErr w:type="gramEnd"/>
      <w:r w:rsidRPr="00730A73">
        <w:t xml:space="preserve"> (1 - </w:t>
      </w:r>
      <w:proofErr w:type="gramStart"/>
      <w:r w:rsidRPr="00730A73">
        <w:t>F</w:t>
      </w:r>
      <w:r>
        <w:rPr>
          <w:vertAlign w:val="subscript"/>
        </w:rPr>
        <w:t>i</w:t>
      </w:r>
      <w:r w:rsidR="00C9294D">
        <w:rPr>
          <w:vertAlign w:val="subscript"/>
        </w:rPr>
        <w:t>t</w:t>
      </w:r>
      <w:r w:rsidRPr="00730A73">
        <w:t xml:space="preserve"> )</w:t>
      </w:r>
      <w:proofErr w:type="gramEnd"/>
      <w:r w:rsidRPr="00730A73">
        <w:t xml:space="preserve">) - </w:t>
      </w:r>
      <w:proofErr w:type="spellStart"/>
      <w:r w:rsidRPr="00730A73">
        <w:t>E</w:t>
      </w:r>
      <w:r w:rsidR="00C9294D">
        <w:t>R</w:t>
      </w:r>
      <w:r>
        <w:rPr>
          <w:vertAlign w:val="subscript"/>
        </w:rPr>
        <w:t>i</w:t>
      </w:r>
      <w:r w:rsidR="00C9294D">
        <w:rPr>
          <w:vertAlign w:val="subscript"/>
        </w:rPr>
        <w:t>t</w:t>
      </w:r>
      <w:proofErr w:type="spellEnd"/>
      <w:r w:rsidRPr="00730A73">
        <w:t>)</w:t>
      </w:r>
    </w:p>
    <w:p w14:paraId="7837BF70" w14:textId="77777777" w:rsidR="00C9294D" w:rsidRDefault="007D5B02" w:rsidP="007D5B02">
      <w:pPr>
        <w:autoSpaceDE w:val="0"/>
        <w:autoSpaceDN w:val="0"/>
        <w:adjustRightInd w:val="0"/>
        <w:spacing w:after="0" w:line="240" w:lineRule="auto"/>
        <w:rPr>
          <w:rFonts w:ascii="MyriadPro-Regular" w:hAnsi="MyriadPro-Regular" w:cs="MyriadPro-Regular"/>
          <w:sz w:val="18"/>
          <w:szCs w:val="18"/>
          <w:lang w:eastAsia="en-AU"/>
        </w:rPr>
      </w:pPr>
      <w:r w:rsidRPr="00730A73">
        <w:rPr>
          <w:rFonts w:ascii="MyriadPro-Regular" w:hAnsi="MyriadPro-Regular" w:cs="MyriadPro-Regular"/>
          <w:sz w:val="18"/>
          <w:szCs w:val="18"/>
          <w:lang w:eastAsia="en-AU"/>
        </w:rPr>
        <w:t>Where</w:t>
      </w:r>
      <w:r w:rsidR="00C9294D">
        <w:rPr>
          <w:rFonts w:ascii="MyriadPro-Regular" w:hAnsi="MyriadPro-Regular" w:cs="MyriadPro-Regular"/>
          <w:sz w:val="18"/>
          <w:szCs w:val="18"/>
          <w:lang w:eastAsia="en-AU"/>
        </w:rPr>
        <w:t>:</w:t>
      </w:r>
      <w:r w:rsidRPr="00730A73">
        <w:rPr>
          <w:rFonts w:ascii="MyriadPro-Regular" w:hAnsi="MyriadPro-Regular" w:cs="MyriadPro-Regular"/>
          <w:sz w:val="18"/>
          <w:szCs w:val="18"/>
          <w:lang w:eastAsia="en-AU"/>
        </w:rPr>
        <w:t xml:space="preserve"> </w:t>
      </w:r>
    </w:p>
    <w:p w14:paraId="178A0585" w14:textId="1D7012C5" w:rsidR="007D5B02" w:rsidRPr="00730A73" w:rsidRDefault="007D5B02" w:rsidP="007D5B02">
      <w:pPr>
        <w:autoSpaceDE w:val="0"/>
        <w:autoSpaceDN w:val="0"/>
        <w:adjustRightInd w:val="0"/>
        <w:spacing w:after="0" w:line="240" w:lineRule="auto"/>
        <w:rPr>
          <w:rFonts w:ascii="MyriadPro-Regular" w:hAnsi="MyriadPro-Regular" w:cs="MyriadPro-Regular"/>
          <w:sz w:val="18"/>
          <w:szCs w:val="18"/>
          <w:lang w:eastAsia="en-AU"/>
        </w:rPr>
      </w:pPr>
      <w:proofErr w:type="gramStart"/>
      <w:r w:rsidRPr="00730A73">
        <w:rPr>
          <w:rFonts w:ascii="MyriadPro-Regular" w:hAnsi="MyriadPro-Regular" w:cs="MyriadPro-Regular"/>
          <w:sz w:val="18"/>
          <w:szCs w:val="18"/>
          <w:lang w:eastAsia="en-AU"/>
        </w:rPr>
        <w:t>E</w:t>
      </w:r>
      <w:r w:rsidR="00C9294D">
        <w:rPr>
          <w:rFonts w:ascii="MyriadPro-Regular" w:hAnsi="MyriadPro-Regular" w:cs="MyriadPro-Regular"/>
          <w:sz w:val="18"/>
          <w:szCs w:val="18"/>
          <w:vertAlign w:val="subscript"/>
          <w:lang w:eastAsia="en-AU"/>
        </w:rPr>
        <w:t>t</w:t>
      </w:r>
      <w:proofErr w:type="gramEnd"/>
      <w:r w:rsidRPr="00730A73">
        <w:rPr>
          <w:rFonts w:ascii="MyriadPro-Regular" w:hAnsi="MyriadPro-Regular" w:cs="MyriadPro-Regular"/>
          <w:sz w:val="10"/>
          <w:szCs w:val="10"/>
          <w:lang w:eastAsia="en-AU"/>
        </w:rPr>
        <w:t xml:space="preserve"> </w:t>
      </w:r>
      <w:r w:rsidR="009E75DB">
        <w:rPr>
          <w:rFonts w:ascii="MyriadPro-Regular" w:hAnsi="MyriadPro-Regular" w:cs="MyriadPro-Regular"/>
          <w:sz w:val="18"/>
          <w:szCs w:val="18"/>
          <w:lang w:eastAsia="en-AU"/>
        </w:rPr>
        <w:t>=</w:t>
      </w:r>
      <w:r w:rsidRPr="00730A73">
        <w:rPr>
          <w:rFonts w:ascii="MyriadPro-Regular" w:hAnsi="MyriadPro-Regular" w:cs="MyriadPro-Regular"/>
          <w:sz w:val="18"/>
          <w:szCs w:val="18"/>
          <w:lang w:eastAsia="en-AU"/>
        </w:rPr>
        <w:t xml:space="preserve"> emissions </w:t>
      </w:r>
      <w:r>
        <w:rPr>
          <w:rFonts w:ascii="MyriadPro-Regular" w:hAnsi="MyriadPro-Regular" w:cs="MyriadPro-Regular"/>
          <w:sz w:val="18"/>
          <w:szCs w:val="18"/>
          <w:lang w:eastAsia="en-AU"/>
        </w:rPr>
        <w:t>from abandoned coal mines</w:t>
      </w:r>
      <w:r w:rsidR="00C9294D">
        <w:rPr>
          <w:rFonts w:ascii="MyriadPro-Regular" w:hAnsi="MyriadPro-Regular" w:cs="MyriadPro-Regular"/>
          <w:sz w:val="18"/>
          <w:szCs w:val="18"/>
          <w:lang w:eastAsia="en-AU"/>
        </w:rPr>
        <w:t xml:space="preserve"> in year t</w:t>
      </w:r>
      <w:r w:rsidR="00C177C2" w:rsidRPr="00730A73">
        <w:rPr>
          <w:rFonts w:ascii="MyriadPro-Regular" w:hAnsi="MyriadPro-Regular" w:cs="MyriadPro-Regular"/>
          <w:sz w:val="18"/>
          <w:szCs w:val="18"/>
          <w:lang w:eastAsia="en-AU"/>
        </w:rPr>
        <w:t xml:space="preserve"> (</w:t>
      </w:r>
      <w:r w:rsidR="00651598">
        <w:rPr>
          <w:rFonts w:ascii="MyriadPro-Regular" w:hAnsi="MyriadPro-Regular" w:cs="MyriadPro-Regular"/>
          <w:sz w:val="18"/>
          <w:szCs w:val="18"/>
          <w:lang w:eastAsia="en-AU"/>
        </w:rPr>
        <w:t>M</w:t>
      </w:r>
      <w:r w:rsidR="00C177C2" w:rsidRPr="00730A73">
        <w:rPr>
          <w:rFonts w:ascii="MyriadPro-Regular" w:hAnsi="MyriadPro-Regular" w:cs="MyriadPro-Regular"/>
          <w:sz w:val="18"/>
          <w:szCs w:val="18"/>
          <w:lang w:eastAsia="en-AU"/>
        </w:rPr>
        <w:t xml:space="preserve">t </w:t>
      </w:r>
      <w:r w:rsidR="00C177C2">
        <w:rPr>
          <w:rFonts w:ascii="MyriadPro-Regular" w:hAnsi="MyriadPro-Regular" w:cs="MyriadPro-Regular"/>
          <w:sz w:val="18"/>
          <w:szCs w:val="18"/>
          <w:lang w:eastAsia="en-AU"/>
        </w:rPr>
        <w:t>CO</w:t>
      </w:r>
      <w:r w:rsidR="00C177C2" w:rsidRPr="00C177C2">
        <w:rPr>
          <w:rFonts w:ascii="MyriadPro-Regular" w:hAnsi="MyriadPro-Regular" w:cs="MyriadPro-Regular"/>
          <w:sz w:val="18"/>
          <w:szCs w:val="18"/>
          <w:vertAlign w:val="subscript"/>
          <w:lang w:eastAsia="en-AU"/>
        </w:rPr>
        <w:t>2</w:t>
      </w:r>
      <w:r w:rsidR="00C177C2">
        <w:rPr>
          <w:rFonts w:ascii="MyriadPro-Regular" w:hAnsi="MyriadPro-Regular" w:cs="MyriadPro-Regular"/>
          <w:sz w:val="18"/>
          <w:szCs w:val="18"/>
          <w:lang w:eastAsia="en-AU"/>
        </w:rPr>
        <w:t>-e</w:t>
      </w:r>
      <w:r w:rsidR="00C177C2" w:rsidRPr="00730A73">
        <w:rPr>
          <w:rFonts w:ascii="MyriadPro-Regular" w:hAnsi="MyriadPro-Regular" w:cs="MyriadPro-Regular"/>
          <w:sz w:val="18"/>
          <w:szCs w:val="18"/>
          <w:lang w:eastAsia="en-AU"/>
        </w:rPr>
        <w:t>)</w:t>
      </w:r>
    </w:p>
    <w:p w14:paraId="2502897F" w14:textId="06D586A7" w:rsidR="007D5B02" w:rsidRPr="00730A73" w:rsidRDefault="007D5B02" w:rsidP="007D5B02">
      <w:pPr>
        <w:autoSpaceDE w:val="0"/>
        <w:autoSpaceDN w:val="0"/>
        <w:adjustRightInd w:val="0"/>
        <w:spacing w:after="0" w:line="240" w:lineRule="auto"/>
        <w:rPr>
          <w:rFonts w:ascii="MyriadPro-Regular" w:hAnsi="MyriadPro-Regular" w:cs="MyriadPro-Regular"/>
          <w:sz w:val="18"/>
          <w:szCs w:val="18"/>
          <w:lang w:eastAsia="en-AU"/>
        </w:rPr>
      </w:pPr>
      <w:proofErr w:type="spellStart"/>
      <w:r w:rsidRPr="00730A73">
        <w:rPr>
          <w:rFonts w:ascii="MyriadPro-Regular" w:hAnsi="MyriadPro-Regular" w:cs="MyriadPro-Regular"/>
          <w:sz w:val="18"/>
          <w:szCs w:val="18"/>
          <w:lang w:eastAsia="en-AU"/>
        </w:rPr>
        <w:t>E</w:t>
      </w:r>
      <w:r>
        <w:rPr>
          <w:rFonts w:ascii="MyriadPro-Regular" w:hAnsi="MyriadPro-Regular" w:cs="MyriadPro-Regular"/>
          <w:sz w:val="10"/>
          <w:szCs w:val="10"/>
          <w:lang w:eastAsia="en-AU"/>
        </w:rPr>
        <w:t>i</w:t>
      </w:r>
      <w:r w:rsidR="00651598">
        <w:rPr>
          <w:rFonts w:ascii="MyriadPro-Regular" w:hAnsi="MyriadPro-Regular" w:cs="MyriadPro-Regular"/>
          <w:sz w:val="10"/>
          <w:szCs w:val="10"/>
          <w:lang w:eastAsia="en-AU"/>
        </w:rPr>
        <w:t>d</w:t>
      </w:r>
      <w:proofErr w:type="spellEnd"/>
      <w:r w:rsidRPr="00730A73">
        <w:rPr>
          <w:rFonts w:ascii="MyriadPro-Regular" w:hAnsi="MyriadPro-Regular" w:cs="MyriadPro-Regular"/>
          <w:sz w:val="10"/>
          <w:szCs w:val="10"/>
          <w:lang w:eastAsia="en-AU"/>
        </w:rPr>
        <w:t xml:space="preserve"> </w:t>
      </w:r>
      <w:r w:rsidR="009E75DB">
        <w:rPr>
          <w:rFonts w:ascii="MyriadPro-Regular" w:hAnsi="MyriadPro-Regular" w:cs="MyriadPro-Regular"/>
          <w:sz w:val="18"/>
          <w:szCs w:val="18"/>
          <w:lang w:eastAsia="en-AU"/>
        </w:rPr>
        <w:t>=</w:t>
      </w:r>
      <w:r w:rsidRPr="00730A73">
        <w:rPr>
          <w:rFonts w:ascii="MyriadPro-Regular" w:hAnsi="MyriadPro-Regular" w:cs="MyriadPro-Regular"/>
          <w:sz w:val="18"/>
          <w:szCs w:val="18"/>
          <w:lang w:eastAsia="en-AU"/>
        </w:rPr>
        <w:t xml:space="preserve"> annual emission</w:t>
      </w:r>
      <w:r w:rsidR="00C9294D">
        <w:rPr>
          <w:rFonts w:ascii="MyriadPro-Regular" w:hAnsi="MyriadPro-Regular" w:cs="MyriadPro-Regular"/>
          <w:sz w:val="18"/>
          <w:szCs w:val="18"/>
          <w:lang w:eastAsia="en-AU"/>
        </w:rPr>
        <w:t>s</w:t>
      </w:r>
      <w:r w:rsidRPr="00730A73">
        <w:rPr>
          <w:rFonts w:ascii="MyriadPro-Regular" w:hAnsi="MyriadPro-Regular" w:cs="MyriadPro-Regular"/>
          <w:sz w:val="18"/>
          <w:szCs w:val="18"/>
          <w:lang w:eastAsia="en-AU"/>
        </w:rPr>
        <w:t xml:space="preserve"> of mine</w:t>
      </w:r>
      <w:r w:rsidR="00C9294D">
        <w:rPr>
          <w:rFonts w:ascii="MyriadPro-Regular" w:hAnsi="MyriadPro-Regular" w:cs="MyriadPro-Regular"/>
          <w:sz w:val="18"/>
          <w:szCs w:val="18"/>
          <w:lang w:eastAsia="en-AU"/>
        </w:rPr>
        <w:t xml:space="preserve"> </w:t>
      </w:r>
      <w:proofErr w:type="spellStart"/>
      <w:r w:rsidR="00C9294D">
        <w:rPr>
          <w:rFonts w:ascii="MyriadPro-Regular" w:hAnsi="MyriadPro-Regular" w:cs="MyriadPro-Regular"/>
          <w:sz w:val="18"/>
          <w:szCs w:val="18"/>
          <w:lang w:eastAsia="en-AU"/>
        </w:rPr>
        <w:t>i</w:t>
      </w:r>
      <w:proofErr w:type="spellEnd"/>
      <w:r w:rsidRPr="00730A73">
        <w:rPr>
          <w:rFonts w:ascii="MyriadPro-Regular" w:hAnsi="MyriadPro-Regular" w:cs="MyriadPro-Regular"/>
          <w:sz w:val="18"/>
          <w:szCs w:val="18"/>
          <w:lang w:eastAsia="en-AU"/>
        </w:rPr>
        <w:t xml:space="preserve"> </w:t>
      </w:r>
      <w:r w:rsidR="00651598">
        <w:rPr>
          <w:rFonts w:ascii="MyriadPro-Regular" w:hAnsi="MyriadPro-Regular" w:cs="MyriadPro-Regular"/>
          <w:sz w:val="18"/>
          <w:szCs w:val="18"/>
          <w:lang w:eastAsia="en-AU"/>
        </w:rPr>
        <w:t xml:space="preserve">in the year </w:t>
      </w:r>
      <w:r w:rsidR="00C9294D">
        <w:rPr>
          <w:rFonts w:ascii="MyriadPro-Regular" w:hAnsi="MyriadPro-Regular" w:cs="MyriadPro-Regular"/>
          <w:sz w:val="18"/>
          <w:szCs w:val="18"/>
          <w:lang w:eastAsia="en-AU"/>
        </w:rPr>
        <w:t>before</w:t>
      </w:r>
      <w:r w:rsidRPr="00730A73">
        <w:rPr>
          <w:rFonts w:ascii="MyriadPro-Regular" w:hAnsi="MyriadPro-Regular" w:cs="MyriadPro-Regular"/>
          <w:sz w:val="18"/>
          <w:szCs w:val="18"/>
          <w:lang w:eastAsia="en-AU"/>
        </w:rPr>
        <w:t xml:space="preserve"> dec</w:t>
      </w:r>
      <w:r>
        <w:rPr>
          <w:rFonts w:ascii="MyriadPro-Regular" w:hAnsi="MyriadPro-Regular" w:cs="MyriadPro-Regular"/>
          <w:sz w:val="18"/>
          <w:szCs w:val="18"/>
          <w:lang w:eastAsia="en-AU"/>
        </w:rPr>
        <w:t xml:space="preserve">ommissioning </w:t>
      </w:r>
      <w:r w:rsidR="00651598">
        <w:rPr>
          <w:rFonts w:ascii="MyriadPro-Regular" w:hAnsi="MyriadPro-Regular" w:cs="MyriadPro-Regular"/>
          <w:sz w:val="18"/>
          <w:szCs w:val="18"/>
          <w:lang w:eastAsia="en-AU"/>
        </w:rPr>
        <w:t>d</w:t>
      </w:r>
      <w:r>
        <w:rPr>
          <w:rFonts w:ascii="MyriadPro-Regular" w:hAnsi="MyriadPro-Regular" w:cs="MyriadPro-Regular"/>
          <w:sz w:val="18"/>
          <w:szCs w:val="18"/>
          <w:lang w:eastAsia="en-AU"/>
        </w:rPr>
        <w:t xml:space="preserve"> (</w:t>
      </w:r>
      <w:r w:rsidR="00651598">
        <w:rPr>
          <w:rFonts w:ascii="MyriadPro-Regular" w:hAnsi="MyriadPro-Regular" w:cs="MyriadPro-Regular"/>
          <w:sz w:val="18"/>
          <w:szCs w:val="18"/>
          <w:lang w:eastAsia="en-AU"/>
        </w:rPr>
        <w:t>M</w:t>
      </w:r>
      <w:r w:rsidR="00C177C2" w:rsidRPr="00730A73">
        <w:rPr>
          <w:rFonts w:ascii="MyriadPro-Regular" w:hAnsi="MyriadPro-Regular" w:cs="MyriadPro-Regular"/>
          <w:sz w:val="18"/>
          <w:szCs w:val="18"/>
          <w:lang w:eastAsia="en-AU"/>
        </w:rPr>
        <w:t xml:space="preserve">t </w:t>
      </w:r>
      <w:r w:rsidR="00C177C2">
        <w:rPr>
          <w:rFonts w:ascii="MyriadPro-Regular" w:hAnsi="MyriadPro-Regular" w:cs="MyriadPro-Regular"/>
          <w:sz w:val="18"/>
          <w:szCs w:val="18"/>
          <w:lang w:eastAsia="en-AU"/>
        </w:rPr>
        <w:t>CO</w:t>
      </w:r>
      <w:r w:rsidR="00C177C2" w:rsidRPr="00C177C2">
        <w:rPr>
          <w:rFonts w:ascii="MyriadPro-Regular" w:hAnsi="MyriadPro-Regular" w:cs="MyriadPro-Regular"/>
          <w:sz w:val="18"/>
          <w:szCs w:val="18"/>
          <w:vertAlign w:val="subscript"/>
          <w:lang w:eastAsia="en-AU"/>
        </w:rPr>
        <w:t>2</w:t>
      </w:r>
      <w:r w:rsidR="00C177C2">
        <w:rPr>
          <w:rFonts w:ascii="MyriadPro-Regular" w:hAnsi="MyriadPro-Regular" w:cs="MyriadPro-Regular"/>
          <w:sz w:val="18"/>
          <w:szCs w:val="18"/>
          <w:lang w:eastAsia="en-AU"/>
        </w:rPr>
        <w:t>-e</w:t>
      </w:r>
      <w:r w:rsidRPr="00730A73">
        <w:rPr>
          <w:rFonts w:ascii="MyriadPro-Regular" w:hAnsi="MyriadPro-Regular" w:cs="MyriadPro-Regular"/>
          <w:sz w:val="18"/>
          <w:szCs w:val="18"/>
          <w:lang w:eastAsia="en-AU"/>
        </w:rPr>
        <w:t>)</w:t>
      </w:r>
    </w:p>
    <w:p w14:paraId="6D61A03B" w14:textId="5E8D208E" w:rsidR="007D5B02" w:rsidRPr="00730A73" w:rsidRDefault="007D5B02" w:rsidP="007D5B02">
      <w:pPr>
        <w:autoSpaceDE w:val="0"/>
        <w:autoSpaceDN w:val="0"/>
        <w:adjustRightInd w:val="0"/>
        <w:spacing w:after="0" w:line="240" w:lineRule="auto"/>
        <w:rPr>
          <w:rFonts w:ascii="MyriadPro-Regular" w:hAnsi="MyriadPro-Regular" w:cs="MyriadPro-Regular"/>
          <w:sz w:val="18"/>
          <w:szCs w:val="18"/>
          <w:lang w:eastAsia="en-AU"/>
        </w:rPr>
      </w:pPr>
      <w:proofErr w:type="spellStart"/>
      <w:r w:rsidRPr="00730A73">
        <w:rPr>
          <w:rFonts w:ascii="MyriadPro-Regular" w:hAnsi="MyriadPro-Regular" w:cs="MyriadPro-Regular"/>
          <w:sz w:val="18"/>
          <w:szCs w:val="18"/>
          <w:lang w:eastAsia="en-AU"/>
        </w:rPr>
        <w:t>EF</w:t>
      </w:r>
      <w:r>
        <w:rPr>
          <w:rFonts w:ascii="MyriadPro-Regular" w:hAnsi="MyriadPro-Regular" w:cs="MyriadPro-Regular"/>
          <w:sz w:val="10"/>
          <w:szCs w:val="10"/>
          <w:lang w:eastAsia="en-AU"/>
        </w:rPr>
        <w:t>i</w:t>
      </w:r>
      <w:r w:rsidR="00C9294D">
        <w:rPr>
          <w:rFonts w:ascii="MyriadPro-Regular" w:hAnsi="MyriadPro-Regular" w:cs="MyriadPro-Regular"/>
          <w:sz w:val="10"/>
          <w:szCs w:val="10"/>
          <w:lang w:eastAsia="en-AU"/>
        </w:rPr>
        <w:t>t</w:t>
      </w:r>
      <w:proofErr w:type="spellEnd"/>
      <w:r w:rsidRPr="00730A73">
        <w:rPr>
          <w:rFonts w:ascii="MyriadPro-Regular" w:hAnsi="MyriadPro-Regular" w:cs="MyriadPro-Regular"/>
          <w:sz w:val="10"/>
          <w:szCs w:val="10"/>
          <w:lang w:eastAsia="en-AU"/>
        </w:rPr>
        <w:t xml:space="preserve"> </w:t>
      </w:r>
      <w:r w:rsidR="009E75DB">
        <w:rPr>
          <w:rFonts w:ascii="MyriadPro-Regular" w:hAnsi="MyriadPro-Regular" w:cs="MyriadPro-Regular"/>
          <w:sz w:val="18"/>
          <w:szCs w:val="18"/>
          <w:lang w:eastAsia="en-AU"/>
        </w:rPr>
        <w:t>=</w:t>
      </w:r>
      <w:r w:rsidRPr="00730A73">
        <w:rPr>
          <w:rFonts w:ascii="MyriadPro-Regular" w:hAnsi="MyriadPro-Regular" w:cs="MyriadPro-Regular"/>
          <w:sz w:val="18"/>
          <w:szCs w:val="18"/>
          <w:lang w:eastAsia="en-AU"/>
        </w:rPr>
        <w:t xml:space="preserve"> emission factor for </w:t>
      </w:r>
      <w:r>
        <w:rPr>
          <w:rFonts w:ascii="MyriadPro-Regular" w:hAnsi="MyriadPro-Regular" w:cs="MyriadPro-Regular"/>
          <w:sz w:val="18"/>
          <w:szCs w:val="18"/>
          <w:lang w:eastAsia="en-AU"/>
        </w:rPr>
        <w:t>the</w:t>
      </w:r>
      <w:r w:rsidRPr="00730A73">
        <w:rPr>
          <w:rFonts w:ascii="MyriadPro-Regular" w:hAnsi="MyriadPro-Regular" w:cs="MyriadPro-Regular"/>
          <w:sz w:val="18"/>
          <w:szCs w:val="18"/>
          <w:lang w:eastAsia="en-AU"/>
        </w:rPr>
        <w:t xml:space="preserve"> mine at a point in time since decommissioning. It is derived from the E</w:t>
      </w:r>
      <w:r>
        <w:rPr>
          <w:rFonts w:ascii="MyriadPro-Regular" w:hAnsi="MyriadPro-Regular" w:cs="MyriadPro-Regular"/>
          <w:sz w:val="18"/>
          <w:szCs w:val="18"/>
          <w:lang w:eastAsia="en-AU"/>
        </w:rPr>
        <w:t>missions Decay Curve</w:t>
      </w:r>
      <w:r w:rsidR="00C9294D">
        <w:rPr>
          <w:rFonts w:ascii="MyriadPro-Regular" w:hAnsi="MyriadPro-Regular" w:cs="MyriadPro-Regular"/>
          <w:sz w:val="18"/>
          <w:szCs w:val="18"/>
          <w:lang w:eastAsia="en-AU"/>
        </w:rPr>
        <w:t>s</w:t>
      </w:r>
      <w:r>
        <w:rPr>
          <w:rFonts w:ascii="MyriadPro-Regular" w:hAnsi="MyriadPro-Regular" w:cs="MyriadPro-Regular"/>
          <w:sz w:val="18"/>
          <w:szCs w:val="18"/>
          <w:lang w:eastAsia="en-AU"/>
        </w:rPr>
        <w:t xml:space="preserve"> (see </w:t>
      </w:r>
      <w:proofErr w:type="spellStart"/>
      <w:r w:rsidR="00CA08EF">
        <w:rPr>
          <w:rFonts w:ascii="MyriadPro-Regular" w:hAnsi="MyriadPro-Regular" w:cs="MyriadPro-Regular"/>
          <w:sz w:val="18"/>
          <w:szCs w:val="18"/>
          <w:lang w:eastAsia="en-AU"/>
        </w:rPr>
        <w:t>DoEE</w:t>
      </w:r>
      <w:proofErr w:type="spellEnd"/>
      <w:r w:rsidR="00CA08EF">
        <w:rPr>
          <w:rFonts w:ascii="MyriadPro-Regular" w:hAnsi="MyriadPro-Regular" w:cs="MyriadPro-Regular"/>
          <w:sz w:val="18"/>
          <w:szCs w:val="18"/>
          <w:lang w:eastAsia="en-AU"/>
        </w:rPr>
        <w:t xml:space="preserve"> 2017</w:t>
      </w:r>
      <w:r>
        <w:rPr>
          <w:rFonts w:ascii="MyriadPro-Regular" w:hAnsi="MyriadPro-Regular" w:cs="MyriadPro-Regular"/>
          <w:sz w:val="18"/>
          <w:szCs w:val="18"/>
          <w:lang w:eastAsia="en-AU"/>
        </w:rPr>
        <w:t>)</w:t>
      </w:r>
      <w:r w:rsidRPr="00730A73">
        <w:rPr>
          <w:rFonts w:ascii="MyriadPro-Regular" w:hAnsi="MyriadPro-Regular" w:cs="MyriadPro-Regular"/>
          <w:sz w:val="18"/>
          <w:szCs w:val="18"/>
          <w:lang w:eastAsia="en-AU"/>
        </w:rPr>
        <w:t xml:space="preserve">. </w:t>
      </w:r>
    </w:p>
    <w:p w14:paraId="554CE221" w14:textId="6726CE63" w:rsidR="007D5B02" w:rsidRPr="00730A73" w:rsidRDefault="007D5B02" w:rsidP="007D5B02">
      <w:pPr>
        <w:autoSpaceDE w:val="0"/>
        <w:autoSpaceDN w:val="0"/>
        <w:adjustRightInd w:val="0"/>
        <w:spacing w:after="0" w:line="240" w:lineRule="auto"/>
        <w:rPr>
          <w:rFonts w:ascii="MyriadPro-Regular" w:hAnsi="MyriadPro-Regular" w:cs="MyriadPro-Regular"/>
          <w:sz w:val="18"/>
          <w:szCs w:val="18"/>
          <w:lang w:eastAsia="en-AU"/>
        </w:rPr>
      </w:pPr>
      <w:r w:rsidRPr="00730A73">
        <w:rPr>
          <w:rFonts w:ascii="MyriadPro-Regular" w:hAnsi="MyriadPro-Regular" w:cs="MyriadPro-Regular"/>
          <w:sz w:val="18"/>
          <w:szCs w:val="18"/>
          <w:lang w:eastAsia="en-AU"/>
        </w:rPr>
        <w:t>F</w:t>
      </w:r>
      <w:r>
        <w:rPr>
          <w:rFonts w:ascii="MyriadPro-Regular" w:hAnsi="MyriadPro-Regular" w:cs="MyriadPro-Regular"/>
          <w:sz w:val="10"/>
          <w:szCs w:val="10"/>
          <w:lang w:eastAsia="en-AU"/>
        </w:rPr>
        <w:t>i</w:t>
      </w:r>
      <w:r w:rsidR="00C9294D">
        <w:rPr>
          <w:rFonts w:ascii="MyriadPro-Regular" w:hAnsi="MyriadPro-Regular" w:cs="MyriadPro-Regular"/>
          <w:sz w:val="10"/>
          <w:szCs w:val="10"/>
          <w:lang w:eastAsia="en-AU"/>
        </w:rPr>
        <w:t>t</w:t>
      </w:r>
      <w:r w:rsidRPr="00730A73">
        <w:rPr>
          <w:rFonts w:ascii="MyriadPro-Regular" w:hAnsi="MyriadPro-Regular" w:cs="MyriadPro-Regular"/>
          <w:sz w:val="10"/>
          <w:szCs w:val="10"/>
          <w:lang w:eastAsia="en-AU"/>
        </w:rPr>
        <w:t xml:space="preserve"> </w:t>
      </w:r>
      <w:r w:rsidR="009E75DB">
        <w:rPr>
          <w:rFonts w:ascii="MyriadPro-Regular" w:hAnsi="MyriadPro-Regular" w:cs="MyriadPro-Regular"/>
          <w:sz w:val="18"/>
          <w:szCs w:val="18"/>
          <w:lang w:eastAsia="en-AU"/>
        </w:rPr>
        <w:t>=</w:t>
      </w:r>
      <w:r w:rsidRPr="00730A73">
        <w:rPr>
          <w:rFonts w:ascii="MyriadPro-Regular" w:hAnsi="MyriadPro-Regular" w:cs="MyriadPro-Regular"/>
          <w:sz w:val="18"/>
          <w:szCs w:val="18"/>
          <w:lang w:eastAsia="en-AU"/>
        </w:rPr>
        <w:t xml:space="preserve"> fraction of mine</w:t>
      </w:r>
      <w:r w:rsidR="00C177C2">
        <w:rPr>
          <w:rFonts w:ascii="MyriadPro-Regular" w:hAnsi="MyriadPro-Regular" w:cs="MyriadPro-Regular"/>
          <w:sz w:val="18"/>
          <w:szCs w:val="18"/>
          <w:lang w:eastAsia="en-AU"/>
        </w:rPr>
        <w:t xml:space="preserve"> </w:t>
      </w:r>
      <w:proofErr w:type="spellStart"/>
      <w:r w:rsidR="00C177C2">
        <w:rPr>
          <w:rFonts w:ascii="MyriadPro-Regular" w:hAnsi="MyriadPro-Regular" w:cs="MyriadPro-Regular"/>
          <w:sz w:val="18"/>
          <w:szCs w:val="18"/>
          <w:lang w:eastAsia="en-AU"/>
        </w:rPr>
        <w:t>i</w:t>
      </w:r>
      <w:proofErr w:type="spellEnd"/>
      <w:r w:rsidRPr="00730A73">
        <w:rPr>
          <w:rFonts w:ascii="MyriadPro-Regular" w:hAnsi="MyriadPro-Regular" w:cs="MyriadPro-Regular"/>
          <w:sz w:val="18"/>
          <w:szCs w:val="18"/>
          <w:lang w:eastAsia="en-AU"/>
        </w:rPr>
        <w:t xml:space="preserve"> flooded at a point in time</w:t>
      </w:r>
      <w:r w:rsidR="00C177C2">
        <w:rPr>
          <w:rFonts w:ascii="MyriadPro-Regular" w:hAnsi="MyriadPro-Regular" w:cs="MyriadPro-Regular"/>
          <w:sz w:val="18"/>
          <w:szCs w:val="18"/>
          <w:lang w:eastAsia="en-AU"/>
        </w:rPr>
        <w:t xml:space="preserve"> </w:t>
      </w:r>
      <w:r w:rsidRPr="00730A73">
        <w:rPr>
          <w:rFonts w:ascii="MyriadPro-Regular" w:hAnsi="MyriadPro-Regular" w:cs="MyriadPro-Regular"/>
          <w:sz w:val="18"/>
          <w:szCs w:val="18"/>
          <w:lang w:eastAsia="en-AU"/>
        </w:rPr>
        <w:t>since decommissioning.</w:t>
      </w:r>
    </w:p>
    <w:p w14:paraId="018BFF02" w14:textId="56C88DE5" w:rsidR="007D5B02" w:rsidRPr="0055314F" w:rsidRDefault="007D5B02" w:rsidP="007D5B02">
      <w:proofErr w:type="spellStart"/>
      <w:r w:rsidRPr="00730A73">
        <w:rPr>
          <w:rFonts w:ascii="MyriadPro-Regular" w:hAnsi="MyriadPro-Regular" w:cs="MyriadPro-Regular"/>
          <w:sz w:val="18"/>
          <w:szCs w:val="18"/>
          <w:lang w:eastAsia="en-AU"/>
        </w:rPr>
        <w:t>E</w:t>
      </w:r>
      <w:r w:rsidR="00C9294D">
        <w:rPr>
          <w:rFonts w:ascii="MyriadPro-Regular" w:hAnsi="MyriadPro-Regular" w:cs="MyriadPro-Regular"/>
          <w:sz w:val="18"/>
          <w:szCs w:val="18"/>
          <w:lang w:eastAsia="en-AU"/>
        </w:rPr>
        <w:t>R</w:t>
      </w:r>
      <w:r w:rsidR="00C9294D">
        <w:rPr>
          <w:rFonts w:ascii="MyriadPro-Regular" w:hAnsi="MyriadPro-Regular" w:cs="MyriadPro-Regular"/>
          <w:sz w:val="10"/>
          <w:szCs w:val="10"/>
          <w:lang w:eastAsia="en-AU"/>
        </w:rPr>
        <w:t>it</w:t>
      </w:r>
      <w:proofErr w:type="spellEnd"/>
      <w:r w:rsidRPr="00730A73">
        <w:rPr>
          <w:rFonts w:ascii="MyriadPro-Regular" w:hAnsi="MyriadPro-Regular" w:cs="MyriadPro-Regular"/>
          <w:sz w:val="10"/>
          <w:szCs w:val="10"/>
          <w:lang w:eastAsia="en-AU"/>
        </w:rPr>
        <w:t xml:space="preserve"> </w:t>
      </w:r>
      <w:r w:rsidR="009E75DB">
        <w:rPr>
          <w:rFonts w:ascii="MyriadPro-Regular" w:hAnsi="MyriadPro-Regular" w:cs="MyriadPro-Regular"/>
          <w:sz w:val="18"/>
          <w:szCs w:val="18"/>
          <w:lang w:eastAsia="en-AU"/>
        </w:rPr>
        <w:t>=</w:t>
      </w:r>
      <w:r w:rsidRPr="00730A73">
        <w:rPr>
          <w:rFonts w:ascii="MyriadPro-Regular" w:hAnsi="MyriadPro-Regular" w:cs="MyriadPro-Regular"/>
          <w:sz w:val="18"/>
          <w:szCs w:val="18"/>
          <w:lang w:eastAsia="en-AU"/>
        </w:rPr>
        <w:t xml:space="preserve"> quantity of methane emissions avoided by recovery</w:t>
      </w:r>
      <w:r w:rsidR="00C177C2">
        <w:rPr>
          <w:rFonts w:ascii="MyriadPro-Regular" w:hAnsi="MyriadPro-Regular" w:cs="MyriadPro-Regular"/>
          <w:sz w:val="18"/>
          <w:szCs w:val="18"/>
          <w:lang w:eastAsia="en-AU"/>
        </w:rPr>
        <w:t xml:space="preserve"> at mine </w:t>
      </w:r>
      <w:proofErr w:type="spellStart"/>
      <w:r w:rsidR="00C177C2">
        <w:rPr>
          <w:rFonts w:ascii="MyriadPro-Regular" w:hAnsi="MyriadPro-Regular" w:cs="MyriadPro-Regular"/>
          <w:sz w:val="18"/>
          <w:szCs w:val="18"/>
          <w:lang w:eastAsia="en-AU"/>
        </w:rPr>
        <w:t>i</w:t>
      </w:r>
      <w:proofErr w:type="spellEnd"/>
      <w:r w:rsidR="00C9294D">
        <w:rPr>
          <w:rFonts w:ascii="MyriadPro-Regular" w:hAnsi="MyriadPro-Regular" w:cs="MyriadPro-Regular"/>
          <w:sz w:val="18"/>
          <w:szCs w:val="18"/>
          <w:lang w:eastAsia="en-AU"/>
        </w:rPr>
        <w:t xml:space="preserve"> in year t</w:t>
      </w:r>
      <w:r w:rsidR="00C177C2">
        <w:rPr>
          <w:rFonts w:ascii="MyriadPro-Regular" w:hAnsi="MyriadPro-Regular" w:cs="MyriadPro-Regular"/>
          <w:sz w:val="18"/>
          <w:szCs w:val="18"/>
          <w:lang w:eastAsia="en-AU"/>
        </w:rPr>
        <w:t xml:space="preserve"> </w:t>
      </w:r>
      <w:r w:rsidR="00C177C2" w:rsidRPr="00730A73">
        <w:rPr>
          <w:rFonts w:ascii="MyriadPro-Regular" w:hAnsi="MyriadPro-Regular" w:cs="MyriadPro-Regular"/>
          <w:sz w:val="18"/>
          <w:szCs w:val="18"/>
          <w:lang w:eastAsia="en-AU"/>
        </w:rPr>
        <w:t>(</w:t>
      </w:r>
      <w:r w:rsidR="00651598">
        <w:rPr>
          <w:rFonts w:ascii="MyriadPro-Regular" w:hAnsi="MyriadPro-Regular" w:cs="MyriadPro-Regular"/>
          <w:sz w:val="18"/>
          <w:szCs w:val="18"/>
          <w:lang w:eastAsia="en-AU"/>
        </w:rPr>
        <w:t>M</w:t>
      </w:r>
      <w:r w:rsidR="00C177C2" w:rsidRPr="00730A73">
        <w:rPr>
          <w:rFonts w:ascii="MyriadPro-Regular" w:hAnsi="MyriadPro-Regular" w:cs="MyriadPro-Regular"/>
          <w:sz w:val="18"/>
          <w:szCs w:val="18"/>
          <w:lang w:eastAsia="en-AU"/>
        </w:rPr>
        <w:t xml:space="preserve">t </w:t>
      </w:r>
      <w:r w:rsidR="00C177C2">
        <w:rPr>
          <w:rFonts w:ascii="MyriadPro-Regular" w:hAnsi="MyriadPro-Regular" w:cs="MyriadPro-Regular"/>
          <w:sz w:val="18"/>
          <w:szCs w:val="18"/>
          <w:lang w:eastAsia="en-AU"/>
        </w:rPr>
        <w:t>CO</w:t>
      </w:r>
      <w:r w:rsidR="00C177C2" w:rsidRPr="00C177C2">
        <w:rPr>
          <w:rFonts w:ascii="MyriadPro-Regular" w:hAnsi="MyriadPro-Regular" w:cs="MyriadPro-Regular"/>
          <w:sz w:val="18"/>
          <w:szCs w:val="18"/>
          <w:vertAlign w:val="subscript"/>
          <w:lang w:eastAsia="en-AU"/>
        </w:rPr>
        <w:t>2</w:t>
      </w:r>
      <w:r w:rsidR="00C177C2">
        <w:rPr>
          <w:rFonts w:ascii="MyriadPro-Regular" w:hAnsi="MyriadPro-Regular" w:cs="MyriadPro-Regular"/>
          <w:sz w:val="18"/>
          <w:szCs w:val="18"/>
          <w:lang w:eastAsia="en-AU"/>
        </w:rPr>
        <w:t>-e</w:t>
      </w:r>
      <w:r w:rsidR="00C177C2" w:rsidRPr="00730A73">
        <w:rPr>
          <w:rFonts w:ascii="MyriadPro-Regular" w:hAnsi="MyriadPro-Regular" w:cs="MyriadPro-Regular"/>
          <w:sz w:val="18"/>
          <w:szCs w:val="18"/>
          <w:lang w:eastAsia="en-AU"/>
        </w:rPr>
        <w:t>)</w:t>
      </w:r>
      <w:r w:rsidRPr="00730A73">
        <w:rPr>
          <w:rFonts w:ascii="MyriadPro-Regular" w:hAnsi="MyriadPro-Regular" w:cs="MyriadPro-Regular"/>
          <w:sz w:val="18"/>
          <w:szCs w:val="18"/>
          <w:lang w:eastAsia="en-AU"/>
        </w:rPr>
        <w:t>.</w:t>
      </w:r>
    </w:p>
    <w:p w14:paraId="73C724BB" w14:textId="059C9E87" w:rsidR="00730A73" w:rsidRDefault="001A7BF0" w:rsidP="00730A73">
      <w:r>
        <w:t xml:space="preserve">The model </w:t>
      </w:r>
      <w:r w:rsidR="009064FF">
        <w:t xml:space="preserve">requires </w:t>
      </w:r>
      <w:r>
        <w:t>the emissions at the time of closure, the mine type, mine void size and mine water inflow rates.</w:t>
      </w:r>
      <w:r w:rsidR="00730A73">
        <w:t xml:space="preserve"> </w:t>
      </w:r>
      <w:r>
        <w:t xml:space="preserve">Closure timing is informed by mine-by-mine projections provided by the </w:t>
      </w:r>
      <w:r w:rsidR="009E75DB">
        <w:t>OCE</w:t>
      </w:r>
      <w:r>
        <w:t xml:space="preserve"> and AME Group</w:t>
      </w:r>
      <w:r w:rsidR="008326E5">
        <w:t xml:space="preserve"> and is consistent with the operating coal mines model</w:t>
      </w:r>
      <w:r w:rsidR="007D5B02">
        <w:t xml:space="preserve">. Emissions at the time of closure and mine void volume are sourced from the operating coal mines model. Emission decay curves are calculated from the formulas </w:t>
      </w:r>
      <w:r w:rsidR="009064FF">
        <w:t>published</w:t>
      </w:r>
      <w:r w:rsidR="007B7D6E">
        <w:t xml:space="preserve"> in the</w:t>
      </w:r>
      <w:r w:rsidR="007D5B02">
        <w:t xml:space="preserve"> </w:t>
      </w:r>
      <w:r w:rsidR="007D5B02" w:rsidRPr="007B7D6E">
        <w:rPr>
          <w:i/>
        </w:rPr>
        <w:t>National Inventory Report</w:t>
      </w:r>
      <w:r w:rsidR="00CA08EF">
        <w:t xml:space="preserve"> (</w:t>
      </w:r>
      <w:proofErr w:type="spellStart"/>
      <w:r w:rsidR="00CA08EF">
        <w:t>DoEE</w:t>
      </w:r>
      <w:proofErr w:type="spellEnd"/>
      <w:r w:rsidR="00CA08EF">
        <w:t xml:space="preserve"> 2017)</w:t>
      </w:r>
      <w:r w:rsidR="007D5B02">
        <w:t xml:space="preserve">. Mine flooding rates are estimated based on </w:t>
      </w:r>
      <w:r w:rsidR="008326E5">
        <w:t>the mine’s water production regio</w:t>
      </w:r>
      <w:r w:rsidR="00642716">
        <w:t xml:space="preserve">n consistent with the </w:t>
      </w:r>
      <w:r w:rsidR="009E75DB">
        <w:t>n</w:t>
      </w:r>
      <w:r w:rsidR="00642716" w:rsidRPr="00FB329E">
        <w:t>ational greenhouse gas i</w:t>
      </w:r>
      <w:r w:rsidR="008326E5" w:rsidRPr="00FB329E">
        <w:t>nventory</w:t>
      </w:r>
      <w:r w:rsidR="007B7D6E">
        <w:t>.</w:t>
      </w:r>
    </w:p>
    <w:p w14:paraId="43D556F9" w14:textId="7B5DF26F" w:rsidR="002C3AB7" w:rsidRPr="004B6666" w:rsidRDefault="004B6666" w:rsidP="004B6666">
      <w:pPr>
        <w:pStyle w:val="Heading3"/>
      </w:pPr>
      <w:r>
        <w:t>Oil and gas f</w:t>
      </w:r>
      <w:r w:rsidR="00270C04" w:rsidRPr="004B6666">
        <w:t>ugitives</w:t>
      </w:r>
    </w:p>
    <w:p w14:paraId="01C142A5" w14:textId="190F1741" w:rsidR="00270C04" w:rsidRPr="008326E5" w:rsidRDefault="00270C04" w:rsidP="00436DF9">
      <w:pPr>
        <w:rPr>
          <w:i/>
          <w:u w:val="single"/>
        </w:rPr>
      </w:pPr>
      <w:r w:rsidRPr="008326E5">
        <w:rPr>
          <w:i/>
          <w:u w:val="single"/>
        </w:rPr>
        <w:t>Oil</w:t>
      </w:r>
    </w:p>
    <w:p w14:paraId="058ABB13" w14:textId="6236801A" w:rsidR="009064FF" w:rsidRDefault="008326E5" w:rsidP="00436DF9">
      <w:r>
        <w:t>Oil fugitive emissions are separated into five sub-</w:t>
      </w:r>
      <w:r w:rsidR="00C9294D">
        <w:t>sectors</w:t>
      </w:r>
      <w:r>
        <w:t xml:space="preserve">. Proxy indicators are used to project the growth in emissions </w:t>
      </w:r>
      <w:r w:rsidR="005D0811">
        <w:t>as listed below</w:t>
      </w:r>
      <w:r>
        <w:t>.</w:t>
      </w:r>
    </w:p>
    <w:p w14:paraId="07041DBF" w14:textId="00ED375A" w:rsidR="009064FF" w:rsidRDefault="009064FF" w:rsidP="009064FF">
      <w:pPr>
        <w:rPr>
          <w:i/>
          <w:vertAlign w:val="superscript"/>
        </w:rPr>
      </w:pPr>
      <w:r>
        <w:rPr>
          <w:i/>
        </w:rPr>
        <w:t>E</w:t>
      </w:r>
      <w:r>
        <w:rPr>
          <w:i/>
          <w:vertAlign w:val="subscript"/>
        </w:rPr>
        <w:t>t</w:t>
      </w:r>
      <w:r>
        <w:rPr>
          <w:i/>
        </w:rPr>
        <w:t xml:space="preserve"> = E</w:t>
      </w:r>
      <w:r>
        <w:rPr>
          <w:i/>
          <w:vertAlign w:val="subscript"/>
        </w:rPr>
        <w:t>t-</w:t>
      </w:r>
      <w:proofErr w:type="gramStart"/>
      <w:r>
        <w:rPr>
          <w:i/>
          <w:vertAlign w:val="subscript"/>
        </w:rPr>
        <w:t xml:space="preserve">1 </w:t>
      </w:r>
      <w:r w:rsidRPr="009064FF">
        <w:rPr>
          <w:i/>
        </w:rPr>
        <w:t>.</w:t>
      </w:r>
      <w:proofErr w:type="gramEnd"/>
      <w:r>
        <w:rPr>
          <w:i/>
          <w:vertAlign w:val="subscript"/>
        </w:rPr>
        <w:t xml:space="preserve"> </w:t>
      </w:r>
      <w:proofErr w:type="spellStart"/>
      <w:r>
        <w:rPr>
          <w:i/>
        </w:rPr>
        <w:t>Pr</w:t>
      </w:r>
      <w:r>
        <w:rPr>
          <w:i/>
          <w:vertAlign w:val="subscript"/>
        </w:rPr>
        <w:t>t</w:t>
      </w:r>
      <w:proofErr w:type="spellEnd"/>
      <w:r>
        <w:rPr>
          <w:i/>
          <w:vertAlign w:val="subscript"/>
        </w:rPr>
        <w:t xml:space="preserve"> </w:t>
      </w:r>
      <w:r w:rsidRPr="00EE4997">
        <w:rPr>
          <w:i/>
        </w:rPr>
        <w:t xml:space="preserve">/ </w:t>
      </w:r>
      <w:r>
        <w:rPr>
          <w:i/>
        </w:rPr>
        <w:t>Pr</w:t>
      </w:r>
      <w:r>
        <w:rPr>
          <w:i/>
          <w:vertAlign w:val="subscript"/>
        </w:rPr>
        <w:t>t-1</w:t>
      </w:r>
    </w:p>
    <w:p w14:paraId="73002F1F" w14:textId="349F8D23" w:rsidR="009064FF" w:rsidRDefault="009064FF" w:rsidP="00436DF9">
      <w:pPr>
        <w:rPr>
          <w:i/>
          <w:sz w:val="16"/>
          <w:szCs w:val="16"/>
        </w:rPr>
      </w:pPr>
      <w:r w:rsidRPr="007773F3">
        <w:rPr>
          <w:i/>
          <w:sz w:val="16"/>
          <w:szCs w:val="16"/>
        </w:rPr>
        <w:t xml:space="preserve">Where: </w:t>
      </w:r>
      <w:r>
        <w:rPr>
          <w:i/>
          <w:sz w:val="16"/>
          <w:szCs w:val="16"/>
        </w:rPr>
        <w:br/>
        <w:t>E</w:t>
      </w:r>
      <w:r>
        <w:rPr>
          <w:i/>
          <w:sz w:val="16"/>
          <w:szCs w:val="16"/>
          <w:vertAlign w:val="subscript"/>
        </w:rPr>
        <w:t>t</w:t>
      </w:r>
      <w:r w:rsidRPr="007773F3">
        <w:rPr>
          <w:i/>
          <w:sz w:val="16"/>
          <w:szCs w:val="16"/>
        </w:rPr>
        <w:t xml:space="preserve"> = </w:t>
      </w:r>
      <w:r>
        <w:rPr>
          <w:i/>
          <w:sz w:val="16"/>
          <w:szCs w:val="16"/>
        </w:rPr>
        <w:t>emissions in the year t (</w:t>
      </w:r>
      <w:r w:rsidR="00651598">
        <w:rPr>
          <w:i/>
          <w:sz w:val="16"/>
          <w:szCs w:val="16"/>
        </w:rPr>
        <w:t>M</w:t>
      </w:r>
      <w:r>
        <w:rPr>
          <w:i/>
          <w:sz w:val="16"/>
          <w:szCs w:val="16"/>
        </w:rPr>
        <w:t>t CO</w:t>
      </w:r>
      <w:r w:rsidRPr="00DF47C3">
        <w:rPr>
          <w:i/>
          <w:sz w:val="16"/>
          <w:szCs w:val="16"/>
          <w:vertAlign w:val="subscript"/>
        </w:rPr>
        <w:t>2</w:t>
      </w:r>
      <w:r>
        <w:rPr>
          <w:i/>
          <w:sz w:val="16"/>
          <w:szCs w:val="16"/>
        </w:rPr>
        <w:t>-e</w:t>
      </w:r>
      <w:proofErr w:type="gramStart"/>
      <w:r>
        <w:rPr>
          <w:i/>
          <w:sz w:val="16"/>
          <w:szCs w:val="16"/>
        </w:rPr>
        <w:t>)</w:t>
      </w:r>
      <w:proofErr w:type="gramEnd"/>
      <w:r>
        <w:rPr>
          <w:i/>
          <w:sz w:val="16"/>
          <w:szCs w:val="16"/>
        </w:rPr>
        <w:br/>
        <w:t>E</w:t>
      </w:r>
      <w:r>
        <w:rPr>
          <w:i/>
          <w:sz w:val="16"/>
          <w:szCs w:val="16"/>
          <w:vertAlign w:val="subscript"/>
        </w:rPr>
        <w:t>t-1</w:t>
      </w:r>
      <w:r w:rsidRPr="007773F3">
        <w:rPr>
          <w:i/>
          <w:sz w:val="16"/>
          <w:szCs w:val="16"/>
        </w:rPr>
        <w:t xml:space="preserve"> = </w:t>
      </w:r>
      <w:r>
        <w:rPr>
          <w:i/>
          <w:sz w:val="16"/>
          <w:szCs w:val="16"/>
        </w:rPr>
        <w:t>emissions in the year t-1 (</w:t>
      </w:r>
      <w:r w:rsidR="00651598">
        <w:rPr>
          <w:i/>
          <w:sz w:val="16"/>
          <w:szCs w:val="16"/>
        </w:rPr>
        <w:t>M</w:t>
      </w:r>
      <w:r>
        <w:rPr>
          <w:i/>
          <w:sz w:val="16"/>
          <w:szCs w:val="16"/>
        </w:rPr>
        <w:t>t CO</w:t>
      </w:r>
      <w:r w:rsidRPr="00DF47C3">
        <w:rPr>
          <w:i/>
          <w:sz w:val="16"/>
          <w:szCs w:val="16"/>
          <w:vertAlign w:val="subscript"/>
        </w:rPr>
        <w:t>2</w:t>
      </w:r>
      <w:r>
        <w:rPr>
          <w:i/>
          <w:sz w:val="16"/>
          <w:szCs w:val="16"/>
        </w:rPr>
        <w:t>-e)</w:t>
      </w:r>
      <w:r>
        <w:rPr>
          <w:i/>
          <w:sz w:val="16"/>
          <w:szCs w:val="16"/>
        </w:rPr>
        <w:br/>
      </w:r>
      <w:proofErr w:type="spellStart"/>
      <w:r w:rsidRPr="009064FF">
        <w:rPr>
          <w:i/>
          <w:sz w:val="16"/>
          <w:szCs w:val="16"/>
        </w:rPr>
        <w:t>Pr</w:t>
      </w:r>
      <w:r w:rsidRPr="009064FF">
        <w:rPr>
          <w:i/>
          <w:sz w:val="16"/>
          <w:szCs w:val="16"/>
          <w:vertAlign w:val="subscript"/>
        </w:rPr>
        <w:t>t</w:t>
      </w:r>
      <w:proofErr w:type="spellEnd"/>
      <w:r>
        <w:rPr>
          <w:i/>
          <w:sz w:val="16"/>
          <w:szCs w:val="16"/>
          <w:vertAlign w:val="subscript"/>
        </w:rPr>
        <w:t xml:space="preserve"> </w:t>
      </w:r>
      <w:r w:rsidRPr="007773F3">
        <w:rPr>
          <w:i/>
          <w:sz w:val="16"/>
          <w:szCs w:val="16"/>
        </w:rPr>
        <w:t xml:space="preserve">= </w:t>
      </w:r>
      <w:r>
        <w:rPr>
          <w:i/>
          <w:sz w:val="16"/>
          <w:szCs w:val="16"/>
        </w:rPr>
        <w:t>proxy indicator in the projection year</w:t>
      </w:r>
      <w:r>
        <w:rPr>
          <w:i/>
          <w:sz w:val="16"/>
          <w:szCs w:val="16"/>
        </w:rPr>
        <w:br/>
      </w:r>
      <w:r w:rsidRPr="009064FF">
        <w:rPr>
          <w:i/>
          <w:sz w:val="16"/>
          <w:szCs w:val="16"/>
        </w:rPr>
        <w:t>Pr</w:t>
      </w:r>
      <w:r w:rsidRPr="009064FF">
        <w:rPr>
          <w:i/>
          <w:sz w:val="16"/>
          <w:szCs w:val="16"/>
          <w:vertAlign w:val="subscript"/>
        </w:rPr>
        <w:t>t</w:t>
      </w:r>
      <w:r>
        <w:rPr>
          <w:i/>
          <w:sz w:val="16"/>
          <w:szCs w:val="16"/>
          <w:vertAlign w:val="subscript"/>
        </w:rPr>
        <w:t xml:space="preserve">-1 </w:t>
      </w:r>
      <w:r w:rsidRPr="007773F3">
        <w:rPr>
          <w:i/>
          <w:sz w:val="16"/>
          <w:szCs w:val="16"/>
        </w:rPr>
        <w:t xml:space="preserve">= </w:t>
      </w:r>
      <w:r>
        <w:rPr>
          <w:i/>
          <w:sz w:val="16"/>
          <w:szCs w:val="16"/>
        </w:rPr>
        <w:t xml:space="preserve">proxy indicator in the year t-1 </w:t>
      </w:r>
    </w:p>
    <w:p w14:paraId="65301966" w14:textId="426B569D" w:rsidR="0079062F" w:rsidRPr="00C808FE" w:rsidRDefault="0079062F" w:rsidP="0079062F">
      <w:pPr>
        <w:rPr>
          <w:b/>
        </w:rPr>
      </w:pPr>
      <w:r w:rsidRPr="00C808FE">
        <w:rPr>
          <w:b/>
        </w:rPr>
        <w:t xml:space="preserve">Table </w:t>
      </w:r>
      <w:r>
        <w:rPr>
          <w:b/>
        </w:rPr>
        <w:t>3</w:t>
      </w:r>
      <w:r w:rsidR="009E75DB">
        <w:rPr>
          <w:b/>
        </w:rPr>
        <w:t>.</w:t>
      </w:r>
      <w:r w:rsidRPr="00C808FE">
        <w:rPr>
          <w:b/>
        </w:rPr>
        <w:tab/>
        <w:t xml:space="preserve">Summary of </w:t>
      </w:r>
      <w:r>
        <w:rPr>
          <w:b/>
        </w:rPr>
        <w:t xml:space="preserve">sources for </w:t>
      </w:r>
      <w:r w:rsidR="000B1381">
        <w:rPr>
          <w:b/>
        </w:rPr>
        <w:t>oil and gas fugitive emissions</w:t>
      </w:r>
    </w:p>
    <w:tbl>
      <w:tblPr>
        <w:tblW w:w="9104" w:type="dxa"/>
        <w:tblInd w:w="108" w:type="dxa"/>
        <w:tblLook w:val="04A0" w:firstRow="1" w:lastRow="0" w:firstColumn="1" w:lastColumn="0" w:noHBand="0" w:noVBand="1"/>
      </w:tblPr>
      <w:tblGrid>
        <w:gridCol w:w="2245"/>
        <w:gridCol w:w="4593"/>
        <w:gridCol w:w="2266"/>
      </w:tblGrid>
      <w:tr w:rsidR="005D0811" w:rsidRPr="00484C3E" w14:paraId="6FB94F26" w14:textId="0AD8B48F" w:rsidTr="00FB329E">
        <w:trPr>
          <w:trHeight w:val="864"/>
          <w:tblHeader/>
        </w:trPr>
        <w:tc>
          <w:tcPr>
            <w:tcW w:w="2245" w:type="dxa"/>
            <w:tcBorders>
              <w:top w:val="nil"/>
              <w:left w:val="nil"/>
              <w:right w:val="nil"/>
            </w:tcBorders>
            <w:shd w:val="clear" w:color="000000" w:fill="134F8E"/>
            <w:vAlign w:val="center"/>
            <w:hideMark/>
          </w:tcPr>
          <w:p w14:paraId="4796455A" w14:textId="2D447F93" w:rsidR="005D0811" w:rsidRPr="00484C3E" w:rsidRDefault="005D0811" w:rsidP="00270C04">
            <w:pPr>
              <w:spacing w:after="0" w:line="240" w:lineRule="auto"/>
              <w:rPr>
                <w:rFonts w:eastAsia="Times New Roman" w:cs="Arial"/>
                <w:b/>
                <w:color w:val="FFFFFF" w:themeColor="background1"/>
                <w:szCs w:val="24"/>
                <w:lang w:eastAsia="en-AU"/>
              </w:rPr>
            </w:pPr>
            <w:r>
              <w:rPr>
                <w:rFonts w:eastAsia="Times New Roman" w:cs="Arial"/>
                <w:b/>
                <w:color w:val="FFFFFF" w:themeColor="background1"/>
                <w:szCs w:val="24"/>
                <w:lang w:eastAsia="en-AU"/>
              </w:rPr>
              <w:t>Fugitive emissions source</w:t>
            </w:r>
          </w:p>
        </w:tc>
        <w:tc>
          <w:tcPr>
            <w:tcW w:w="4593" w:type="dxa"/>
            <w:tcBorders>
              <w:top w:val="nil"/>
              <w:left w:val="nil"/>
              <w:right w:val="nil"/>
            </w:tcBorders>
            <w:shd w:val="clear" w:color="auto" w:fill="134F8E"/>
            <w:vAlign w:val="center"/>
            <w:hideMark/>
          </w:tcPr>
          <w:p w14:paraId="6AEF619D" w14:textId="2AE68A0C" w:rsidR="005D0811" w:rsidRPr="00484C3E" w:rsidRDefault="005D0811" w:rsidP="009B5D1F">
            <w:pPr>
              <w:spacing w:after="0" w:line="240" w:lineRule="auto"/>
              <w:rPr>
                <w:rFonts w:eastAsia="Times New Roman" w:cs="Arial"/>
                <w:b/>
                <w:color w:val="FFFFFF" w:themeColor="background1"/>
                <w:lang w:eastAsia="en-AU"/>
              </w:rPr>
            </w:pPr>
            <w:r>
              <w:rPr>
                <w:rFonts w:cs="Arial"/>
                <w:b/>
                <w:color w:val="FFFFFF" w:themeColor="background1"/>
                <w:kern w:val="24"/>
                <w:szCs w:val="32"/>
              </w:rPr>
              <w:t xml:space="preserve">Proxy </w:t>
            </w:r>
            <w:r w:rsidR="003067BD">
              <w:rPr>
                <w:rFonts w:cs="Arial"/>
                <w:b/>
                <w:color w:val="FFFFFF" w:themeColor="background1"/>
                <w:kern w:val="24"/>
                <w:szCs w:val="32"/>
              </w:rPr>
              <w:t>i</w:t>
            </w:r>
            <w:r>
              <w:rPr>
                <w:rFonts w:cs="Arial"/>
                <w:b/>
                <w:color w:val="FFFFFF" w:themeColor="background1"/>
                <w:kern w:val="24"/>
                <w:szCs w:val="32"/>
              </w:rPr>
              <w:t>ndicator</w:t>
            </w:r>
          </w:p>
        </w:tc>
        <w:tc>
          <w:tcPr>
            <w:tcW w:w="2266" w:type="dxa"/>
            <w:tcBorders>
              <w:top w:val="nil"/>
              <w:left w:val="nil"/>
              <w:right w:val="nil"/>
            </w:tcBorders>
            <w:shd w:val="clear" w:color="000000" w:fill="134F8E"/>
            <w:vAlign w:val="center"/>
          </w:tcPr>
          <w:p w14:paraId="36939037" w14:textId="33BEE8BF" w:rsidR="005D0811" w:rsidRDefault="005D0811" w:rsidP="009B5D1F">
            <w:pPr>
              <w:spacing w:after="0" w:line="240" w:lineRule="auto"/>
              <w:rPr>
                <w:rFonts w:cs="Arial"/>
                <w:b/>
                <w:color w:val="FFFFFF" w:themeColor="background1"/>
                <w:kern w:val="24"/>
                <w:szCs w:val="32"/>
              </w:rPr>
            </w:pPr>
            <w:r>
              <w:rPr>
                <w:rFonts w:cs="Arial"/>
                <w:b/>
                <w:color w:val="FFFFFF" w:themeColor="background1"/>
                <w:kern w:val="24"/>
                <w:szCs w:val="32"/>
              </w:rPr>
              <w:t>Source</w:t>
            </w:r>
          </w:p>
        </w:tc>
      </w:tr>
      <w:tr w:rsidR="005D0811" w:rsidRPr="00763307" w14:paraId="111D3AE4" w14:textId="17101BEE" w:rsidTr="005D0811">
        <w:trPr>
          <w:trHeight w:val="318"/>
        </w:trPr>
        <w:tc>
          <w:tcPr>
            <w:tcW w:w="2245"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hideMark/>
          </w:tcPr>
          <w:p w14:paraId="331E6934" w14:textId="694AACFF" w:rsidR="005D0811" w:rsidRPr="00484C3E" w:rsidRDefault="005D0811" w:rsidP="009B5D1F">
            <w:pPr>
              <w:spacing w:after="0" w:line="240" w:lineRule="auto"/>
              <w:rPr>
                <w:rFonts w:eastAsia="Times New Roman" w:cs="Arial"/>
                <w:color w:val="000000"/>
                <w:szCs w:val="20"/>
                <w:lang w:eastAsia="en-AU"/>
              </w:rPr>
            </w:pPr>
            <w:r>
              <w:rPr>
                <w:rFonts w:eastAsia="Times New Roman" w:cs="Arial"/>
                <w:color w:val="000000"/>
                <w:szCs w:val="20"/>
                <w:lang w:eastAsia="en-AU"/>
              </w:rPr>
              <w:t xml:space="preserve">Oil </w:t>
            </w:r>
            <w:r w:rsidR="009E75DB">
              <w:rPr>
                <w:rFonts w:eastAsia="Times New Roman" w:cs="Arial"/>
                <w:color w:val="000000"/>
                <w:szCs w:val="20"/>
                <w:lang w:eastAsia="en-AU"/>
              </w:rPr>
              <w:t>r</w:t>
            </w:r>
            <w:r>
              <w:rPr>
                <w:rFonts w:eastAsia="Times New Roman" w:cs="Arial"/>
                <w:color w:val="000000"/>
                <w:szCs w:val="20"/>
                <w:lang w:eastAsia="en-AU"/>
              </w:rPr>
              <w:t>efinery</w:t>
            </w:r>
          </w:p>
        </w:tc>
        <w:tc>
          <w:tcPr>
            <w:tcW w:w="4593"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144CB9E3" w14:textId="70DBAD24" w:rsidR="005D0811" w:rsidRPr="00484C3E" w:rsidRDefault="005D0811" w:rsidP="008326E5">
            <w:pPr>
              <w:spacing w:after="0" w:line="240" w:lineRule="auto"/>
              <w:rPr>
                <w:rFonts w:eastAsia="Times New Roman" w:cs="Arial"/>
                <w:color w:val="000000"/>
                <w:szCs w:val="20"/>
                <w:lang w:eastAsia="en-AU"/>
              </w:rPr>
            </w:pPr>
            <w:r>
              <w:rPr>
                <w:rFonts w:eastAsia="Times New Roman" w:cs="Arial"/>
                <w:color w:val="000000"/>
                <w:szCs w:val="20"/>
                <w:lang w:eastAsia="en-AU"/>
              </w:rPr>
              <w:t xml:space="preserve">Refinery </w:t>
            </w:r>
            <w:r w:rsidR="009E75DB">
              <w:rPr>
                <w:rFonts w:eastAsia="Times New Roman" w:cs="Arial"/>
                <w:color w:val="000000"/>
                <w:szCs w:val="20"/>
                <w:lang w:eastAsia="en-AU"/>
              </w:rPr>
              <w:t>o</w:t>
            </w:r>
            <w:r>
              <w:rPr>
                <w:rFonts w:eastAsia="Times New Roman" w:cs="Arial"/>
                <w:color w:val="000000"/>
                <w:szCs w:val="20"/>
                <w:lang w:eastAsia="en-AU"/>
              </w:rPr>
              <w:t>utput</w:t>
            </w:r>
          </w:p>
        </w:tc>
        <w:tc>
          <w:tcPr>
            <w:tcW w:w="2266" w:type="dxa"/>
            <w:tcBorders>
              <w:top w:val="nil"/>
              <w:left w:val="nil"/>
              <w:bottom w:val="single" w:sz="4" w:space="0" w:color="FFFFFF" w:themeColor="background1"/>
              <w:right w:val="single" w:sz="8" w:space="0" w:color="FFFFFF"/>
            </w:tcBorders>
            <w:shd w:val="clear" w:color="auto" w:fill="DBE5F1" w:themeFill="accent1" w:themeFillTint="33"/>
          </w:tcPr>
          <w:p w14:paraId="600C3CD2" w14:textId="368E3D9B" w:rsidR="005D0811" w:rsidRDefault="0004701A" w:rsidP="00182B82">
            <w:pPr>
              <w:spacing w:after="0" w:line="240" w:lineRule="auto"/>
              <w:rPr>
                <w:rFonts w:eastAsia="Times New Roman" w:cs="Arial"/>
                <w:color w:val="000000"/>
                <w:szCs w:val="20"/>
                <w:lang w:eastAsia="en-AU"/>
              </w:rPr>
            </w:pPr>
            <w:r w:rsidRPr="00FB329E">
              <w:rPr>
                <w:rFonts w:cs="Arial"/>
                <w:color w:val="000000"/>
              </w:rPr>
              <w:t xml:space="preserve">OCE </w:t>
            </w:r>
            <w:r w:rsidR="00614FEB" w:rsidRPr="00FB329E">
              <w:rPr>
                <w:rFonts w:cs="Arial"/>
                <w:color w:val="000000"/>
              </w:rPr>
              <w:t>2017</w:t>
            </w:r>
            <w:r w:rsidR="00182B82" w:rsidRPr="00FB329E">
              <w:rPr>
                <w:rFonts w:cs="Arial"/>
                <w:color w:val="000000"/>
              </w:rPr>
              <w:t>a</w:t>
            </w:r>
          </w:p>
        </w:tc>
      </w:tr>
      <w:tr w:rsidR="005D0811" w:rsidRPr="00F33E9B" w14:paraId="4B5997B3" w14:textId="3E880746" w:rsidTr="005D0811">
        <w:trPr>
          <w:trHeight w:val="318"/>
        </w:trPr>
        <w:tc>
          <w:tcPr>
            <w:tcW w:w="224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2968F89F" w14:textId="09DE4325" w:rsidR="005D0811" w:rsidRPr="00484C3E" w:rsidRDefault="005D0811" w:rsidP="009B5D1F">
            <w:pPr>
              <w:spacing w:after="0" w:line="240" w:lineRule="auto"/>
              <w:rPr>
                <w:rFonts w:eastAsia="Times New Roman" w:cs="Arial"/>
                <w:color w:val="000000"/>
                <w:szCs w:val="20"/>
                <w:lang w:eastAsia="en-AU"/>
              </w:rPr>
            </w:pPr>
            <w:r>
              <w:rPr>
                <w:rFonts w:eastAsia="Times New Roman" w:cs="Arial"/>
                <w:color w:val="000000"/>
                <w:szCs w:val="20"/>
                <w:lang w:eastAsia="en-AU"/>
              </w:rPr>
              <w:t xml:space="preserve">Oil - </w:t>
            </w:r>
            <w:r w:rsidR="009E75DB">
              <w:rPr>
                <w:rFonts w:eastAsia="Times New Roman" w:cs="Arial"/>
                <w:color w:val="000000"/>
                <w:szCs w:val="20"/>
                <w:lang w:eastAsia="en-AU"/>
              </w:rPr>
              <w:t>f</w:t>
            </w:r>
            <w:r>
              <w:rPr>
                <w:rFonts w:eastAsia="Times New Roman" w:cs="Arial"/>
                <w:color w:val="000000"/>
                <w:szCs w:val="20"/>
                <w:lang w:eastAsia="en-AU"/>
              </w:rPr>
              <w:t>laring</w:t>
            </w:r>
          </w:p>
        </w:tc>
        <w:tc>
          <w:tcPr>
            <w:tcW w:w="4593"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735CB9FA" w14:textId="1ED8F4BD" w:rsidR="005D0811" w:rsidRPr="00484C3E" w:rsidRDefault="005D0811" w:rsidP="009B5D1F">
            <w:pPr>
              <w:spacing w:after="0" w:line="240" w:lineRule="auto"/>
              <w:rPr>
                <w:rFonts w:eastAsia="Times New Roman" w:cs="Arial"/>
                <w:color w:val="000000"/>
                <w:szCs w:val="20"/>
                <w:lang w:eastAsia="en-AU"/>
              </w:rPr>
            </w:pPr>
            <w:r>
              <w:rPr>
                <w:rFonts w:eastAsia="Times New Roman" w:cs="Arial"/>
                <w:color w:val="000000"/>
                <w:szCs w:val="20"/>
                <w:lang w:eastAsia="en-AU"/>
              </w:rPr>
              <w:t>Crude oil and condensate production</w:t>
            </w:r>
          </w:p>
        </w:tc>
        <w:tc>
          <w:tcPr>
            <w:tcW w:w="2266"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tcPr>
          <w:p w14:paraId="038BE8DE" w14:textId="2EC2A222" w:rsidR="005D0811" w:rsidRDefault="0004701A" w:rsidP="005D0811">
            <w:pPr>
              <w:spacing w:after="0" w:line="240" w:lineRule="auto"/>
              <w:rPr>
                <w:rFonts w:eastAsia="Times New Roman" w:cs="Arial"/>
                <w:color w:val="000000"/>
                <w:szCs w:val="20"/>
                <w:lang w:eastAsia="en-AU"/>
              </w:rPr>
            </w:pPr>
            <w:r>
              <w:rPr>
                <w:rFonts w:cs="Arial"/>
                <w:color w:val="000000"/>
              </w:rPr>
              <w:t xml:space="preserve">OCE </w:t>
            </w:r>
            <w:r w:rsidR="00614FEB">
              <w:rPr>
                <w:rFonts w:cs="Arial"/>
                <w:color w:val="000000"/>
              </w:rPr>
              <w:t>2017</w:t>
            </w:r>
            <w:r w:rsidR="00182B82">
              <w:rPr>
                <w:rFonts w:cs="Arial"/>
                <w:color w:val="000000"/>
              </w:rPr>
              <w:t>a</w:t>
            </w:r>
            <w:r w:rsidR="00B13BAB">
              <w:rPr>
                <w:rFonts w:cs="Arial"/>
                <w:color w:val="000000"/>
              </w:rPr>
              <w:t>,</w:t>
            </w:r>
            <w:r w:rsidR="009E75DB">
              <w:rPr>
                <w:rFonts w:cs="Arial"/>
                <w:color w:val="000000"/>
              </w:rPr>
              <w:t xml:space="preserve"> </w:t>
            </w:r>
            <w:r>
              <w:rPr>
                <w:rFonts w:cs="Arial"/>
                <w:color w:val="000000"/>
              </w:rPr>
              <w:t>BREE 2014</w:t>
            </w:r>
          </w:p>
        </w:tc>
      </w:tr>
      <w:tr w:rsidR="005D0811" w:rsidRPr="00F33E9B" w14:paraId="0A534980" w14:textId="0DC920CB" w:rsidTr="005D0811">
        <w:trPr>
          <w:trHeight w:val="318"/>
        </w:trPr>
        <w:tc>
          <w:tcPr>
            <w:tcW w:w="224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35F53433" w14:textId="7BD2B4F6" w:rsidR="005D0811" w:rsidRDefault="005D0811" w:rsidP="009B5D1F">
            <w:pPr>
              <w:spacing w:after="0" w:line="240" w:lineRule="auto"/>
              <w:rPr>
                <w:rFonts w:eastAsia="Times New Roman" w:cs="Arial"/>
                <w:color w:val="000000"/>
                <w:szCs w:val="20"/>
                <w:lang w:eastAsia="en-AU"/>
              </w:rPr>
            </w:pPr>
            <w:r>
              <w:rPr>
                <w:rFonts w:eastAsia="Times New Roman" w:cs="Arial"/>
                <w:color w:val="000000"/>
                <w:szCs w:val="20"/>
                <w:lang w:eastAsia="en-AU"/>
              </w:rPr>
              <w:t xml:space="preserve">Oil - </w:t>
            </w:r>
            <w:r w:rsidR="009E75DB">
              <w:rPr>
                <w:rFonts w:eastAsia="Times New Roman" w:cs="Arial"/>
                <w:color w:val="000000"/>
                <w:szCs w:val="20"/>
                <w:lang w:eastAsia="en-AU"/>
              </w:rPr>
              <w:t>p</w:t>
            </w:r>
            <w:r>
              <w:rPr>
                <w:rFonts w:eastAsia="Times New Roman" w:cs="Arial"/>
                <w:color w:val="000000"/>
                <w:szCs w:val="20"/>
                <w:lang w:eastAsia="en-AU"/>
              </w:rPr>
              <w:t>roduction</w:t>
            </w:r>
          </w:p>
        </w:tc>
        <w:tc>
          <w:tcPr>
            <w:tcW w:w="4593"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1AE0515C" w14:textId="0431C4D0" w:rsidR="005D0811" w:rsidRDefault="005D0811" w:rsidP="009B5D1F">
            <w:r>
              <w:rPr>
                <w:rFonts w:eastAsia="Times New Roman" w:cs="Arial"/>
                <w:color w:val="000000"/>
                <w:szCs w:val="20"/>
                <w:lang w:eastAsia="en-AU"/>
              </w:rPr>
              <w:t>Crude oil and condensate production</w:t>
            </w:r>
          </w:p>
        </w:tc>
        <w:tc>
          <w:tcPr>
            <w:tcW w:w="2266"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tcPr>
          <w:p w14:paraId="77FBD480" w14:textId="5D752D90" w:rsidR="005D0811" w:rsidRDefault="00B13BAB" w:rsidP="009B5D1F">
            <w:pPr>
              <w:rPr>
                <w:rFonts w:eastAsia="Times New Roman" w:cs="Arial"/>
                <w:color w:val="000000"/>
                <w:szCs w:val="20"/>
                <w:lang w:eastAsia="en-AU"/>
              </w:rPr>
            </w:pPr>
            <w:r>
              <w:rPr>
                <w:rFonts w:cs="Arial"/>
                <w:color w:val="000000"/>
              </w:rPr>
              <w:t>OCE 2017</w:t>
            </w:r>
            <w:r w:rsidR="00182B82">
              <w:rPr>
                <w:rFonts w:cs="Arial"/>
                <w:color w:val="000000"/>
              </w:rPr>
              <w:t>a</w:t>
            </w:r>
            <w:r>
              <w:rPr>
                <w:rFonts w:cs="Arial"/>
                <w:color w:val="000000"/>
              </w:rPr>
              <w:t>,</w:t>
            </w:r>
            <w:r w:rsidR="009E75DB">
              <w:rPr>
                <w:rFonts w:cs="Arial"/>
                <w:color w:val="000000"/>
              </w:rPr>
              <w:t xml:space="preserve"> </w:t>
            </w:r>
            <w:r>
              <w:rPr>
                <w:rFonts w:cs="Arial"/>
                <w:color w:val="000000"/>
              </w:rPr>
              <w:t>BREE 2014</w:t>
            </w:r>
          </w:p>
        </w:tc>
      </w:tr>
      <w:tr w:rsidR="005D0811" w:rsidRPr="00F33E9B" w14:paraId="3F1B5F5D" w14:textId="4C26390A" w:rsidTr="005D0811">
        <w:trPr>
          <w:trHeight w:val="318"/>
        </w:trPr>
        <w:tc>
          <w:tcPr>
            <w:tcW w:w="224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56EA7750" w14:textId="7361D23D" w:rsidR="005D0811" w:rsidRDefault="005D0811" w:rsidP="00B370EE">
            <w:pPr>
              <w:spacing w:after="0" w:line="240" w:lineRule="auto"/>
              <w:rPr>
                <w:rFonts w:eastAsia="Times New Roman" w:cs="Arial"/>
                <w:color w:val="000000"/>
                <w:szCs w:val="20"/>
                <w:lang w:eastAsia="en-AU"/>
              </w:rPr>
            </w:pPr>
            <w:r>
              <w:rPr>
                <w:rFonts w:eastAsia="Times New Roman" w:cs="Arial"/>
                <w:color w:val="000000"/>
                <w:szCs w:val="20"/>
                <w:lang w:eastAsia="en-AU"/>
              </w:rPr>
              <w:t xml:space="preserve">Oil - </w:t>
            </w:r>
            <w:r w:rsidR="009E75DB">
              <w:rPr>
                <w:rFonts w:eastAsia="Times New Roman" w:cs="Arial"/>
                <w:color w:val="000000"/>
                <w:szCs w:val="20"/>
                <w:lang w:eastAsia="en-AU"/>
              </w:rPr>
              <w:t>e</w:t>
            </w:r>
            <w:r>
              <w:rPr>
                <w:rFonts w:eastAsia="Times New Roman" w:cs="Arial"/>
                <w:color w:val="000000"/>
                <w:szCs w:val="20"/>
                <w:lang w:eastAsia="en-AU"/>
              </w:rPr>
              <w:t>xploration</w:t>
            </w:r>
          </w:p>
        </w:tc>
        <w:tc>
          <w:tcPr>
            <w:tcW w:w="4593"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7BF00A55" w14:textId="5DDFC9A2" w:rsidR="005D0811" w:rsidRDefault="005D0811" w:rsidP="008326E5">
            <w:r>
              <w:t>Historical 10-year average</w:t>
            </w:r>
          </w:p>
        </w:tc>
        <w:tc>
          <w:tcPr>
            <w:tcW w:w="2266"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tcPr>
          <w:p w14:paraId="71671BCE" w14:textId="1A5337A2" w:rsidR="005D0811" w:rsidRDefault="0004701A" w:rsidP="008326E5">
            <w:r>
              <w:t>DOEE 2017</w:t>
            </w:r>
          </w:p>
        </w:tc>
      </w:tr>
      <w:tr w:rsidR="005D0811" w:rsidRPr="00F33E9B" w14:paraId="2ABCBC9A" w14:textId="7549D00E" w:rsidTr="005D0811">
        <w:trPr>
          <w:trHeight w:val="318"/>
        </w:trPr>
        <w:tc>
          <w:tcPr>
            <w:tcW w:w="2245"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7B18A05C" w14:textId="0ACB61B4" w:rsidR="005D0811" w:rsidRDefault="005D0811" w:rsidP="009B5D1F">
            <w:pPr>
              <w:spacing w:after="0" w:line="240" w:lineRule="auto"/>
              <w:rPr>
                <w:rFonts w:eastAsia="Times New Roman" w:cs="Arial"/>
                <w:color w:val="000000"/>
                <w:szCs w:val="20"/>
                <w:lang w:eastAsia="en-AU"/>
              </w:rPr>
            </w:pPr>
            <w:r>
              <w:rPr>
                <w:rFonts w:eastAsia="Times New Roman" w:cs="Arial"/>
                <w:color w:val="000000"/>
                <w:szCs w:val="20"/>
                <w:lang w:eastAsia="en-AU"/>
              </w:rPr>
              <w:t xml:space="preserve">Oil - </w:t>
            </w:r>
            <w:r w:rsidR="009E75DB">
              <w:rPr>
                <w:rFonts w:eastAsia="Times New Roman" w:cs="Arial"/>
                <w:color w:val="000000"/>
                <w:szCs w:val="20"/>
                <w:lang w:eastAsia="en-AU"/>
              </w:rPr>
              <w:t>t</w:t>
            </w:r>
            <w:r>
              <w:rPr>
                <w:rFonts w:eastAsia="Times New Roman" w:cs="Arial"/>
                <w:color w:val="000000"/>
                <w:szCs w:val="20"/>
                <w:lang w:eastAsia="en-AU"/>
              </w:rPr>
              <w:t>ransport</w:t>
            </w:r>
          </w:p>
        </w:tc>
        <w:tc>
          <w:tcPr>
            <w:tcW w:w="4593"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7ACCEB92" w14:textId="0458245A" w:rsidR="005D0811" w:rsidRDefault="005D0811" w:rsidP="009B5D1F">
            <w:r>
              <w:rPr>
                <w:rFonts w:eastAsia="Times New Roman" w:cs="Arial"/>
                <w:color w:val="000000"/>
                <w:szCs w:val="20"/>
                <w:lang w:eastAsia="en-AU"/>
              </w:rPr>
              <w:t>Crude oil and condensate production</w:t>
            </w:r>
          </w:p>
        </w:tc>
        <w:tc>
          <w:tcPr>
            <w:tcW w:w="2266" w:type="dxa"/>
            <w:tcBorders>
              <w:top w:val="single" w:sz="4" w:space="0" w:color="FFFFFF" w:themeColor="background1"/>
              <w:left w:val="nil"/>
              <w:bottom w:val="single" w:sz="8" w:space="0" w:color="FFFFFF"/>
              <w:right w:val="single" w:sz="8" w:space="0" w:color="FFFFFF"/>
            </w:tcBorders>
            <w:shd w:val="clear" w:color="auto" w:fill="DBE5F1" w:themeFill="accent1" w:themeFillTint="33"/>
          </w:tcPr>
          <w:p w14:paraId="2BBF8E2A" w14:textId="376FED77" w:rsidR="005D0811" w:rsidRDefault="00B13BAB" w:rsidP="00182B82">
            <w:pPr>
              <w:rPr>
                <w:rFonts w:eastAsia="Times New Roman" w:cs="Arial"/>
                <w:color w:val="000000"/>
                <w:szCs w:val="20"/>
                <w:lang w:eastAsia="en-AU"/>
              </w:rPr>
            </w:pPr>
            <w:r>
              <w:rPr>
                <w:rFonts w:cs="Arial"/>
                <w:color w:val="000000"/>
              </w:rPr>
              <w:t>OCE 2017</w:t>
            </w:r>
            <w:r w:rsidR="00182B82">
              <w:rPr>
                <w:rFonts w:cs="Arial"/>
                <w:color w:val="000000"/>
              </w:rPr>
              <w:t>a</w:t>
            </w:r>
            <w:r>
              <w:rPr>
                <w:rFonts w:cs="Arial"/>
                <w:color w:val="000000"/>
              </w:rPr>
              <w:t>,</w:t>
            </w:r>
            <w:r w:rsidR="009E75DB">
              <w:rPr>
                <w:rFonts w:cs="Arial"/>
                <w:color w:val="000000"/>
              </w:rPr>
              <w:t xml:space="preserve"> </w:t>
            </w:r>
            <w:r>
              <w:rPr>
                <w:rFonts w:cs="Arial"/>
                <w:color w:val="000000"/>
              </w:rPr>
              <w:t>BREE 2014</w:t>
            </w:r>
          </w:p>
        </w:tc>
      </w:tr>
    </w:tbl>
    <w:p w14:paraId="57613760" w14:textId="1D2827C5" w:rsidR="00270C04" w:rsidRDefault="003F5CC6" w:rsidP="00436DF9">
      <w:r>
        <w:br/>
      </w:r>
      <w:r w:rsidR="009064FF">
        <w:t xml:space="preserve">Oil exploration emissions are small </w:t>
      </w:r>
      <w:r w:rsidR="005D0811">
        <w:t>(&lt;0.01Mt CO</w:t>
      </w:r>
      <w:r w:rsidR="005D0811" w:rsidRPr="005D0811">
        <w:rPr>
          <w:vertAlign w:val="subscript"/>
        </w:rPr>
        <w:t>2</w:t>
      </w:r>
      <w:r w:rsidR="005D0811">
        <w:t xml:space="preserve">-e) </w:t>
      </w:r>
      <w:r w:rsidR="009064FF">
        <w:t>and volatile from year-to-year</w:t>
      </w:r>
      <w:r w:rsidR="005D0811">
        <w:t>. A</w:t>
      </w:r>
      <w:r w:rsidR="009064FF">
        <w:t xml:space="preserve"> </w:t>
      </w:r>
      <w:r w:rsidR="00C84307">
        <w:t>consistent</w:t>
      </w:r>
      <w:r w:rsidR="009064FF">
        <w:t xml:space="preserve"> link to a proxy indicator was not found. Therefore historical emission</w:t>
      </w:r>
      <w:r w:rsidR="00C2368F">
        <w:t>s</w:t>
      </w:r>
      <w:r w:rsidR="009064FF">
        <w:t xml:space="preserve"> levels ha</w:t>
      </w:r>
      <w:r w:rsidR="00D7185D">
        <w:t>ve</w:t>
      </w:r>
      <w:r w:rsidR="009064FF">
        <w:t xml:space="preserve"> been used to project</w:t>
      </w:r>
      <w:r w:rsidR="005D0811">
        <w:t xml:space="preserve"> future</w:t>
      </w:r>
      <w:r w:rsidR="009064FF">
        <w:t xml:space="preserve"> emissions from this source.</w:t>
      </w:r>
    </w:p>
    <w:p w14:paraId="5A14840B" w14:textId="19E8723B" w:rsidR="00270C04" w:rsidRPr="008A2D35" w:rsidRDefault="00831C61" w:rsidP="00436DF9">
      <w:pPr>
        <w:rPr>
          <w:i/>
          <w:u w:val="single"/>
        </w:rPr>
      </w:pPr>
      <w:r w:rsidRPr="008A2D35">
        <w:rPr>
          <w:i/>
          <w:u w:val="single"/>
        </w:rPr>
        <w:t xml:space="preserve">Fugitive emissions from </w:t>
      </w:r>
      <w:r w:rsidR="00270C04" w:rsidRPr="008A2D35">
        <w:rPr>
          <w:i/>
          <w:u w:val="single"/>
        </w:rPr>
        <w:t>LNG</w:t>
      </w:r>
    </w:p>
    <w:p w14:paraId="6551953B" w14:textId="51BC7187" w:rsidR="00270C04" w:rsidRDefault="00B370EE" w:rsidP="00436DF9">
      <w:r>
        <w:t xml:space="preserve">The Department maintains a </w:t>
      </w:r>
      <w:r w:rsidR="00873D38">
        <w:t>facility-by-facility</w:t>
      </w:r>
      <w:r>
        <w:t xml:space="preserve"> model of fugitive emissions from LNG. Emissions depend on the operation of the plant, the</w:t>
      </w:r>
      <w:r w:rsidR="00873D38">
        <w:t xml:space="preserve"> carbon dioxide concentration and source</w:t>
      </w:r>
      <w:r>
        <w:t xml:space="preserve"> of</w:t>
      </w:r>
      <w:r w:rsidR="00873D38">
        <w:t xml:space="preserve"> the</w:t>
      </w:r>
      <w:r>
        <w:t xml:space="preserve"> </w:t>
      </w:r>
      <w:r w:rsidR="008A2D35">
        <w:t>feed</w:t>
      </w:r>
      <w:r w:rsidR="00873D38">
        <w:t xml:space="preserve"> gas</w:t>
      </w:r>
      <w:r>
        <w:t xml:space="preserve">, abatement actions and </w:t>
      </w:r>
      <w:r w:rsidR="00873D38">
        <w:t xml:space="preserve">annual </w:t>
      </w:r>
      <w:r>
        <w:t>production.</w:t>
      </w:r>
    </w:p>
    <w:p w14:paraId="18E4BC4C" w14:textId="753617ED" w:rsidR="00873D38" w:rsidRDefault="00873D38" w:rsidP="00873D38">
      <w:pPr>
        <w:rPr>
          <w:i/>
          <w:vertAlign w:val="superscript"/>
        </w:rPr>
      </w:pPr>
      <w:r>
        <w:rPr>
          <w:i/>
        </w:rPr>
        <w:t>E</w:t>
      </w:r>
      <w:r>
        <w:rPr>
          <w:i/>
          <w:vertAlign w:val="subscript"/>
        </w:rPr>
        <w:t>t</w:t>
      </w:r>
      <w:r>
        <w:rPr>
          <w:i/>
        </w:rPr>
        <w:t xml:space="preserve"> = </w:t>
      </w:r>
      <w:r w:rsidRPr="00730A73">
        <w:rPr>
          <w:rFonts w:cs="Arial"/>
          <w:i/>
        </w:rPr>
        <w:t>∑</w:t>
      </w:r>
      <w:r>
        <w:rPr>
          <w:rFonts w:cs="Arial"/>
          <w:i/>
        </w:rPr>
        <w:t xml:space="preserve"> </w:t>
      </w:r>
      <w:r w:rsidR="00651598">
        <w:rPr>
          <w:rFonts w:cs="Arial"/>
          <w:i/>
        </w:rPr>
        <w:t>(</w:t>
      </w:r>
      <w:proofErr w:type="spellStart"/>
      <w:proofErr w:type="gramStart"/>
      <w:r>
        <w:rPr>
          <w:i/>
        </w:rPr>
        <w:t>P</w:t>
      </w:r>
      <w:r>
        <w:rPr>
          <w:i/>
          <w:vertAlign w:val="subscript"/>
        </w:rPr>
        <w:t>ti</w:t>
      </w:r>
      <w:proofErr w:type="spellEnd"/>
      <w:r>
        <w:rPr>
          <w:i/>
          <w:vertAlign w:val="subscript"/>
        </w:rPr>
        <w:t xml:space="preserve"> </w:t>
      </w:r>
      <w:r w:rsidRPr="009064FF">
        <w:rPr>
          <w:i/>
        </w:rPr>
        <w:t>.</w:t>
      </w:r>
      <w:proofErr w:type="gramEnd"/>
      <w:r>
        <w:rPr>
          <w:i/>
          <w:vertAlign w:val="subscript"/>
        </w:rPr>
        <w:t xml:space="preserve"> </w:t>
      </w:r>
      <w:r>
        <w:rPr>
          <w:i/>
        </w:rPr>
        <w:t>(</w:t>
      </w:r>
      <w:proofErr w:type="spellStart"/>
      <w:r>
        <w:rPr>
          <w:i/>
        </w:rPr>
        <w:t>E</w:t>
      </w:r>
      <w:r w:rsidR="00B20170">
        <w:rPr>
          <w:i/>
        </w:rPr>
        <w:t>I</w:t>
      </w:r>
      <w:r>
        <w:rPr>
          <w:i/>
          <w:vertAlign w:val="subscript"/>
        </w:rPr>
        <w:t>v</w:t>
      </w:r>
      <w:r w:rsidRPr="00873D38">
        <w:rPr>
          <w:i/>
          <w:vertAlign w:val="subscript"/>
        </w:rPr>
        <w:t>i</w:t>
      </w:r>
      <w:proofErr w:type="spellEnd"/>
      <w:r>
        <w:rPr>
          <w:i/>
        </w:rPr>
        <w:t xml:space="preserve"> + </w:t>
      </w:r>
      <w:proofErr w:type="spellStart"/>
      <w:r>
        <w:rPr>
          <w:i/>
        </w:rPr>
        <w:t>E</w:t>
      </w:r>
      <w:r w:rsidR="00B20170">
        <w:rPr>
          <w:i/>
        </w:rPr>
        <w:t>I</w:t>
      </w:r>
      <w:r>
        <w:rPr>
          <w:i/>
          <w:vertAlign w:val="subscript"/>
        </w:rPr>
        <w:t>f</w:t>
      </w:r>
      <w:r w:rsidRPr="00873D38">
        <w:rPr>
          <w:i/>
          <w:vertAlign w:val="subscript"/>
        </w:rPr>
        <w:t>i</w:t>
      </w:r>
      <w:proofErr w:type="spellEnd"/>
      <w:r>
        <w:rPr>
          <w:i/>
        </w:rPr>
        <w:t xml:space="preserve"> + </w:t>
      </w:r>
      <w:proofErr w:type="spellStart"/>
      <w:r>
        <w:rPr>
          <w:i/>
        </w:rPr>
        <w:t>E</w:t>
      </w:r>
      <w:r w:rsidR="00B20170">
        <w:rPr>
          <w:i/>
        </w:rPr>
        <w:t>I</w:t>
      </w:r>
      <w:r>
        <w:rPr>
          <w:i/>
          <w:vertAlign w:val="subscript"/>
        </w:rPr>
        <w:t>o</w:t>
      </w:r>
      <w:r w:rsidRPr="00873D38">
        <w:rPr>
          <w:i/>
          <w:vertAlign w:val="subscript"/>
        </w:rPr>
        <w:t>i</w:t>
      </w:r>
      <w:proofErr w:type="spellEnd"/>
      <w:r>
        <w:rPr>
          <w:i/>
        </w:rPr>
        <w:t>)</w:t>
      </w:r>
      <w:r w:rsidR="00651598">
        <w:rPr>
          <w:i/>
        </w:rPr>
        <w:t>)</w:t>
      </w:r>
      <w:r>
        <w:rPr>
          <w:i/>
        </w:rPr>
        <w:t xml:space="preserve"> - </w:t>
      </w:r>
      <w:proofErr w:type="spellStart"/>
      <w:r>
        <w:rPr>
          <w:i/>
        </w:rPr>
        <w:t>CCS</w:t>
      </w:r>
      <w:r w:rsidRPr="00873D38">
        <w:rPr>
          <w:i/>
          <w:vertAlign w:val="subscript"/>
        </w:rPr>
        <w:t>ti</w:t>
      </w:r>
      <w:proofErr w:type="spellEnd"/>
    </w:p>
    <w:p w14:paraId="1A1862A3" w14:textId="03FA3211" w:rsidR="00873D38" w:rsidRDefault="00873D38" w:rsidP="00873D38">
      <w:pPr>
        <w:rPr>
          <w:i/>
          <w:sz w:val="16"/>
          <w:szCs w:val="16"/>
        </w:rPr>
      </w:pPr>
      <w:r w:rsidRPr="007773F3">
        <w:rPr>
          <w:i/>
          <w:sz w:val="16"/>
          <w:szCs w:val="16"/>
        </w:rPr>
        <w:t xml:space="preserve">Where: </w:t>
      </w:r>
      <w:r>
        <w:rPr>
          <w:i/>
          <w:sz w:val="16"/>
          <w:szCs w:val="16"/>
        </w:rPr>
        <w:br/>
        <w:t>E</w:t>
      </w:r>
      <w:r>
        <w:rPr>
          <w:i/>
          <w:sz w:val="16"/>
          <w:szCs w:val="16"/>
          <w:vertAlign w:val="subscript"/>
        </w:rPr>
        <w:t>t</w:t>
      </w:r>
      <w:r w:rsidRPr="007773F3">
        <w:rPr>
          <w:i/>
          <w:sz w:val="16"/>
          <w:szCs w:val="16"/>
        </w:rPr>
        <w:t xml:space="preserve"> = </w:t>
      </w:r>
      <w:r>
        <w:rPr>
          <w:i/>
          <w:sz w:val="16"/>
          <w:szCs w:val="16"/>
        </w:rPr>
        <w:t>LNG fugitive emissions in year t (</w:t>
      </w:r>
      <w:r w:rsidR="00651598">
        <w:rPr>
          <w:i/>
          <w:sz w:val="16"/>
          <w:szCs w:val="16"/>
        </w:rPr>
        <w:t>M</w:t>
      </w:r>
      <w:r>
        <w:rPr>
          <w:i/>
          <w:sz w:val="16"/>
          <w:szCs w:val="16"/>
        </w:rPr>
        <w:t>t CO</w:t>
      </w:r>
      <w:r w:rsidRPr="00DF47C3">
        <w:rPr>
          <w:i/>
          <w:sz w:val="16"/>
          <w:szCs w:val="16"/>
          <w:vertAlign w:val="subscript"/>
        </w:rPr>
        <w:t>2</w:t>
      </w:r>
      <w:r>
        <w:rPr>
          <w:i/>
          <w:sz w:val="16"/>
          <w:szCs w:val="16"/>
        </w:rPr>
        <w:t>-e</w:t>
      </w:r>
      <w:proofErr w:type="gramStart"/>
      <w:r>
        <w:rPr>
          <w:i/>
          <w:sz w:val="16"/>
          <w:szCs w:val="16"/>
        </w:rPr>
        <w:t>)</w:t>
      </w:r>
      <w:proofErr w:type="gramEnd"/>
      <w:r>
        <w:rPr>
          <w:i/>
          <w:sz w:val="16"/>
          <w:szCs w:val="16"/>
        </w:rPr>
        <w:br/>
      </w:r>
      <w:proofErr w:type="spellStart"/>
      <w:r w:rsidRPr="00873D38">
        <w:rPr>
          <w:i/>
          <w:sz w:val="16"/>
          <w:szCs w:val="16"/>
        </w:rPr>
        <w:t>P</w:t>
      </w:r>
      <w:r>
        <w:rPr>
          <w:i/>
          <w:vertAlign w:val="subscript"/>
        </w:rPr>
        <w:t>ti</w:t>
      </w:r>
      <w:proofErr w:type="spellEnd"/>
      <w:r w:rsidRPr="007773F3">
        <w:rPr>
          <w:i/>
          <w:sz w:val="16"/>
          <w:szCs w:val="16"/>
        </w:rPr>
        <w:t xml:space="preserve"> = </w:t>
      </w:r>
      <w:r>
        <w:rPr>
          <w:i/>
          <w:sz w:val="16"/>
          <w:szCs w:val="16"/>
        </w:rPr>
        <w:t xml:space="preserve">production at facility </w:t>
      </w:r>
      <w:proofErr w:type="spellStart"/>
      <w:r>
        <w:rPr>
          <w:i/>
          <w:sz w:val="16"/>
          <w:szCs w:val="16"/>
        </w:rPr>
        <w:t>i</w:t>
      </w:r>
      <w:proofErr w:type="spellEnd"/>
      <w:r>
        <w:rPr>
          <w:i/>
          <w:sz w:val="16"/>
          <w:szCs w:val="16"/>
        </w:rPr>
        <w:t xml:space="preserve"> in year t (Mt LNG)</w:t>
      </w:r>
      <w:r>
        <w:rPr>
          <w:i/>
          <w:sz w:val="16"/>
          <w:szCs w:val="16"/>
        </w:rPr>
        <w:br/>
      </w:r>
      <w:proofErr w:type="spellStart"/>
      <w:r w:rsidR="00B20170" w:rsidRPr="00B20170">
        <w:rPr>
          <w:i/>
          <w:sz w:val="16"/>
          <w:szCs w:val="16"/>
        </w:rPr>
        <w:t>E</w:t>
      </w:r>
      <w:r w:rsidR="00B20170">
        <w:rPr>
          <w:i/>
          <w:sz w:val="16"/>
          <w:szCs w:val="16"/>
        </w:rPr>
        <w:t>I</w:t>
      </w:r>
      <w:r w:rsidR="00B20170" w:rsidRPr="00B20170">
        <w:rPr>
          <w:i/>
          <w:sz w:val="16"/>
          <w:szCs w:val="16"/>
          <w:vertAlign w:val="subscript"/>
        </w:rPr>
        <w:t>vi</w:t>
      </w:r>
      <w:proofErr w:type="spellEnd"/>
      <w:r w:rsidRPr="00B20170">
        <w:rPr>
          <w:i/>
          <w:sz w:val="16"/>
          <w:szCs w:val="16"/>
          <w:vertAlign w:val="subscript"/>
        </w:rPr>
        <w:t xml:space="preserve"> </w:t>
      </w:r>
      <w:r w:rsidRPr="007773F3">
        <w:rPr>
          <w:i/>
          <w:sz w:val="16"/>
          <w:szCs w:val="16"/>
        </w:rPr>
        <w:t xml:space="preserve">= </w:t>
      </w:r>
      <w:r w:rsidR="00B20170">
        <w:rPr>
          <w:i/>
          <w:sz w:val="16"/>
          <w:szCs w:val="16"/>
        </w:rPr>
        <w:t xml:space="preserve">venting emissions intensity at facility </w:t>
      </w:r>
      <w:proofErr w:type="spellStart"/>
      <w:r w:rsidR="00B20170">
        <w:rPr>
          <w:i/>
          <w:sz w:val="16"/>
          <w:szCs w:val="16"/>
        </w:rPr>
        <w:t>i</w:t>
      </w:r>
      <w:proofErr w:type="spellEnd"/>
      <w:r w:rsidR="00B20170">
        <w:rPr>
          <w:i/>
          <w:sz w:val="16"/>
          <w:szCs w:val="16"/>
        </w:rPr>
        <w:t xml:space="preserve"> (</w:t>
      </w:r>
      <w:r w:rsidR="00651598">
        <w:rPr>
          <w:i/>
          <w:sz w:val="16"/>
          <w:szCs w:val="16"/>
        </w:rPr>
        <w:t>M</w:t>
      </w:r>
      <w:r w:rsidR="00B20170">
        <w:rPr>
          <w:i/>
          <w:sz w:val="16"/>
          <w:szCs w:val="16"/>
        </w:rPr>
        <w:t>t CO</w:t>
      </w:r>
      <w:r w:rsidR="00B20170" w:rsidRPr="00DF47C3">
        <w:rPr>
          <w:i/>
          <w:sz w:val="16"/>
          <w:szCs w:val="16"/>
          <w:vertAlign w:val="subscript"/>
        </w:rPr>
        <w:t>2</w:t>
      </w:r>
      <w:r w:rsidR="00B20170">
        <w:rPr>
          <w:i/>
          <w:sz w:val="16"/>
          <w:szCs w:val="16"/>
        </w:rPr>
        <w:t>-e/Mt LNG)</w:t>
      </w:r>
      <w:r w:rsidR="00B20170">
        <w:rPr>
          <w:i/>
          <w:sz w:val="16"/>
          <w:szCs w:val="16"/>
        </w:rPr>
        <w:br/>
      </w:r>
      <w:proofErr w:type="spellStart"/>
      <w:r w:rsidR="00B20170" w:rsidRPr="00B20170">
        <w:rPr>
          <w:i/>
          <w:sz w:val="16"/>
          <w:szCs w:val="16"/>
        </w:rPr>
        <w:t>E</w:t>
      </w:r>
      <w:r w:rsidR="00B20170">
        <w:rPr>
          <w:i/>
          <w:sz w:val="16"/>
          <w:szCs w:val="16"/>
        </w:rPr>
        <w:t>I</w:t>
      </w:r>
      <w:r w:rsidR="00B20170">
        <w:rPr>
          <w:i/>
          <w:sz w:val="16"/>
          <w:szCs w:val="16"/>
          <w:vertAlign w:val="subscript"/>
        </w:rPr>
        <w:t>f</w:t>
      </w:r>
      <w:r w:rsidR="00B20170" w:rsidRPr="00B20170">
        <w:rPr>
          <w:i/>
          <w:sz w:val="16"/>
          <w:szCs w:val="16"/>
          <w:vertAlign w:val="subscript"/>
        </w:rPr>
        <w:t>i</w:t>
      </w:r>
      <w:proofErr w:type="spellEnd"/>
      <w:r w:rsidR="00B20170" w:rsidRPr="00B20170">
        <w:rPr>
          <w:i/>
          <w:sz w:val="16"/>
          <w:szCs w:val="16"/>
          <w:vertAlign w:val="subscript"/>
        </w:rPr>
        <w:t xml:space="preserve"> </w:t>
      </w:r>
      <w:r w:rsidR="00B20170" w:rsidRPr="007773F3">
        <w:rPr>
          <w:i/>
          <w:sz w:val="16"/>
          <w:szCs w:val="16"/>
        </w:rPr>
        <w:t xml:space="preserve">= </w:t>
      </w:r>
      <w:r w:rsidR="00B20170">
        <w:rPr>
          <w:i/>
          <w:sz w:val="16"/>
          <w:szCs w:val="16"/>
        </w:rPr>
        <w:t xml:space="preserve">flaring emissions intensity at facility </w:t>
      </w:r>
      <w:proofErr w:type="spellStart"/>
      <w:r w:rsidR="00B20170">
        <w:rPr>
          <w:i/>
          <w:sz w:val="16"/>
          <w:szCs w:val="16"/>
        </w:rPr>
        <w:t>i</w:t>
      </w:r>
      <w:proofErr w:type="spellEnd"/>
      <w:r w:rsidR="00B20170">
        <w:rPr>
          <w:i/>
          <w:sz w:val="16"/>
          <w:szCs w:val="16"/>
        </w:rPr>
        <w:t xml:space="preserve"> (</w:t>
      </w:r>
      <w:r w:rsidR="00651598">
        <w:rPr>
          <w:i/>
          <w:sz w:val="16"/>
          <w:szCs w:val="16"/>
        </w:rPr>
        <w:t>M</w:t>
      </w:r>
      <w:r w:rsidR="00B20170">
        <w:rPr>
          <w:i/>
          <w:sz w:val="16"/>
          <w:szCs w:val="16"/>
        </w:rPr>
        <w:t>t CO</w:t>
      </w:r>
      <w:r w:rsidR="00B20170" w:rsidRPr="00DF47C3">
        <w:rPr>
          <w:i/>
          <w:sz w:val="16"/>
          <w:szCs w:val="16"/>
          <w:vertAlign w:val="subscript"/>
        </w:rPr>
        <w:t>2</w:t>
      </w:r>
      <w:r w:rsidR="00B20170">
        <w:rPr>
          <w:i/>
          <w:sz w:val="16"/>
          <w:szCs w:val="16"/>
        </w:rPr>
        <w:t>-e/Mt LNG)</w:t>
      </w:r>
      <w:r w:rsidR="00B20170">
        <w:rPr>
          <w:i/>
          <w:sz w:val="16"/>
          <w:szCs w:val="16"/>
        </w:rPr>
        <w:br/>
      </w:r>
      <w:proofErr w:type="spellStart"/>
      <w:r w:rsidR="00B20170" w:rsidRPr="00B20170">
        <w:rPr>
          <w:i/>
          <w:sz w:val="16"/>
          <w:szCs w:val="16"/>
        </w:rPr>
        <w:t>E</w:t>
      </w:r>
      <w:r w:rsidR="00B20170">
        <w:rPr>
          <w:i/>
          <w:sz w:val="16"/>
          <w:szCs w:val="16"/>
        </w:rPr>
        <w:t>I</w:t>
      </w:r>
      <w:r w:rsidR="00B20170">
        <w:rPr>
          <w:i/>
          <w:sz w:val="16"/>
          <w:szCs w:val="16"/>
          <w:vertAlign w:val="subscript"/>
        </w:rPr>
        <w:t>o</w:t>
      </w:r>
      <w:r w:rsidR="00B20170" w:rsidRPr="00B20170">
        <w:rPr>
          <w:i/>
          <w:sz w:val="16"/>
          <w:szCs w:val="16"/>
          <w:vertAlign w:val="subscript"/>
        </w:rPr>
        <w:t>i</w:t>
      </w:r>
      <w:proofErr w:type="spellEnd"/>
      <w:r w:rsidR="00B20170" w:rsidRPr="00B20170">
        <w:rPr>
          <w:i/>
          <w:sz w:val="16"/>
          <w:szCs w:val="16"/>
          <w:vertAlign w:val="subscript"/>
        </w:rPr>
        <w:t xml:space="preserve"> </w:t>
      </w:r>
      <w:r w:rsidR="00B20170" w:rsidRPr="007773F3">
        <w:rPr>
          <w:i/>
          <w:sz w:val="16"/>
          <w:szCs w:val="16"/>
        </w:rPr>
        <w:t xml:space="preserve">= </w:t>
      </w:r>
      <w:r w:rsidR="00B20170">
        <w:rPr>
          <w:i/>
          <w:sz w:val="16"/>
          <w:szCs w:val="16"/>
        </w:rPr>
        <w:t xml:space="preserve">other leaks emissions intensity at facility </w:t>
      </w:r>
      <w:proofErr w:type="spellStart"/>
      <w:r w:rsidR="00B20170">
        <w:rPr>
          <w:i/>
          <w:sz w:val="16"/>
          <w:szCs w:val="16"/>
        </w:rPr>
        <w:t>i</w:t>
      </w:r>
      <w:proofErr w:type="spellEnd"/>
      <w:r w:rsidR="00B20170">
        <w:rPr>
          <w:i/>
          <w:sz w:val="16"/>
          <w:szCs w:val="16"/>
        </w:rPr>
        <w:t xml:space="preserve"> (</w:t>
      </w:r>
      <w:r w:rsidR="00651598">
        <w:rPr>
          <w:i/>
          <w:sz w:val="16"/>
          <w:szCs w:val="16"/>
        </w:rPr>
        <w:t>M</w:t>
      </w:r>
      <w:r w:rsidR="00B20170">
        <w:rPr>
          <w:i/>
          <w:sz w:val="16"/>
          <w:szCs w:val="16"/>
        </w:rPr>
        <w:t>t CO</w:t>
      </w:r>
      <w:r w:rsidR="00B20170" w:rsidRPr="00DF47C3">
        <w:rPr>
          <w:i/>
          <w:sz w:val="16"/>
          <w:szCs w:val="16"/>
          <w:vertAlign w:val="subscript"/>
        </w:rPr>
        <w:t>2</w:t>
      </w:r>
      <w:r w:rsidR="00B20170">
        <w:rPr>
          <w:i/>
          <w:sz w:val="16"/>
          <w:szCs w:val="16"/>
        </w:rPr>
        <w:t>-e/Mt LNG)</w:t>
      </w:r>
      <w:r w:rsidR="00B20170">
        <w:rPr>
          <w:i/>
          <w:sz w:val="16"/>
          <w:szCs w:val="16"/>
        </w:rPr>
        <w:br/>
      </w:r>
      <w:proofErr w:type="spellStart"/>
      <w:r w:rsidR="00B20170">
        <w:rPr>
          <w:i/>
          <w:sz w:val="16"/>
          <w:szCs w:val="16"/>
        </w:rPr>
        <w:t>CCS</w:t>
      </w:r>
      <w:r w:rsidR="00B20170">
        <w:rPr>
          <w:i/>
          <w:sz w:val="16"/>
          <w:szCs w:val="16"/>
          <w:vertAlign w:val="subscript"/>
        </w:rPr>
        <w:t>ti</w:t>
      </w:r>
      <w:proofErr w:type="spellEnd"/>
      <w:r w:rsidR="00B20170" w:rsidRPr="00B20170">
        <w:rPr>
          <w:i/>
          <w:sz w:val="16"/>
          <w:szCs w:val="16"/>
          <w:vertAlign w:val="subscript"/>
        </w:rPr>
        <w:t xml:space="preserve"> </w:t>
      </w:r>
      <w:r w:rsidR="00B20170" w:rsidRPr="007773F3">
        <w:rPr>
          <w:i/>
          <w:sz w:val="16"/>
          <w:szCs w:val="16"/>
        </w:rPr>
        <w:t xml:space="preserve">= </w:t>
      </w:r>
      <w:r w:rsidR="00B20170">
        <w:rPr>
          <w:i/>
          <w:sz w:val="16"/>
          <w:szCs w:val="16"/>
        </w:rPr>
        <w:t>CO</w:t>
      </w:r>
      <w:r w:rsidR="00B20170" w:rsidRPr="00B20170">
        <w:rPr>
          <w:i/>
          <w:sz w:val="16"/>
          <w:szCs w:val="16"/>
          <w:vertAlign w:val="subscript"/>
        </w:rPr>
        <w:t>2</w:t>
      </w:r>
      <w:r w:rsidR="00B20170">
        <w:rPr>
          <w:i/>
          <w:sz w:val="16"/>
          <w:szCs w:val="16"/>
        </w:rPr>
        <w:t xml:space="preserve"> captured and stored at facility </w:t>
      </w:r>
      <w:proofErr w:type="spellStart"/>
      <w:r w:rsidR="00B20170">
        <w:rPr>
          <w:i/>
          <w:sz w:val="16"/>
          <w:szCs w:val="16"/>
        </w:rPr>
        <w:t>i</w:t>
      </w:r>
      <w:proofErr w:type="spellEnd"/>
      <w:r w:rsidR="00B20170">
        <w:rPr>
          <w:i/>
          <w:sz w:val="16"/>
          <w:szCs w:val="16"/>
        </w:rPr>
        <w:t xml:space="preserve"> in year t (</w:t>
      </w:r>
      <w:r w:rsidR="00651598">
        <w:rPr>
          <w:i/>
          <w:sz w:val="16"/>
          <w:szCs w:val="16"/>
        </w:rPr>
        <w:t>M</w:t>
      </w:r>
      <w:r w:rsidR="00B20170">
        <w:rPr>
          <w:i/>
          <w:sz w:val="16"/>
          <w:szCs w:val="16"/>
        </w:rPr>
        <w:t>t CO</w:t>
      </w:r>
      <w:r w:rsidR="00B20170" w:rsidRPr="00DF47C3">
        <w:rPr>
          <w:i/>
          <w:sz w:val="16"/>
          <w:szCs w:val="16"/>
          <w:vertAlign w:val="subscript"/>
        </w:rPr>
        <w:t>2</w:t>
      </w:r>
      <w:r w:rsidR="00B20170">
        <w:rPr>
          <w:i/>
          <w:sz w:val="16"/>
          <w:szCs w:val="16"/>
        </w:rPr>
        <w:t>)</w:t>
      </w:r>
    </w:p>
    <w:p w14:paraId="7B96B86E" w14:textId="7FFF4656" w:rsidR="00B370EE" w:rsidRDefault="00B370EE" w:rsidP="00436DF9">
      <w:r>
        <w:t xml:space="preserve">Production projections </w:t>
      </w:r>
      <w:r w:rsidR="005D0811">
        <w:t xml:space="preserve">of each facility </w:t>
      </w:r>
      <w:r>
        <w:t>are informed by</w:t>
      </w:r>
      <w:r w:rsidR="008A2D35">
        <w:t xml:space="preserve"> estimates from the</w:t>
      </w:r>
      <w:r>
        <w:t xml:space="preserve"> </w:t>
      </w:r>
      <w:r w:rsidR="009E75DB">
        <w:t>OCE</w:t>
      </w:r>
      <w:r w:rsidR="00CE74AC">
        <w:t xml:space="preserve"> (OCE 2017a</w:t>
      </w:r>
      <w:r w:rsidR="0004701A">
        <w:t>)</w:t>
      </w:r>
      <w:r>
        <w:t>, Bloomberg New Energy Finance</w:t>
      </w:r>
      <w:r w:rsidR="0004701A">
        <w:t xml:space="preserve"> (BNEF 2017)</w:t>
      </w:r>
      <w:r>
        <w:t>, AME Group and Lewis Grey Advisory</w:t>
      </w:r>
      <w:r w:rsidR="008A2D35">
        <w:t xml:space="preserve"> (</w:t>
      </w:r>
      <w:r w:rsidR="00936BBE">
        <w:t>Lewis Grey Advisory 2016</w:t>
      </w:r>
      <w:r w:rsidR="008A2D35">
        <w:t>)</w:t>
      </w:r>
      <w:r>
        <w:t xml:space="preserve">. </w:t>
      </w:r>
      <w:r w:rsidR="00873D38">
        <w:t>The</w:t>
      </w:r>
      <w:r w:rsidR="008A2D35">
        <w:t xml:space="preserve"> projections </w:t>
      </w:r>
      <w:r w:rsidR="00651598">
        <w:t>consider</w:t>
      </w:r>
      <w:r w:rsidR="008A2D35">
        <w:t xml:space="preserve"> committed </w:t>
      </w:r>
      <w:r w:rsidR="005D0811">
        <w:t>and</w:t>
      </w:r>
      <w:r w:rsidR="008A2D35">
        <w:t xml:space="preserve"> prospective additions </w:t>
      </w:r>
      <w:r w:rsidR="00651598">
        <w:t>and</w:t>
      </w:r>
      <w:r w:rsidR="008A2D35">
        <w:t xml:space="preserve"> removals </w:t>
      </w:r>
      <w:r w:rsidR="00873D38">
        <w:t>in</w:t>
      </w:r>
      <w:r w:rsidR="008A2D35">
        <w:t xml:space="preserve"> capacity</w:t>
      </w:r>
      <w:r w:rsidR="00651598">
        <w:t xml:space="preserve"> given the global outlook for LNG</w:t>
      </w:r>
      <w:r w:rsidR="008A2D35">
        <w:t>.</w:t>
      </w:r>
    </w:p>
    <w:p w14:paraId="292B64A9" w14:textId="0860DE48" w:rsidR="00270C04" w:rsidRDefault="00A308D1" w:rsidP="00436DF9">
      <w:r>
        <w:t xml:space="preserve">Emissions </w:t>
      </w:r>
      <w:r w:rsidR="00397F4F">
        <w:t xml:space="preserve">intensities </w:t>
      </w:r>
      <w:r>
        <w:t>for venting, flaring and other</w:t>
      </w:r>
      <w:r w:rsidR="00397F4F">
        <w:t xml:space="preserve"> fugitive</w:t>
      </w:r>
      <w:r>
        <w:t xml:space="preserve"> leaks</w:t>
      </w:r>
      <w:r w:rsidR="00397F4F">
        <w:t xml:space="preserve"> at operating facilities are based on </w:t>
      </w:r>
      <w:r>
        <w:t>NGER data. For</w:t>
      </w:r>
      <w:r w:rsidR="00397F4F">
        <w:t xml:space="preserve"> new</w:t>
      </w:r>
      <w:r>
        <w:t xml:space="preserve"> facilities</w:t>
      </w:r>
      <w:r w:rsidR="00397F4F">
        <w:t xml:space="preserve"> emissions </w:t>
      </w:r>
      <w:r w:rsidR="005D0811">
        <w:t xml:space="preserve">intensities </w:t>
      </w:r>
      <w:r w:rsidR="00397F4F">
        <w:t>are s</w:t>
      </w:r>
      <w:r>
        <w:t>ourced from Environmental Impact Statements or other sources. The</w:t>
      </w:r>
      <w:r w:rsidR="00397F4F">
        <w:t xml:space="preserve"> projected emission</w:t>
      </w:r>
      <w:r w:rsidR="00C2368F">
        <w:t>s</w:t>
      </w:r>
      <w:r w:rsidR="00397F4F">
        <w:t xml:space="preserve"> intensities take account of changes in feed gas</w:t>
      </w:r>
      <w:r>
        <w:t>.</w:t>
      </w:r>
    </w:p>
    <w:p w14:paraId="31152CD0" w14:textId="52C8BE85" w:rsidR="00A308D1" w:rsidRDefault="00831C61" w:rsidP="00436DF9">
      <w:r>
        <w:t xml:space="preserve">The projections include </w:t>
      </w:r>
      <w:r w:rsidR="00873D38">
        <w:t xml:space="preserve">abatement from </w:t>
      </w:r>
      <w:r>
        <w:t xml:space="preserve">the carbon </w:t>
      </w:r>
      <w:r w:rsidR="00397F4F">
        <w:t xml:space="preserve">dioxide injection project at </w:t>
      </w:r>
      <w:r>
        <w:t>Gorgon.</w:t>
      </w:r>
    </w:p>
    <w:p w14:paraId="39193361" w14:textId="5E213F94" w:rsidR="00270C04" w:rsidRPr="00397F4F" w:rsidRDefault="00270C04" w:rsidP="00436DF9">
      <w:pPr>
        <w:rPr>
          <w:i/>
          <w:u w:val="single"/>
        </w:rPr>
      </w:pPr>
      <w:r w:rsidRPr="00397F4F">
        <w:rPr>
          <w:i/>
          <w:u w:val="single"/>
        </w:rPr>
        <w:t>O</w:t>
      </w:r>
      <w:r w:rsidR="00397F4F" w:rsidRPr="00397F4F">
        <w:rPr>
          <w:i/>
          <w:u w:val="single"/>
        </w:rPr>
        <w:t>ther fugitive emissions from gas</w:t>
      </w:r>
    </w:p>
    <w:p w14:paraId="7A0C910B" w14:textId="7BF18AD5" w:rsidR="005D0811" w:rsidRDefault="00831C61" w:rsidP="005D0811">
      <w:r>
        <w:t xml:space="preserve">Other fugitive emissions from gas </w:t>
      </w:r>
      <w:r w:rsidR="0086447E">
        <w:t>include gas exploration, extraction, processing, storage and transport</w:t>
      </w:r>
      <w:r>
        <w:t>.</w:t>
      </w:r>
      <w:r w:rsidR="005D0811">
        <w:t xml:space="preserve"> </w:t>
      </w:r>
      <w:r w:rsidR="001354DC">
        <w:t>E</w:t>
      </w:r>
      <w:r w:rsidR="005D0811">
        <w:t>missions</w:t>
      </w:r>
      <w:r w:rsidR="001354DC">
        <w:t xml:space="preserve"> are </w:t>
      </w:r>
      <w:r w:rsidR="005D0811">
        <w:t>separated into twenty sub-sectors. Proxy indicators are used to project the growth in emissions from the sectors as listed below.</w:t>
      </w:r>
    </w:p>
    <w:p w14:paraId="6E160D60" w14:textId="77777777" w:rsidR="0086447E" w:rsidRDefault="0086447E" w:rsidP="0086447E">
      <w:pPr>
        <w:rPr>
          <w:i/>
          <w:vertAlign w:val="superscript"/>
        </w:rPr>
      </w:pPr>
      <w:r>
        <w:rPr>
          <w:i/>
        </w:rPr>
        <w:t>E</w:t>
      </w:r>
      <w:r>
        <w:rPr>
          <w:i/>
          <w:vertAlign w:val="subscript"/>
        </w:rPr>
        <w:t>t</w:t>
      </w:r>
      <w:r>
        <w:rPr>
          <w:i/>
        </w:rPr>
        <w:t xml:space="preserve"> = E</w:t>
      </w:r>
      <w:r>
        <w:rPr>
          <w:i/>
          <w:vertAlign w:val="subscript"/>
        </w:rPr>
        <w:t>t-</w:t>
      </w:r>
      <w:proofErr w:type="gramStart"/>
      <w:r>
        <w:rPr>
          <w:i/>
          <w:vertAlign w:val="subscript"/>
        </w:rPr>
        <w:t xml:space="preserve">1 </w:t>
      </w:r>
      <w:r w:rsidRPr="009064FF">
        <w:rPr>
          <w:i/>
        </w:rPr>
        <w:t>.</w:t>
      </w:r>
      <w:proofErr w:type="gramEnd"/>
      <w:r>
        <w:rPr>
          <w:i/>
          <w:vertAlign w:val="subscript"/>
        </w:rPr>
        <w:t xml:space="preserve"> </w:t>
      </w:r>
      <w:proofErr w:type="spellStart"/>
      <w:r>
        <w:rPr>
          <w:i/>
        </w:rPr>
        <w:t>Pr</w:t>
      </w:r>
      <w:r>
        <w:rPr>
          <w:i/>
          <w:vertAlign w:val="subscript"/>
        </w:rPr>
        <w:t>t</w:t>
      </w:r>
      <w:proofErr w:type="spellEnd"/>
      <w:r>
        <w:rPr>
          <w:i/>
          <w:vertAlign w:val="subscript"/>
        </w:rPr>
        <w:t xml:space="preserve"> </w:t>
      </w:r>
      <w:r w:rsidRPr="00EE4997">
        <w:rPr>
          <w:i/>
        </w:rPr>
        <w:t xml:space="preserve">/ </w:t>
      </w:r>
      <w:r>
        <w:rPr>
          <w:i/>
        </w:rPr>
        <w:t>Pr</w:t>
      </w:r>
      <w:r>
        <w:rPr>
          <w:i/>
          <w:vertAlign w:val="subscript"/>
        </w:rPr>
        <w:t>t-1</w:t>
      </w:r>
    </w:p>
    <w:p w14:paraId="5F0C090B" w14:textId="40704CC5" w:rsidR="0086447E" w:rsidRDefault="0086447E" w:rsidP="0086447E">
      <w:pPr>
        <w:rPr>
          <w:i/>
          <w:sz w:val="16"/>
          <w:szCs w:val="16"/>
        </w:rPr>
      </w:pPr>
      <w:r w:rsidRPr="007773F3">
        <w:rPr>
          <w:i/>
          <w:sz w:val="16"/>
          <w:szCs w:val="16"/>
        </w:rPr>
        <w:t xml:space="preserve">Where: </w:t>
      </w:r>
      <w:r>
        <w:rPr>
          <w:i/>
          <w:sz w:val="16"/>
          <w:szCs w:val="16"/>
        </w:rPr>
        <w:br/>
        <w:t>E</w:t>
      </w:r>
      <w:r>
        <w:rPr>
          <w:i/>
          <w:sz w:val="16"/>
          <w:szCs w:val="16"/>
          <w:vertAlign w:val="subscript"/>
        </w:rPr>
        <w:t>t</w:t>
      </w:r>
      <w:r w:rsidRPr="007773F3">
        <w:rPr>
          <w:i/>
          <w:sz w:val="16"/>
          <w:szCs w:val="16"/>
        </w:rPr>
        <w:t xml:space="preserve"> = </w:t>
      </w:r>
      <w:r>
        <w:rPr>
          <w:i/>
          <w:sz w:val="16"/>
          <w:szCs w:val="16"/>
        </w:rPr>
        <w:t>emissions in the year t (</w:t>
      </w:r>
      <w:r w:rsidR="001354DC">
        <w:rPr>
          <w:i/>
          <w:sz w:val="16"/>
          <w:szCs w:val="16"/>
        </w:rPr>
        <w:t>M</w:t>
      </w:r>
      <w:r>
        <w:rPr>
          <w:i/>
          <w:sz w:val="16"/>
          <w:szCs w:val="16"/>
        </w:rPr>
        <w:t>t CO</w:t>
      </w:r>
      <w:r w:rsidRPr="00DF47C3">
        <w:rPr>
          <w:i/>
          <w:sz w:val="16"/>
          <w:szCs w:val="16"/>
          <w:vertAlign w:val="subscript"/>
        </w:rPr>
        <w:t>2</w:t>
      </w:r>
      <w:r>
        <w:rPr>
          <w:i/>
          <w:sz w:val="16"/>
          <w:szCs w:val="16"/>
        </w:rPr>
        <w:t>-e</w:t>
      </w:r>
      <w:proofErr w:type="gramStart"/>
      <w:r>
        <w:rPr>
          <w:i/>
          <w:sz w:val="16"/>
          <w:szCs w:val="16"/>
        </w:rPr>
        <w:t>)</w:t>
      </w:r>
      <w:proofErr w:type="gramEnd"/>
      <w:r>
        <w:rPr>
          <w:i/>
          <w:sz w:val="16"/>
          <w:szCs w:val="16"/>
        </w:rPr>
        <w:br/>
        <w:t>E</w:t>
      </w:r>
      <w:r>
        <w:rPr>
          <w:i/>
          <w:sz w:val="16"/>
          <w:szCs w:val="16"/>
          <w:vertAlign w:val="subscript"/>
        </w:rPr>
        <w:t>t-1</w:t>
      </w:r>
      <w:r w:rsidRPr="007773F3">
        <w:rPr>
          <w:i/>
          <w:sz w:val="16"/>
          <w:szCs w:val="16"/>
        </w:rPr>
        <w:t xml:space="preserve"> = </w:t>
      </w:r>
      <w:r>
        <w:rPr>
          <w:i/>
          <w:sz w:val="16"/>
          <w:szCs w:val="16"/>
        </w:rPr>
        <w:t>emissions in the year t-1 (</w:t>
      </w:r>
      <w:r w:rsidR="001354DC">
        <w:rPr>
          <w:i/>
          <w:sz w:val="16"/>
          <w:szCs w:val="16"/>
        </w:rPr>
        <w:t>M</w:t>
      </w:r>
      <w:r>
        <w:rPr>
          <w:i/>
          <w:sz w:val="16"/>
          <w:szCs w:val="16"/>
        </w:rPr>
        <w:t>t CO</w:t>
      </w:r>
      <w:r w:rsidRPr="00DF47C3">
        <w:rPr>
          <w:i/>
          <w:sz w:val="16"/>
          <w:szCs w:val="16"/>
          <w:vertAlign w:val="subscript"/>
        </w:rPr>
        <w:t>2</w:t>
      </w:r>
      <w:r>
        <w:rPr>
          <w:i/>
          <w:sz w:val="16"/>
          <w:szCs w:val="16"/>
        </w:rPr>
        <w:t>-e)</w:t>
      </w:r>
      <w:r>
        <w:rPr>
          <w:i/>
          <w:sz w:val="16"/>
          <w:szCs w:val="16"/>
        </w:rPr>
        <w:br/>
      </w:r>
      <w:proofErr w:type="spellStart"/>
      <w:r w:rsidRPr="009064FF">
        <w:rPr>
          <w:i/>
          <w:sz w:val="16"/>
          <w:szCs w:val="16"/>
        </w:rPr>
        <w:t>Pr</w:t>
      </w:r>
      <w:r w:rsidRPr="009064FF">
        <w:rPr>
          <w:i/>
          <w:sz w:val="16"/>
          <w:szCs w:val="16"/>
          <w:vertAlign w:val="subscript"/>
        </w:rPr>
        <w:t>t</w:t>
      </w:r>
      <w:proofErr w:type="spellEnd"/>
      <w:r>
        <w:rPr>
          <w:i/>
          <w:sz w:val="16"/>
          <w:szCs w:val="16"/>
          <w:vertAlign w:val="subscript"/>
        </w:rPr>
        <w:t xml:space="preserve"> </w:t>
      </w:r>
      <w:r w:rsidRPr="007773F3">
        <w:rPr>
          <w:i/>
          <w:sz w:val="16"/>
          <w:szCs w:val="16"/>
        </w:rPr>
        <w:t xml:space="preserve">= </w:t>
      </w:r>
      <w:r>
        <w:rPr>
          <w:i/>
          <w:sz w:val="16"/>
          <w:szCs w:val="16"/>
        </w:rPr>
        <w:t>proxy indicator in the projection year</w:t>
      </w:r>
      <w:r>
        <w:rPr>
          <w:i/>
          <w:sz w:val="16"/>
          <w:szCs w:val="16"/>
        </w:rPr>
        <w:br/>
      </w:r>
      <w:r w:rsidRPr="009064FF">
        <w:rPr>
          <w:i/>
          <w:sz w:val="16"/>
          <w:szCs w:val="16"/>
        </w:rPr>
        <w:t>Pr</w:t>
      </w:r>
      <w:r w:rsidRPr="009064FF">
        <w:rPr>
          <w:i/>
          <w:sz w:val="16"/>
          <w:szCs w:val="16"/>
          <w:vertAlign w:val="subscript"/>
        </w:rPr>
        <w:t>t</w:t>
      </w:r>
      <w:r>
        <w:rPr>
          <w:i/>
          <w:sz w:val="16"/>
          <w:szCs w:val="16"/>
          <w:vertAlign w:val="subscript"/>
        </w:rPr>
        <w:t xml:space="preserve">-1 </w:t>
      </w:r>
      <w:r w:rsidRPr="007773F3">
        <w:rPr>
          <w:i/>
          <w:sz w:val="16"/>
          <w:szCs w:val="16"/>
        </w:rPr>
        <w:t xml:space="preserve">= </w:t>
      </w:r>
      <w:r>
        <w:rPr>
          <w:i/>
          <w:sz w:val="16"/>
          <w:szCs w:val="16"/>
        </w:rPr>
        <w:t xml:space="preserve">proxy indicator in the year t-1 </w:t>
      </w:r>
    </w:p>
    <w:p w14:paraId="3A01C8CA" w14:textId="7A593F56" w:rsidR="000B1381" w:rsidRPr="00C808FE" w:rsidRDefault="000B1381" w:rsidP="000B1381">
      <w:pPr>
        <w:rPr>
          <w:b/>
        </w:rPr>
      </w:pPr>
      <w:r w:rsidRPr="00C808FE">
        <w:rPr>
          <w:b/>
        </w:rPr>
        <w:t xml:space="preserve">Table </w:t>
      </w:r>
      <w:r>
        <w:rPr>
          <w:b/>
        </w:rPr>
        <w:t>4</w:t>
      </w:r>
      <w:r w:rsidR="009E75DB">
        <w:rPr>
          <w:b/>
        </w:rPr>
        <w:t>.</w:t>
      </w:r>
      <w:r w:rsidRPr="00C808FE">
        <w:rPr>
          <w:b/>
        </w:rPr>
        <w:tab/>
        <w:t xml:space="preserve">Summary of </w:t>
      </w:r>
      <w:r>
        <w:rPr>
          <w:b/>
        </w:rPr>
        <w:t>sources for gas fugitive emissions</w:t>
      </w:r>
    </w:p>
    <w:tbl>
      <w:tblPr>
        <w:tblW w:w="9104" w:type="dxa"/>
        <w:tblInd w:w="108" w:type="dxa"/>
        <w:tblLook w:val="04A0" w:firstRow="1" w:lastRow="0" w:firstColumn="1" w:lastColumn="0" w:noHBand="0" w:noVBand="1"/>
      </w:tblPr>
      <w:tblGrid>
        <w:gridCol w:w="3085"/>
        <w:gridCol w:w="3215"/>
        <w:gridCol w:w="2804"/>
      </w:tblGrid>
      <w:tr w:rsidR="00521A30" w:rsidRPr="00484C3E" w14:paraId="5F76EAFE" w14:textId="681801B5" w:rsidTr="008B62C0">
        <w:trPr>
          <w:trHeight w:val="855"/>
          <w:tblHeader/>
        </w:trPr>
        <w:tc>
          <w:tcPr>
            <w:tcW w:w="3085" w:type="dxa"/>
            <w:tcBorders>
              <w:top w:val="nil"/>
              <w:left w:val="nil"/>
              <w:right w:val="nil"/>
            </w:tcBorders>
            <w:shd w:val="clear" w:color="000000" w:fill="134F8E"/>
            <w:vAlign w:val="center"/>
            <w:hideMark/>
          </w:tcPr>
          <w:p w14:paraId="1E4726DA" w14:textId="5ADB30B9" w:rsidR="00521A30" w:rsidRPr="00484C3E" w:rsidRDefault="00521A30" w:rsidP="009B5D1F">
            <w:pPr>
              <w:spacing w:after="0" w:line="240" w:lineRule="auto"/>
              <w:rPr>
                <w:rFonts w:eastAsia="Times New Roman" w:cs="Arial"/>
                <w:b/>
                <w:color w:val="FFFFFF" w:themeColor="background1"/>
                <w:szCs w:val="24"/>
                <w:lang w:eastAsia="en-AU"/>
              </w:rPr>
            </w:pPr>
            <w:r>
              <w:rPr>
                <w:rFonts w:eastAsia="Times New Roman" w:cs="Arial"/>
                <w:b/>
                <w:color w:val="FFFFFF" w:themeColor="background1"/>
                <w:szCs w:val="24"/>
                <w:lang w:eastAsia="en-AU"/>
              </w:rPr>
              <w:t>Fugitive emissions source</w:t>
            </w:r>
          </w:p>
        </w:tc>
        <w:tc>
          <w:tcPr>
            <w:tcW w:w="3215" w:type="dxa"/>
            <w:tcBorders>
              <w:top w:val="nil"/>
              <w:left w:val="nil"/>
              <w:right w:val="nil"/>
            </w:tcBorders>
            <w:shd w:val="clear" w:color="000000" w:fill="134F8E"/>
            <w:vAlign w:val="center"/>
            <w:hideMark/>
          </w:tcPr>
          <w:p w14:paraId="2AAA3DC2" w14:textId="4CDFACF8" w:rsidR="00521A30" w:rsidRPr="00484C3E" w:rsidRDefault="00521A30" w:rsidP="009B5D1F">
            <w:pPr>
              <w:spacing w:after="0" w:line="240" w:lineRule="auto"/>
              <w:rPr>
                <w:rFonts w:eastAsia="Times New Roman" w:cs="Arial"/>
                <w:b/>
                <w:color w:val="FFFFFF" w:themeColor="background1"/>
                <w:lang w:eastAsia="en-AU"/>
              </w:rPr>
            </w:pPr>
            <w:r>
              <w:rPr>
                <w:rFonts w:cs="Arial"/>
                <w:b/>
                <w:color w:val="FFFFFF" w:themeColor="background1"/>
                <w:kern w:val="24"/>
                <w:szCs w:val="32"/>
              </w:rPr>
              <w:t xml:space="preserve">Proxy </w:t>
            </w:r>
            <w:r w:rsidR="009E75DB">
              <w:rPr>
                <w:rFonts w:cs="Arial"/>
                <w:b/>
                <w:color w:val="FFFFFF" w:themeColor="background1"/>
                <w:kern w:val="24"/>
                <w:szCs w:val="32"/>
              </w:rPr>
              <w:t>i</w:t>
            </w:r>
            <w:r>
              <w:rPr>
                <w:rFonts w:cs="Arial"/>
                <w:b/>
                <w:color w:val="FFFFFF" w:themeColor="background1"/>
                <w:kern w:val="24"/>
                <w:szCs w:val="32"/>
              </w:rPr>
              <w:t>ndicator</w:t>
            </w:r>
          </w:p>
        </w:tc>
        <w:tc>
          <w:tcPr>
            <w:tcW w:w="2804" w:type="dxa"/>
            <w:tcBorders>
              <w:top w:val="nil"/>
              <w:left w:val="nil"/>
              <w:right w:val="nil"/>
            </w:tcBorders>
            <w:shd w:val="clear" w:color="000000" w:fill="134F8E"/>
            <w:vAlign w:val="center"/>
          </w:tcPr>
          <w:p w14:paraId="7C0660DB" w14:textId="619D5418" w:rsidR="00521A30" w:rsidRDefault="00521A30" w:rsidP="009B5D1F">
            <w:pPr>
              <w:spacing w:after="0" w:line="240" w:lineRule="auto"/>
              <w:rPr>
                <w:rFonts w:cs="Arial"/>
                <w:b/>
                <w:color w:val="FFFFFF" w:themeColor="background1"/>
                <w:kern w:val="24"/>
                <w:szCs w:val="32"/>
              </w:rPr>
            </w:pPr>
            <w:r>
              <w:rPr>
                <w:rFonts w:cs="Arial"/>
                <w:b/>
                <w:color w:val="FFFFFF" w:themeColor="background1"/>
                <w:kern w:val="24"/>
                <w:szCs w:val="32"/>
              </w:rPr>
              <w:t>Source</w:t>
            </w:r>
          </w:p>
        </w:tc>
      </w:tr>
      <w:tr w:rsidR="00521A30" w:rsidRPr="00763307" w14:paraId="07EB57E1" w14:textId="79157837" w:rsidTr="0086447E">
        <w:trPr>
          <w:trHeight w:val="315"/>
        </w:trPr>
        <w:tc>
          <w:tcPr>
            <w:tcW w:w="3085"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hideMark/>
          </w:tcPr>
          <w:p w14:paraId="7021E930" w14:textId="59C6C656" w:rsidR="00521A30" w:rsidRPr="008B62C0" w:rsidRDefault="00521A30" w:rsidP="00831C61">
            <w:pPr>
              <w:spacing w:after="0" w:line="240" w:lineRule="auto"/>
              <w:rPr>
                <w:rFonts w:eastAsia="Times New Roman" w:cs="Arial"/>
                <w:color w:val="000000"/>
                <w:lang w:eastAsia="en-AU"/>
              </w:rPr>
            </w:pPr>
            <w:r w:rsidRPr="008B62C0">
              <w:rPr>
                <w:rFonts w:cs="Arial"/>
                <w:color w:val="000000"/>
              </w:rPr>
              <w:t>Distribution</w:t>
            </w:r>
          </w:p>
        </w:tc>
        <w:tc>
          <w:tcPr>
            <w:tcW w:w="3215"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5FFBCB40" w14:textId="372B043C" w:rsidR="00521A30" w:rsidRPr="008B62C0" w:rsidRDefault="00521A30" w:rsidP="0086447E">
            <w:pPr>
              <w:spacing w:after="0" w:line="240" w:lineRule="auto"/>
              <w:rPr>
                <w:rFonts w:eastAsia="Times New Roman" w:cs="Arial"/>
                <w:color w:val="000000"/>
                <w:lang w:eastAsia="en-AU"/>
              </w:rPr>
            </w:pPr>
            <w:r w:rsidRPr="008B62C0">
              <w:rPr>
                <w:rFonts w:cs="Arial"/>
                <w:color w:val="000000"/>
              </w:rPr>
              <w:t>Unaccounted for gas losses</w:t>
            </w:r>
          </w:p>
        </w:tc>
        <w:tc>
          <w:tcPr>
            <w:tcW w:w="2804"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47B1D462" w14:textId="31ACCF02" w:rsidR="00521A30" w:rsidRPr="008B62C0" w:rsidRDefault="00521A30" w:rsidP="0086447E">
            <w:pPr>
              <w:spacing w:after="0" w:line="240" w:lineRule="auto"/>
              <w:rPr>
                <w:rFonts w:cs="Arial"/>
                <w:color w:val="000000"/>
              </w:rPr>
            </w:pPr>
            <w:r w:rsidRPr="008B62C0">
              <w:rPr>
                <w:rFonts w:cs="Arial"/>
                <w:color w:val="000000"/>
              </w:rPr>
              <w:t>AEMO</w:t>
            </w:r>
            <w:r w:rsidR="00B13BAB">
              <w:rPr>
                <w:rFonts w:cs="Arial"/>
                <w:color w:val="000000"/>
              </w:rPr>
              <w:t xml:space="preserve"> 2016</w:t>
            </w:r>
          </w:p>
        </w:tc>
      </w:tr>
      <w:tr w:rsidR="00521A30" w:rsidRPr="00F33E9B" w14:paraId="1E1334BD" w14:textId="07D7078C"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6A96F6C7" w14:textId="3BFB8122" w:rsidR="00521A30" w:rsidRPr="008B62C0" w:rsidRDefault="00521A30" w:rsidP="00831C61">
            <w:pPr>
              <w:spacing w:after="0" w:line="240" w:lineRule="auto"/>
              <w:rPr>
                <w:rFonts w:eastAsia="Times New Roman" w:cs="Arial"/>
                <w:color w:val="000000"/>
                <w:lang w:eastAsia="en-AU"/>
              </w:rPr>
            </w:pPr>
            <w:r w:rsidRPr="008B62C0">
              <w:rPr>
                <w:rFonts w:cs="Arial"/>
                <w:color w:val="000000"/>
              </w:rPr>
              <w:t xml:space="preserve">Exploration - </w:t>
            </w:r>
            <w:r w:rsidR="009E75DB">
              <w:rPr>
                <w:rFonts w:cs="Arial"/>
                <w:color w:val="000000"/>
              </w:rPr>
              <w:t>f</w:t>
            </w:r>
            <w:r w:rsidRPr="008B62C0">
              <w:rPr>
                <w:rFonts w:cs="Arial"/>
                <w:color w:val="000000"/>
              </w:rPr>
              <w:t>lared</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3C86184B" w14:textId="54FCA1FA" w:rsidR="00521A30" w:rsidRPr="008B62C0" w:rsidRDefault="00521A30" w:rsidP="0086447E">
            <w:pPr>
              <w:spacing w:after="0" w:line="240" w:lineRule="auto"/>
              <w:rPr>
                <w:rFonts w:eastAsia="Times New Roman" w:cs="Arial"/>
                <w:color w:val="000000"/>
                <w:lang w:eastAsia="en-AU"/>
              </w:rPr>
            </w:pPr>
            <w:r w:rsidRPr="008B62C0">
              <w:rPr>
                <w:rFonts w:cs="Arial"/>
                <w:color w:val="000000"/>
              </w:rPr>
              <w:t>Total gas production</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5F49336A" w14:textId="3A95C36D" w:rsidR="00521A30" w:rsidRPr="008B62C0" w:rsidRDefault="00CE74AC" w:rsidP="0086447E">
            <w:pPr>
              <w:spacing w:after="0" w:line="240" w:lineRule="auto"/>
              <w:rPr>
                <w:rFonts w:cs="Arial"/>
                <w:color w:val="000000"/>
              </w:rPr>
            </w:pPr>
            <w:r>
              <w:rPr>
                <w:rFonts w:cs="Arial"/>
                <w:color w:val="000000"/>
              </w:rPr>
              <w:t>OCE 2017a</w:t>
            </w:r>
            <w:r w:rsidR="00521A30" w:rsidRPr="008B62C0">
              <w:rPr>
                <w:rFonts w:cs="Arial"/>
                <w:color w:val="000000"/>
              </w:rPr>
              <w:t>, AEMO</w:t>
            </w:r>
            <w:r w:rsidR="00B13BAB">
              <w:rPr>
                <w:rFonts w:cs="Arial"/>
                <w:color w:val="000000"/>
              </w:rPr>
              <w:t xml:space="preserve"> 2016, AEMO 2016a</w:t>
            </w:r>
            <w:r w:rsidR="00521A30" w:rsidRPr="008B62C0">
              <w:rPr>
                <w:rFonts w:cs="Arial"/>
                <w:color w:val="000000"/>
              </w:rPr>
              <w:t xml:space="preserve">, </w:t>
            </w:r>
            <w:r w:rsidR="009E75DB">
              <w:rPr>
                <w:rFonts w:cs="Arial"/>
                <w:color w:val="000000"/>
              </w:rPr>
              <w:t>e</w:t>
            </w:r>
            <w:r w:rsidR="00024878">
              <w:rPr>
                <w:rFonts w:cs="Arial"/>
                <w:color w:val="000000"/>
              </w:rPr>
              <w:t xml:space="preserve">mission </w:t>
            </w:r>
            <w:r w:rsidR="004963C6">
              <w:rPr>
                <w:rFonts w:cs="Arial"/>
                <w:color w:val="000000"/>
              </w:rPr>
              <w:t xml:space="preserve">projections </w:t>
            </w:r>
            <w:r w:rsidR="00521A30" w:rsidRPr="008B62C0">
              <w:rPr>
                <w:rFonts w:cs="Arial"/>
                <w:color w:val="000000"/>
              </w:rPr>
              <w:t>model</w:t>
            </w:r>
            <w:r w:rsidR="00024878">
              <w:rPr>
                <w:rFonts w:cs="Arial"/>
                <w:color w:val="000000"/>
              </w:rPr>
              <w:t>s for LNG, electricity and direct combustion</w:t>
            </w:r>
          </w:p>
        </w:tc>
      </w:tr>
      <w:tr w:rsidR="00521A30" w14:paraId="2C30299B" w14:textId="2CBBCA43"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61DB0303" w14:textId="58CB7683" w:rsidR="00521A30" w:rsidRPr="008B62C0" w:rsidRDefault="00521A30" w:rsidP="00831C61">
            <w:pPr>
              <w:spacing w:after="0" w:line="240" w:lineRule="auto"/>
              <w:rPr>
                <w:rFonts w:eastAsia="Times New Roman" w:cs="Arial"/>
                <w:color w:val="000000"/>
                <w:lang w:eastAsia="en-AU"/>
              </w:rPr>
            </w:pPr>
            <w:r w:rsidRPr="008B62C0">
              <w:rPr>
                <w:rFonts w:cs="Arial"/>
                <w:color w:val="000000"/>
              </w:rPr>
              <w:t xml:space="preserve">Exploration - </w:t>
            </w:r>
            <w:r w:rsidR="009E75DB">
              <w:rPr>
                <w:rFonts w:cs="Arial"/>
                <w:color w:val="000000"/>
              </w:rPr>
              <w:t>l</w:t>
            </w:r>
            <w:r w:rsidRPr="008B62C0">
              <w:rPr>
                <w:rFonts w:cs="Arial"/>
                <w:color w:val="000000"/>
              </w:rPr>
              <w:t xml:space="preserve">eakage - </w:t>
            </w:r>
            <w:r w:rsidR="009E75DB">
              <w:rPr>
                <w:rFonts w:cs="Arial"/>
                <w:color w:val="000000"/>
              </w:rPr>
              <w:t>c</w:t>
            </w:r>
            <w:r w:rsidRPr="008B62C0">
              <w:rPr>
                <w:rFonts w:cs="Arial"/>
                <w:color w:val="000000"/>
              </w:rPr>
              <w:t>onventional</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2A0F6774" w14:textId="4005EEE3" w:rsidR="00521A30" w:rsidRPr="008B62C0" w:rsidRDefault="00521A30" w:rsidP="0086447E">
            <w:pPr>
              <w:spacing w:after="0"/>
              <w:rPr>
                <w:rFonts w:cs="Arial"/>
              </w:rPr>
            </w:pPr>
            <w:r w:rsidRPr="008B62C0">
              <w:rPr>
                <w:rFonts w:cs="Arial"/>
                <w:color w:val="000000"/>
              </w:rPr>
              <w:t>Conventional gas production</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3B4B41C2" w14:textId="108E5FBA" w:rsidR="00521A30" w:rsidRPr="008B62C0" w:rsidRDefault="00CE74AC" w:rsidP="0086447E">
            <w:pPr>
              <w:spacing w:after="0"/>
              <w:rPr>
                <w:rFonts w:cs="Arial"/>
                <w:color w:val="000000"/>
              </w:rPr>
            </w:pPr>
            <w:r>
              <w:rPr>
                <w:rFonts w:cs="Arial"/>
                <w:color w:val="000000"/>
              </w:rPr>
              <w:t>OCE 2017a</w:t>
            </w:r>
            <w:r w:rsidR="004963C6" w:rsidRPr="008B62C0">
              <w:rPr>
                <w:rFonts w:cs="Arial"/>
                <w:color w:val="000000"/>
              </w:rPr>
              <w:t>, AEMO</w:t>
            </w:r>
            <w:r w:rsidR="004963C6">
              <w:rPr>
                <w:rFonts w:cs="Arial"/>
                <w:color w:val="000000"/>
              </w:rPr>
              <w:t xml:space="preserve"> 2016, AEMO 2016a</w:t>
            </w:r>
            <w:r w:rsidR="004963C6" w:rsidRPr="008B62C0">
              <w:rPr>
                <w:rFonts w:cs="Arial"/>
                <w:color w:val="000000"/>
              </w:rPr>
              <w:t xml:space="preserve">, </w:t>
            </w:r>
            <w:r w:rsidR="009E75DB">
              <w:rPr>
                <w:rFonts w:cs="Arial"/>
                <w:color w:val="000000"/>
              </w:rPr>
              <w:t>e</w:t>
            </w:r>
            <w:r w:rsidR="00024878">
              <w:rPr>
                <w:rFonts w:cs="Arial"/>
                <w:color w:val="000000"/>
              </w:rPr>
              <w:t>mission</w:t>
            </w:r>
            <w:r w:rsidR="004963C6" w:rsidRPr="008B62C0">
              <w:rPr>
                <w:rFonts w:cs="Arial"/>
                <w:color w:val="000000"/>
              </w:rPr>
              <w:t xml:space="preserve"> </w:t>
            </w:r>
            <w:r w:rsidR="004963C6">
              <w:rPr>
                <w:rFonts w:cs="Arial"/>
                <w:color w:val="000000"/>
              </w:rPr>
              <w:t xml:space="preserve">projections </w:t>
            </w:r>
            <w:r w:rsidR="00024878" w:rsidRPr="008B62C0">
              <w:rPr>
                <w:rFonts w:cs="Arial"/>
                <w:color w:val="000000"/>
              </w:rPr>
              <w:t>model</w:t>
            </w:r>
            <w:r w:rsidR="00024878">
              <w:rPr>
                <w:rFonts w:cs="Arial"/>
                <w:color w:val="000000"/>
              </w:rPr>
              <w:t>s for LNG, electricity and direct combustion</w:t>
            </w:r>
          </w:p>
        </w:tc>
      </w:tr>
      <w:tr w:rsidR="00521A30" w14:paraId="73FA71BF" w14:textId="0ACD0E8A"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4EB8D8C7" w14:textId="7BCBB90E" w:rsidR="00521A30" w:rsidRPr="008B62C0" w:rsidRDefault="00521A30" w:rsidP="00831C61">
            <w:pPr>
              <w:spacing w:after="0" w:line="240" w:lineRule="auto"/>
              <w:rPr>
                <w:rFonts w:eastAsia="Times New Roman" w:cs="Arial"/>
                <w:color w:val="000000"/>
                <w:lang w:eastAsia="en-AU"/>
              </w:rPr>
            </w:pPr>
            <w:r w:rsidRPr="008B62C0">
              <w:rPr>
                <w:rFonts w:cs="Arial"/>
                <w:color w:val="000000"/>
              </w:rPr>
              <w:t xml:space="preserve">Exploration - </w:t>
            </w:r>
            <w:r w:rsidR="009E75DB">
              <w:rPr>
                <w:rFonts w:cs="Arial"/>
                <w:color w:val="000000"/>
              </w:rPr>
              <w:t>l</w:t>
            </w:r>
            <w:r w:rsidRPr="008B62C0">
              <w:rPr>
                <w:rFonts w:cs="Arial"/>
                <w:color w:val="000000"/>
              </w:rPr>
              <w:t xml:space="preserve">eakage - </w:t>
            </w:r>
            <w:r w:rsidR="009E75DB">
              <w:rPr>
                <w:rFonts w:cs="Arial"/>
                <w:color w:val="000000"/>
              </w:rPr>
              <w:t>u</w:t>
            </w:r>
            <w:r w:rsidRPr="008B62C0">
              <w:rPr>
                <w:rFonts w:cs="Arial"/>
                <w:color w:val="000000"/>
              </w:rPr>
              <w:t>nconventional</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24613059" w14:textId="454C959F" w:rsidR="00521A30" w:rsidRPr="008B62C0" w:rsidRDefault="0086447E" w:rsidP="0086447E">
            <w:pPr>
              <w:spacing w:after="0"/>
              <w:rPr>
                <w:rFonts w:cs="Arial"/>
              </w:rPr>
            </w:pPr>
            <w:r>
              <w:rPr>
                <w:rFonts w:cs="Arial"/>
                <w:color w:val="000000"/>
              </w:rPr>
              <w:t>Unconventional gas p</w:t>
            </w:r>
            <w:r w:rsidRPr="008B62C0">
              <w:rPr>
                <w:rFonts w:cs="Arial"/>
                <w:color w:val="000000"/>
              </w:rPr>
              <w:t>roduction</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77B3797B" w14:textId="51873BC8" w:rsidR="00521A30" w:rsidRPr="008B62C0" w:rsidRDefault="00CE74AC" w:rsidP="0086447E">
            <w:pPr>
              <w:spacing w:after="0"/>
              <w:rPr>
                <w:rFonts w:cs="Arial"/>
                <w:color w:val="000000"/>
              </w:rPr>
            </w:pPr>
            <w:r>
              <w:rPr>
                <w:rFonts w:cs="Arial"/>
                <w:color w:val="000000"/>
              </w:rPr>
              <w:t>OCE 2017a</w:t>
            </w:r>
            <w:r w:rsidR="004963C6" w:rsidRPr="008B62C0">
              <w:rPr>
                <w:rFonts w:cs="Arial"/>
                <w:color w:val="000000"/>
              </w:rPr>
              <w:t>, AEMO</w:t>
            </w:r>
            <w:r w:rsidR="004963C6">
              <w:rPr>
                <w:rFonts w:cs="Arial"/>
                <w:color w:val="000000"/>
              </w:rPr>
              <w:t xml:space="preserve"> 2016, AEMO 2016a</w:t>
            </w:r>
            <w:r w:rsidR="004963C6" w:rsidRPr="008B62C0">
              <w:rPr>
                <w:rFonts w:cs="Arial"/>
                <w:color w:val="000000"/>
              </w:rPr>
              <w:t xml:space="preserve">, </w:t>
            </w:r>
            <w:r w:rsidR="009E75DB">
              <w:rPr>
                <w:rFonts w:cs="Arial"/>
                <w:color w:val="000000"/>
              </w:rPr>
              <w:t>e</w:t>
            </w:r>
            <w:r w:rsidR="00024878">
              <w:rPr>
                <w:rFonts w:cs="Arial"/>
                <w:color w:val="000000"/>
              </w:rPr>
              <w:t>mission</w:t>
            </w:r>
            <w:r w:rsidR="004963C6" w:rsidRPr="008B62C0">
              <w:rPr>
                <w:rFonts w:cs="Arial"/>
                <w:color w:val="000000"/>
              </w:rPr>
              <w:t xml:space="preserve"> </w:t>
            </w:r>
            <w:r w:rsidR="004963C6">
              <w:rPr>
                <w:rFonts w:cs="Arial"/>
                <w:color w:val="000000"/>
              </w:rPr>
              <w:t xml:space="preserve">projections </w:t>
            </w:r>
            <w:r w:rsidR="00024878" w:rsidRPr="008B62C0">
              <w:rPr>
                <w:rFonts w:cs="Arial"/>
                <w:color w:val="000000"/>
              </w:rPr>
              <w:t>model</w:t>
            </w:r>
            <w:r w:rsidR="00024878">
              <w:rPr>
                <w:rFonts w:cs="Arial"/>
                <w:color w:val="000000"/>
              </w:rPr>
              <w:t>s for LNG, electricity and direct combustion</w:t>
            </w:r>
          </w:p>
        </w:tc>
      </w:tr>
      <w:tr w:rsidR="00521A30" w14:paraId="50D1F2A2" w14:textId="1A2B2697"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69EA9150" w14:textId="735830F6" w:rsidR="00521A30" w:rsidRPr="008B62C0" w:rsidRDefault="00521A30" w:rsidP="00521A30">
            <w:pPr>
              <w:spacing w:after="0" w:line="240" w:lineRule="auto"/>
              <w:rPr>
                <w:rFonts w:eastAsia="Times New Roman" w:cs="Arial"/>
                <w:color w:val="000000"/>
                <w:lang w:eastAsia="en-AU"/>
              </w:rPr>
            </w:pPr>
            <w:r w:rsidRPr="008B62C0">
              <w:rPr>
                <w:rFonts w:cs="Arial"/>
                <w:color w:val="000000"/>
              </w:rPr>
              <w:t xml:space="preserve">Exploration - </w:t>
            </w:r>
            <w:r w:rsidR="009E75DB">
              <w:rPr>
                <w:rFonts w:cs="Arial"/>
                <w:color w:val="000000"/>
              </w:rPr>
              <w:t>v</w:t>
            </w:r>
            <w:r w:rsidRPr="008B62C0">
              <w:rPr>
                <w:rFonts w:cs="Arial"/>
                <w:color w:val="000000"/>
              </w:rPr>
              <w:t xml:space="preserve">enting - </w:t>
            </w:r>
            <w:r w:rsidR="009E75DB">
              <w:rPr>
                <w:rFonts w:cs="Arial"/>
                <w:color w:val="000000"/>
              </w:rPr>
              <w:t>c</w:t>
            </w:r>
            <w:r w:rsidRPr="008B62C0">
              <w:rPr>
                <w:rFonts w:cs="Arial"/>
                <w:color w:val="000000"/>
              </w:rPr>
              <w:t xml:space="preserve">ompletions - </w:t>
            </w:r>
            <w:r w:rsidR="009E75DB">
              <w:rPr>
                <w:rFonts w:cs="Arial"/>
                <w:color w:val="000000"/>
              </w:rPr>
              <w:t>c</w:t>
            </w:r>
            <w:r w:rsidRPr="008B62C0">
              <w:rPr>
                <w:rFonts w:cs="Arial"/>
                <w:color w:val="000000"/>
              </w:rPr>
              <w:t>onventional</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66D59DAD" w14:textId="2F201DDD" w:rsidR="00521A30" w:rsidRPr="008B62C0" w:rsidRDefault="00521A30" w:rsidP="0086447E">
            <w:pPr>
              <w:spacing w:after="0"/>
              <w:rPr>
                <w:rFonts w:cs="Arial"/>
              </w:rPr>
            </w:pPr>
            <w:r w:rsidRPr="008B62C0">
              <w:rPr>
                <w:rFonts w:cs="Arial"/>
                <w:color w:val="000000"/>
              </w:rPr>
              <w:t>Conventional gas production</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04742B2D" w14:textId="195B32F9" w:rsidR="00521A30" w:rsidRPr="008B62C0" w:rsidRDefault="00CE74AC" w:rsidP="0086447E">
            <w:pPr>
              <w:spacing w:after="0"/>
              <w:rPr>
                <w:rFonts w:cs="Arial"/>
                <w:color w:val="000000"/>
              </w:rPr>
            </w:pPr>
            <w:r>
              <w:rPr>
                <w:rFonts w:cs="Arial"/>
                <w:color w:val="000000"/>
              </w:rPr>
              <w:t>OCE 2017a</w:t>
            </w:r>
            <w:r w:rsidR="004963C6" w:rsidRPr="008B62C0">
              <w:rPr>
                <w:rFonts w:cs="Arial"/>
                <w:color w:val="000000"/>
              </w:rPr>
              <w:t>, AEMO</w:t>
            </w:r>
            <w:r w:rsidR="004963C6">
              <w:rPr>
                <w:rFonts w:cs="Arial"/>
                <w:color w:val="000000"/>
              </w:rPr>
              <w:t xml:space="preserve"> 2016, AEMO 2016a</w:t>
            </w:r>
            <w:r w:rsidR="004963C6" w:rsidRPr="008B62C0">
              <w:rPr>
                <w:rFonts w:cs="Arial"/>
                <w:color w:val="000000"/>
              </w:rPr>
              <w:t xml:space="preserve">, </w:t>
            </w:r>
            <w:r w:rsidR="009E75DB">
              <w:rPr>
                <w:rFonts w:cs="Arial"/>
                <w:color w:val="000000"/>
              </w:rPr>
              <w:t>e</w:t>
            </w:r>
            <w:r w:rsidR="00024878">
              <w:rPr>
                <w:rFonts w:cs="Arial"/>
                <w:color w:val="000000"/>
              </w:rPr>
              <w:t>mission</w:t>
            </w:r>
            <w:r w:rsidR="004963C6" w:rsidRPr="008B62C0">
              <w:rPr>
                <w:rFonts w:cs="Arial"/>
                <w:color w:val="000000"/>
              </w:rPr>
              <w:t xml:space="preserve"> </w:t>
            </w:r>
            <w:r w:rsidR="004963C6">
              <w:rPr>
                <w:rFonts w:cs="Arial"/>
                <w:color w:val="000000"/>
              </w:rPr>
              <w:t xml:space="preserve">projections </w:t>
            </w:r>
            <w:r w:rsidR="00024878" w:rsidRPr="008B62C0">
              <w:rPr>
                <w:rFonts w:cs="Arial"/>
                <w:color w:val="000000"/>
              </w:rPr>
              <w:t>model</w:t>
            </w:r>
            <w:r w:rsidR="00024878">
              <w:rPr>
                <w:rFonts w:cs="Arial"/>
                <w:color w:val="000000"/>
              </w:rPr>
              <w:t>s for LNG, electricity and direct combustion</w:t>
            </w:r>
          </w:p>
        </w:tc>
      </w:tr>
      <w:tr w:rsidR="0086447E" w14:paraId="7E553FEA" w14:textId="74804742"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43E43282" w14:textId="5E129778" w:rsidR="0086447E" w:rsidRPr="008B62C0" w:rsidRDefault="0086447E" w:rsidP="0086447E">
            <w:pPr>
              <w:spacing w:after="0" w:line="240" w:lineRule="auto"/>
              <w:rPr>
                <w:rFonts w:eastAsia="Times New Roman" w:cs="Arial"/>
                <w:color w:val="000000"/>
                <w:lang w:eastAsia="en-AU"/>
              </w:rPr>
            </w:pPr>
            <w:r w:rsidRPr="008B62C0">
              <w:rPr>
                <w:rFonts w:cs="Arial"/>
                <w:color w:val="000000"/>
              </w:rPr>
              <w:t xml:space="preserve">Exploration - </w:t>
            </w:r>
            <w:r w:rsidR="009E75DB">
              <w:rPr>
                <w:rFonts w:cs="Arial"/>
                <w:color w:val="000000"/>
              </w:rPr>
              <w:t>v</w:t>
            </w:r>
            <w:r w:rsidRPr="008B62C0">
              <w:rPr>
                <w:rFonts w:cs="Arial"/>
                <w:color w:val="000000"/>
              </w:rPr>
              <w:t xml:space="preserve">enting - </w:t>
            </w:r>
            <w:r w:rsidR="009E75DB">
              <w:rPr>
                <w:rFonts w:cs="Arial"/>
                <w:color w:val="000000"/>
              </w:rPr>
              <w:t>c</w:t>
            </w:r>
            <w:r w:rsidRPr="008B62C0">
              <w:rPr>
                <w:rFonts w:cs="Arial"/>
                <w:color w:val="000000"/>
              </w:rPr>
              <w:t xml:space="preserve">ompletions - </w:t>
            </w:r>
            <w:r w:rsidR="009E75DB">
              <w:rPr>
                <w:rFonts w:cs="Arial"/>
                <w:color w:val="000000"/>
              </w:rPr>
              <w:t>u</w:t>
            </w:r>
            <w:r w:rsidRPr="008B62C0">
              <w:rPr>
                <w:rFonts w:cs="Arial"/>
                <w:color w:val="000000"/>
              </w:rPr>
              <w:t>nconventional</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24728E5A" w14:textId="305D501B" w:rsidR="0086447E" w:rsidRPr="008B62C0" w:rsidRDefault="0086447E" w:rsidP="0086447E">
            <w:pPr>
              <w:spacing w:after="0"/>
              <w:rPr>
                <w:rFonts w:cs="Arial"/>
              </w:rPr>
            </w:pPr>
            <w:r w:rsidRPr="00EF3052">
              <w:rPr>
                <w:rFonts w:cs="Arial"/>
                <w:color w:val="000000"/>
              </w:rPr>
              <w:t>Unconventional gas production</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783AAE80" w14:textId="0A49B8FA" w:rsidR="0086447E" w:rsidRPr="008B62C0" w:rsidRDefault="00CE74AC" w:rsidP="0086447E">
            <w:pPr>
              <w:spacing w:after="0"/>
              <w:rPr>
                <w:rFonts w:cs="Arial"/>
                <w:color w:val="000000"/>
              </w:rPr>
            </w:pPr>
            <w:r>
              <w:rPr>
                <w:rFonts w:cs="Arial"/>
                <w:color w:val="000000"/>
              </w:rPr>
              <w:t>OCE 2017a</w:t>
            </w:r>
            <w:r w:rsidR="004963C6" w:rsidRPr="008B62C0">
              <w:rPr>
                <w:rFonts w:cs="Arial"/>
                <w:color w:val="000000"/>
              </w:rPr>
              <w:t>, AEMO</w:t>
            </w:r>
            <w:r w:rsidR="004963C6">
              <w:rPr>
                <w:rFonts w:cs="Arial"/>
                <w:color w:val="000000"/>
              </w:rPr>
              <w:t xml:space="preserve"> 2016, AEMO 2016a</w:t>
            </w:r>
            <w:r w:rsidR="004963C6" w:rsidRPr="008B62C0">
              <w:rPr>
                <w:rFonts w:cs="Arial"/>
                <w:color w:val="000000"/>
              </w:rPr>
              <w:t xml:space="preserve">, </w:t>
            </w:r>
            <w:r w:rsidR="009E75DB">
              <w:rPr>
                <w:rFonts w:cs="Arial"/>
                <w:color w:val="000000"/>
              </w:rPr>
              <w:t>e</w:t>
            </w:r>
            <w:r w:rsidR="00024878">
              <w:rPr>
                <w:rFonts w:cs="Arial"/>
                <w:color w:val="000000"/>
              </w:rPr>
              <w:t>mission</w:t>
            </w:r>
            <w:r w:rsidR="004963C6" w:rsidRPr="008B62C0">
              <w:rPr>
                <w:rFonts w:cs="Arial"/>
                <w:color w:val="000000"/>
              </w:rPr>
              <w:t xml:space="preserve"> </w:t>
            </w:r>
            <w:r w:rsidR="004963C6">
              <w:rPr>
                <w:rFonts w:cs="Arial"/>
                <w:color w:val="000000"/>
              </w:rPr>
              <w:t xml:space="preserve">projections </w:t>
            </w:r>
            <w:r w:rsidR="00024878" w:rsidRPr="008B62C0">
              <w:rPr>
                <w:rFonts w:cs="Arial"/>
                <w:color w:val="000000"/>
              </w:rPr>
              <w:t>model</w:t>
            </w:r>
            <w:r w:rsidR="00024878">
              <w:rPr>
                <w:rFonts w:cs="Arial"/>
                <w:color w:val="000000"/>
              </w:rPr>
              <w:t>s for LNG, electricity and direct combustion</w:t>
            </w:r>
          </w:p>
        </w:tc>
      </w:tr>
      <w:tr w:rsidR="0086447E" w14:paraId="669D606A" w14:textId="51F97966"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2781E84C" w14:textId="3A1E2E90" w:rsidR="0086447E" w:rsidRPr="008B62C0" w:rsidRDefault="0086447E" w:rsidP="0086447E">
            <w:pPr>
              <w:spacing w:after="0" w:line="240" w:lineRule="auto"/>
              <w:rPr>
                <w:rFonts w:eastAsia="Times New Roman" w:cs="Arial"/>
                <w:color w:val="000000"/>
                <w:lang w:eastAsia="en-AU"/>
              </w:rPr>
            </w:pPr>
            <w:r w:rsidRPr="008B62C0">
              <w:rPr>
                <w:rFonts w:cs="Arial"/>
                <w:color w:val="000000"/>
              </w:rPr>
              <w:t xml:space="preserve">Exploration - </w:t>
            </w:r>
            <w:r w:rsidR="009E75DB">
              <w:rPr>
                <w:rFonts w:cs="Arial"/>
                <w:color w:val="000000"/>
              </w:rPr>
              <w:t>v</w:t>
            </w:r>
            <w:r w:rsidRPr="008B62C0">
              <w:rPr>
                <w:rFonts w:cs="Arial"/>
                <w:color w:val="000000"/>
              </w:rPr>
              <w:t xml:space="preserve">enting - </w:t>
            </w:r>
            <w:r w:rsidR="009E75DB">
              <w:rPr>
                <w:rFonts w:cs="Arial"/>
                <w:color w:val="000000"/>
              </w:rPr>
              <w:t>w</w:t>
            </w:r>
            <w:r w:rsidRPr="008B62C0">
              <w:rPr>
                <w:rFonts w:cs="Arial"/>
                <w:color w:val="000000"/>
              </w:rPr>
              <w:t>orkovers</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3DB981DA" w14:textId="7E0E04D2" w:rsidR="0086447E" w:rsidRPr="008B62C0" w:rsidRDefault="0086447E" w:rsidP="0086447E">
            <w:pPr>
              <w:spacing w:after="0"/>
              <w:rPr>
                <w:rFonts w:cs="Arial"/>
              </w:rPr>
            </w:pPr>
            <w:r w:rsidRPr="00EF3052">
              <w:rPr>
                <w:rFonts w:cs="Arial"/>
                <w:color w:val="000000"/>
              </w:rPr>
              <w:t>Unconventional gas production</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6AB32D19" w14:textId="32ED1CE2" w:rsidR="0086447E" w:rsidRPr="008B62C0" w:rsidRDefault="00CE74AC" w:rsidP="0086447E">
            <w:pPr>
              <w:spacing w:after="0"/>
              <w:rPr>
                <w:rFonts w:cs="Arial"/>
                <w:color w:val="000000"/>
              </w:rPr>
            </w:pPr>
            <w:r>
              <w:rPr>
                <w:rFonts w:cs="Arial"/>
                <w:color w:val="000000"/>
              </w:rPr>
              <w:t>OCE 2017a</w:t>
            </w:r>
            <w:r w:rsidR="004963C6" w:rsidRPr="008B62C0">
              <w:rPr>
                <w:rFonts w:cs="Arial"/>
                <w:color w:val="000000"/>
              </w:rPr>
              <w:t>, AEMO</w:t>
            </w:r>
            <w:r w:rsidR="004963C6">
              <w:rPr>
                <w:rFonts w:cs="Arial"/>
                <w:color w:val="000000"/>
              </w:rPr>
              <w:t xml:space="preserve"> 2016, AEMO 2016a</w:t>
            </w:r>
            <w:r w:rsidR="004963C6" w:rsidRPr="008B62C0">
              <w:rPr>
                <w:rFonts w:cs="Arial"/>
                <w:color w:val="000000"/>
              </w:rPr>
              <w:t xml:space="preserve">, </w:t>
            </w:r>
            <w:r w:rsidR="009E75DB">
              <w:rPr>
                <w:rFonts w:cs="Arial"/>
                <w:color w:val="000000"/>
              </w:rPr>
              <w:t>e</w:t>
            </w:r>
            <w:r w:rsidR="00024878">
              <w:rPr>
                <w:rFonts w:cs="Arial"/>
                <w:color w:val="000000"/>
              </w:rPr>
              <w:t>mission</w:t>
            </w:r>
            <w:r w:rsidR="004963C6" w:rsidRPr="008B62C0">
              <w:rPr>
                <w:rFonts w:cs="Arial"/>
                <w:color w:val="000000"/>
              </w:rPr>
              <w:t xml:space="preserve"> </w:t>
            </w:r>
            <w:r w:rsidR="004963C6">
              <w:rPr>
                <w:rFonts w:cs="Arial"/>
                <w:color w:val="000000"/>
              </w:rPr>
              <w:t xml:space="preserve">projections </w:t>
            </w:r>
            <w:r w:rsidR="00024878" w:rsidRPr="008B62C0">
              <w:rPr>
                <w:rFonts w:cs="Arial"/>
                <w:color w:val="000000"/>
              </w:rPr>
              <w:t>model</w:t>
            </w:r>
            <w:r w:rsidR="00024878">
              <w:rPr>
                <w:rFonts w:cs="Arial"/>
                <w:color w:val="000000"/>
              </w:rPr>
              <w:t>s for LNG, electricity and direct combustion</w:t>
            </w:r>
          </w:p>
        </w:tc>
      </w:tr>
      <w:tr w:rsidR="00521A30" w14:paraId="54397910" w14:textId="69734474"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3E88A51D" w14:textId="56A15DDA" w:rsidR="00521A30" w:rsidRPr="008B62C0" w:rsidRDefault="00521A30" w:rsidP="00831C61">
            <w:pPr>
              <w:spacing w:after="0" w:line="240" w:lineRule="auto"/>
              <w:rPr>
                <w:rFonts w:eastAsia="Times New Roman" w:cs="Arial"/>
                <w:color w:val="000000"/>
                <w:lang w:eastAsia="en-AU"/>
              </w:rPr>
            </w:pPr>
            <w:r w:rsidRPr="008B62C0">
              <w:rPr>
                <w:rFonts w:cs="Arial"/>
                <w:color w:val="000000"/>
              </w:rPr>
              <w:t>Processing</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1B3324E0" w14:textId="079A67D0" w:rsidR="00521A30" w:rsidRPr="008B62C0" w:rsidRDefault="00521A30" w:rsidP="0086447E">
            <w:pPr>
              <w:spacing w:after="0"/>
              <w:rPr>
                <w:rFonts w:cs="Arial"/>
              </w:rPr>
            </w:pPr>
            <w:r w:rsidRPr="008B62C0">
              <w:rPr>
                <w:rFonts w:cs="Arial"/>
                <w:color w:val="000000"/>
              </w:rPr>
              <w:t>Total gas production</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06160916" w14:textId="4D79EA62" w:rsidR="00521A30" w:rsidRPr="008B62C0" w:rsidRDefault="00CE74AC" w:rsidP="0086447E">
            <w:pPr>
              <w:spacing w:after="0"/>
              <w:rPr>
                <w:rFonts w:cs="Arial"/>
                <w:color w:val="000000"/>
              </w:rPr>
            </w:pPr>
            <w:r>
              <w:rPr>
                <w:rFonts w:cs="Arial"/>
                <w:color w:val="000000"/>
              </w:rPr>
              <w:t>OCE 2017a</w:t>
            </w:r>
            <w:r w:rsidR="004963C6" w:rsidRPr="008B62C0">
              <w:rPr>
                <w:rFonts w:cs="Arial"/>
                <w:color w:val="000000"/>
              </w:rPr>
              <w:t>, AEMO</w:t>
            </w:r>
            <w:r w:rsidR="004963C6">
              <w:rPr>
                <w:rFonts w:cs="Arial"/>
                <w:color w:val="000000"/>
              </w:rPr>
              <w:t xml:space="preserve"> 2016, AEMO 2016a</w:t>
            </w:r>
            <w:r w:rsidR="004963C6" w:rsidRPr="008B62C0">
              <w:rPr>
                <w:rFonts w:cs="Arial"/>
                <w:color w:val="000000"/>
              </w:rPr>
              <w:t xml:space="preserve">, </w:t>
            </w:r>
            <w:r w:rsidR="009E75DB">
              <w:rPr>
                <w:rFonts w:cs="Arial"/>
                <w:color w:val="000000"/>
              </w:rPr>
              <w:t>e</w:t>
            </w:r>
            <w:r w:rsidR="00024878">
              <w:rPr>
                <w:rFonts w:cs="Arial"/>
                <w:color w:val="000000"/>
              </w:rPr>
              <w:t>mission</w:t>
            </w:r>
            <w:r w:rsidR="004963C6" w:rsidRPr="008B62C0">
              <w:rPr>
                <w:rFonts w:cs="Arial"/>
                <w:color w:val="000000"/>
              </w:rPr>
              <w:t xml:space="preserve"> </w:t>
            </w:r>
            <w:r w:rsidR="004963C6">
              <w:rPr>
                <w:rFonts w:cs="Arial"/>
                <w:color w:val="000000"/>
              </w:rPr>
              <w:t xml:space="preserve">projections </w:t>
            </w:r>
            <w:r w:rsidR="00024878" w:rsidRPr="008B62C0">
              <w:rPr>
                <w:rFonts w:cs="Arial"/>
                <w:color w:val="000000"/>
              </w:rPr>
              <w:t>model</w:t>
            </w:r>
            <w:r w:rsidR="00024878">
              <w:rPr>
                <w:rFonts w:cs="Arial"/>
                <w:color w:val="000000"/>
              </w:rPr>
              <w:t>s for LNG, electricity and direct combustion</w:t>
            </w:r>
          </w:p>
        </w:tc>
      </w:tr>
      <w:tr w:rsidR="00521A30" w14:paraId="5F0E7FB5" w14:textId="78D4F76D"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3BE63088" w14:textId="794804B1" w:rsidR="00521A30" w:rsidRPr="008B62C0" w:rsidRDefault="00521A30" w:rsidP="00831C61">
            <w:pPr>
              <w:spacing w:after="0" w:line="240" w:lineRule="auto"/>
              <w:rPr>
                <w:rFonts w:eastAsia="Times New Roman" w:cs="Arial"/>
                <w:color w:val="000000"/>
                <w:lang w:eastAsia="en-AU"/>
              </w:rPr>
            </w:pPr>
            <w:r w:rsidRPr="008B62C0">
              <w:rPr>
                <w:rFonts w:cs="Arial"/>
                <w:color w:val="000000"/>
              </w:rPr>
              <w:t xml:space="preserve">Production - </w:t>
            </w:r>
            <w:r w:rsidR="009E75DB">
              <w:rPr>
                <w:rFonts w:cs="Arial"/>
                <w:color w:val="000000"/>
              </w:rPr>
              <w:t>o</w:t>
            </w:r>
            <w:r w:rsidRPr="008B62C0">
              <w:rPr>
                <w:rFonts w:cs="Arial"/>
                <w:color w:val="000000"/>
              </w:rPr>
              <w:t xml:space="preserve">ffshore </w:t>
            </w:r>
            <w:r w:rsidR="009E75DB">
              <w:rPr>
                <w:rFonts w:cs="Arial"/>
                <w:color w:val="000000"/>
              </w:rPr>
              <w:t>p</w:t>
            </w:r>
            <w:r w:rsidRPr="008B62C0">
              <w:rPr>
                <w:rFonts w:cs="Arial"/>
                <w:color w:val="000000"/>
              </w:rPr>
              <w:t>latforms</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08E0A375" w14:textId="4BADBA08" w:rsidR="00521A30" w:rsidRPr="008B62C0" w:rsidRDefault="00521A30" w:rsidP="0086447E">
            <w:pPr>
              <w:spacing w:after="0"/>
              <w:rPr>
                <w:rFonts w:cs="Arial"/>
              </w:rPr>
            </w:pPr>
            <w:r w:rsidRPr="008B62C0">
              <w:rPr>
                <w:rFonts w:cs="Arial"/>
                <w:color w:val="000000"/>
              </w:rPr>
              <w:t>Number of shallow and deep offshore platforms</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1D250C3B" w14:textId="2AF5D485" w:rsidR="00521A30" w:rsidRPr="008B62C0" w:rsidRDefault="00521A30" w:rsidP="0086447E">
            <w:pPr>
              <w:spacing w:after="0"/>
              <w:rPr>
                <w:rFonts w:cs="Arial"/>
                <w:color w:val="000000"/>
              </w:rPr>
            </w:pPr>
            <w:r w:rsidRPr="008B62C0">
              <w:rPr>
                <w:rFonts w:cs="Arial"/>
                <w:color w:val="000000"/>
              </w:rPr>
              <w:t>AME Group, Company Reports</w:t>
            </w:r>
          </w:p>
        </w:tc>
      </w:tr>
      <w:tr w:rsidR="00521A30" w14:paraId="5B360ED7" w14:textId="655B6F04"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2F511ECF" w14:textId="0BC730D1" w:rsidR="00521A30" w:rsidRPr="008B62C0" w:rsidRDefault="00521A30" w:rsidP="00831C61">
            <w:pPr>
              <w:spacing w:after="0" w:line="240" w:lineRule="auto"/>
              <w:rPr>
                <w:rFonts w:eastAsia="Times New Roman" w:cs="Arial"/>
                <w:color w:val="000000"/>
                <w:lang w:eastAsia="en-AU"/>
              </w:rPr>
            </w:pPr>
            <w:r w:rsidRPr="008B62C0">
              <w:rPr>
                <w:rFonts w:cs="Arial"/>
                <w:color w:val="000000"/>
              </w:rPr>
              <w:t xml:space="preserve">Production - </w:t>
            </w:r>
            <w:r w:rsidR="009E75DB">
              <w:rPr>
                <w:rFonts w:cs="Arial"/>
                <w:color w:val="000000"/>
              </w:rPr>
              <w:t>o</w:t>
            </w:r>
            <w:r w:rsidRPr="008B62C0">
              <w:rPr>
                <w:rFonts w:cs="Arial"/>
                <w:color w:val="000000"/>
              </w:rPr>
              <w:t xml:space="preserve">nshore gathering and boosting - </w:t>
            </w:r>
            <w:r w:rsidR="009E75DB">
              <w:rPr>
                <w:rFonts w:cs="Arial"/>
                <w:color w:val="000000"/>
              </w:rPr>
              <w:t>c</w:t>
            </w:r>
            <w:r w:rsidRPr="008B62C0">
              <w:rPr>
                <w:rFonts w:cs="Arial"/>
                <w:color w:val="000000"/>
              </w:rPr>
              <w:t xml:space="preserve">onventional </w:t>
            </w:r>
            <w:r w:rsidR="009E75DB">
              <w:rPr>
                <w:rFonts w:cs="Arial"/>
                <w:color w:val="000000"/>
              </w:rPr>
              <w:t>g</w:t>
            </w:r>
            <w:r w:rsidRPr="008B62C0">
              <w:rPr>
                <w:rFonts w:cs="Arial"/>
                <w:color w:val="000000"/>
              </w:rPr>
              <w:t>as</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5617B274" w14:textId="1DE4EAFF" w:rsidR="00521A30" w:rsidRPr="008B62C0" w:rsidRDefault="00521A30" w:rsidP="0086447E">
            <w:pPr>
              <w:spacing w:after="0"/>
              <w:rPr>
                <w:rFonts w:cs="Arial"/>
              </w:rPr>
            </w:pPr>
            <w:r w:rsidRPr="008B62C0">
              <w:rPr>
                <w:rFonts w:cs="Arial"/>
                <w:color w:val="000000"/>
              </w:rPr>
              <w:t>Conventional gas production (excluding LNG)</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7FBECFF4" w14:textId="73A87BD8" w:rsidR="00521A30" w:rsidRPr="008B62C0" w:rsidRDefault="00CE74AC" w:rsidP="0086447E">
            <w:pPr>
              <w:spacing w:after="0"/>
              <w:rPr>
                <w:rFonts w:cs="Arial"/>
                <w:color w:val="000000"/>
              </w:rPr>
            </w:pPr>
            <w:r>
              <w:rPr>
                <w:rFonts w:cs="Arial"/>
                <w:color w:val="000000"/>
              </w:rPr>
              <w:t>OCE 2017a</w:t>
            </w:r>
            <w:r w:rsidR="004963C6" w:rsidRPr="008B62C0">
              <w:rPr>
                <w:rFonts w:cs="Arial"/>
                <w:color w:val="000000"/>
              </w:rPr>
              <w:t>, AEMO</w:t>
            </w:r>
            <w:r w:rsidR="004963C6">
              <w:rPr>
                <w:rFonts w:cs="Arial"/>
                <w:color w:val="000000"/>
              </w:rPr>
              <w:t xml:space="preserve"> 2016, AEMO </w:t>
            </w:r>
            <w:r w:rsidR="00024878">
              <w:rPr>
                <w:rFonts w:cs="Arial"/>
                <w:color w:val="000000"/>
              </w:rPr>
              <w:t>2016a</w:t>
            </w:r>
            <w:r w:rsidR="00024878" w:rsidRPr="008B62C0">
              <w:rPr>
                <w:rFonts w:cs="Arial"/>
                <w:color w:val="000000"/>
              </w:rPr>
              <w:t xml:space="preserve">, </w:t>
            </w:r>
            <w:r w:rsidR="009E75DB">
              <w:rPr>
                <w:rFonts w:cs="Arial"/>
                <w:color w:val="000000"/>
              </w:rPr>
              <w:t>e</w:t>
            </w:r>
            <w:r w:rsidR="00024878">
              <w:rPr>
                <w:rFonts w:cs="Arial"/>
                <w:color w:val="000000"/>
              </w:rPr>
              <w:t xml:space="preserve">mission projections </w:t>
            </w:r>
            <w:r w:rsidR="00024878" w:rsidRPr="008B62C0">
              <w:rPr>
                <w:rFonts w:cs="Arial"/>
                <w:color w:val="000000"/>
              </w:rPr>
              <w:t>model</w:t>
            </w:r>
            <w:r w:rsidR="00024878">
              <w:rPr>
                <w:rFonts w:cs="Arial"/>
                <w:color w:val="000000"/>
              </w:rPr>
              <w:t>s for electricity and direct combustion</w:t>
            </w:r>
          </w:p>
        </w:tc>
      </w:tr>
      <w:tr w:rsidR="00521A30" w14:paraId="0E0A1F0D" w14:textId="7D19FD17"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13613712" w14:textId="67B7F00C" w:rsidR="00521A30" w:rsidRPr="008B62C0" w:rsidRDefault="00521A30" w:rsidP="00831C61">
            <w:pPr>
              <w:spacing w:after="0" w:line="240" w:lineRule="auto"/>
              <w:rPr>
                <w:rFonts w:eastAsia="Times New Roman" w:cs="Arial"/>
                <w:color w:val="000000"/>
                <w:lang w:eastAsia="en-AU"/>
              </w:rPr>
            </w:pPr>
            <w:r w:rsidRPr="008B62C0">
              <w:rPr>
                <w:rFonts w:cs="Arial"/>
                <w:color w:val="000000"/>
              </w:rPr>
              <w:t xml:space="preserve">Production - </w:t>
            </w:r>
            <w:r w:rsidR="009E75DB">
              <w:rPr>
                <w:rFonts w:cs="Arial"/>
                <w:color w:val="000000"/>
              </w:rPr>
              <w:t>o</w:t>
            </w:r>
            <w:r w:rsidRPr="008B62C0">
              <w:rPr>
                <w:rFonts w:cs="Arial"/>
                <w:color w:val="000000"/>
              </w:rPr>
              <w:t xml:space="preserve">nshore gathering and boosting - </w:t>
            </w:r>
            <w:r w:rsidR="009E75DB">
              <w:rPr>
                <w:rFonts w:cs="Arial"/>
                <w:color w:val="000000"/>
              </w:rPr>
              <w:t>u</w:t>
            </w:r>
            <w:r w:rsidRPr="008B62C0">
              <w:rPr>
                <w:rFonts w:cs="Arial"/>
                <w:color w:val="000000"/>
              </w:rPr>
              <w:t xml:space="preserve">nconventional </w:t>
            </w:r>
            <w:r w:rsidR="009E75DB">
              <w:rPr>
                <w:rFonts w:cs="Arial"/>
                <w:color w:val="000000"/>
              </w:rPr>
              <w:t>g</w:t>
            </w:r>
            <w:r w:rsidRPr="008B62C0">
              <w:rPr>
                <w:rFonts w:cs="Arial"/>
                <w:color w:val="000000"/>
              </w:rPr>
              <w:t>as</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138A625E" w14:textId="7DA541EE" w:rsidR="00521A30" w:rsidRPr="008B62C0" w:rsidRDefault="0086447E" w:rsidP="0086447E">
            <w:pPr>
              <w:spacing w:after="0"/>
              <w:rPr>
                <w:rFonts w:cs="Arial"/>
              </w:rPr>
            </w:pPr>
            <w:r>
              <w:rPr>
                <w:rFonts w:cs="Arial"/>
                <w:color w:val="000000"/>
              </w:rPr>
              <w:t>Unconventional gas p</w:t>
            </w:r>
            <w:r w:rsidRPr="008B62C0">
              <w:rPr>
                <w:rFonts w:cs="Arial"/>
                <w:color w:val="000000"/>
              </w:rPr>
              <w:t>roduction</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690F4F91" w14:textId="1680F286" w:rsidR="00521A30" w:rsidRPr="008B62C0" w:rsidRDefault="00CE74AC" w:rsidP="0086447E">
            <w:pPr>
              <w:spacing w:after="0"/>
              <w:rPr>
                <w:rFonts w:cs="Arial"/>
                <w:color w:val="000000"/>
              </w:rPr>
            </w:pPr>
            <w:r>
              <w:rPr>
                <w:rFonts w:cs="Arial"/>
                <w:color w:val="000000"/>
              </w:rPr>
              <w:t>OCE 2017a</w:t>
            </w:r>
            <w:r w:rsidR="004963C6" w:rsidRPr="008B62C0">
              <w:rPr>
                <w:rFonts w:cs="Arial"/>
                <w:color w:val="000000"/>
              </w:rPr>
              <w:t>, AEMO</w:t>
            </w:r>
            <w:r w:rsidR="004963C6">
              <w:rPr>
                <w:rFonts w:cs="Arial"/>
                <w:color w:val="000000"/>
              </w:rPr>
              <w:t xml:space="preserve"> 2016, AEMO 2016a</w:t>
            </w:r>
            <w:r w:rsidR="004963C6" w:rsidRPr="008B62C0">
              <w:rPr>
                <w:rFonts w:cs="Arial"/>
                <w:color w:val="000000"/>
              </w:rPr>
              <w:t xml:space="preserve">, </w:t>
            </w:r>
            <w:r w:rsidR="009E75DB">
              <w:rPr>
                <w:rFonts w:cs="Arial"/>
                <w:color w:val="000000"/>
              </w:rPr>
              <w:t>e</w:t>
            </w:r>
            <w:r w:rsidR="00024878">
              <w:rPr>
                <w:rFonts w:cs="Arial"/>
                <w:color w:val="000000"/>
              </w:rPr>
              <w:t>mission</w:t>
            </w:r>
            <w:r w:rsidR="004963C6" w:rsidRPr="008B62C0">
              <w:rPr>
                <w:rFonts w:cs="Arial"/>
                <w:color w:val="000000"/>
              </w:rPr>
              <w:t xml:space="preserve"> </w:t>
            </w:r>
            <w:r w:rsidR="004963C6">
              <w:rPr>
                <w:rFonts w:cs="Arial"/>
                <w:color w:val="000000"/>
              </w:rPr>
              <w:t xml:space="preserve">projections </w:t>
            </w:r>
            <w:r w:rsidR="00024878" w:rsidRPr="008B62C0">
              <w:rPr>
                <w:rFonts w:cs="Arial"/>
                <w:color w:val="000000"/>
              </w:rPr>
              <w:t>model</w:t>
            </w:r>
            <w:r w:rsidR="00024878">
              <w:rPr>
                <w:rFonts w:cs="Arial"/>
                <w:color w:val="000000"/>
              </w:rPr>
              <w:t>s for LNG, electricity and direct combustion</w:t>
            </w:r>
          </w:p>
        </w:tc>
      </w:tr>
      <w:tr w:rsidR="00521A30" w14:paraId="41B3446B" w14:textId="6C7306D7"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3555E454" w14:textId="3CC0AF51" w:rsidR="00521A30" w:rsidRPr="008B62C0" w:rsidRDefault="00521A30" w:rsidP="00831C61">
            <w:pPr>
              <w:spacing w:after="0" w:line="240" w:lineRule="auto"/>
              <w:rPr>
                <w:rFonts w:eastAsia="Times New Roman" w:cs="Arial"/>
                <w:color w:val="000000"/>
                <w:lang w:eastAsia="en-AU"/>
              </w:rPr>
            </w:pPr>
            <w:r w:rsidRPr="008B62C0">
              <w:rPr>
                <w:rFonts w:cs="Arial"/>
                <w:color w:val="000000"/>
              </w:rPr>
              <w:t xml:space="preserve">Production - </w:t>
            </w:r>
            <w:r w:rsidR="009E75DB">
              <w:rPr>
                <w:rFonts w:cs="Arial"/>
                <w:color w:val="000000"/>
              </w:rPr>
              <w:t>o</w:t>
            </w:r>
            <w:r w:rsidRPr="008B62C0">
              <w:rPr>
                <w:rFonts w:cs="Arial"/>
                <w:color w:val="000000"/>
              </w:rPr>
              <w:t xml:space="preserve">nshore wells - </w:t>
            </w:r>
            <w:r w:rsidR="009E75DB">
              <w:rPr>
                <w:rFonts w:cs="Arial"/>
                <w:color w:val="000000"/>
              </w:rPr>
              <w:t>c</w:t>
            </w:r>
            <w:r w:rsidRPr="008B62C0">
              <w:rPr>
                <w:rFonts w:cs="Arial"/>
                <w:color w:val="000000"/>
              </w:rPr>
              <w:t xml:space="preserve">onventional </w:t>
            </w:r>
            <w:r w:rsidR="009E75DB">
              <w:rPr>
                <w:rFonts w:cs="Arial"/>
                <w:color w:val="000000"/>
              </w:rPr>
              <w:t>g</w:t>
            </w:r>
            <w:r w:rsidRPr="008B62C0">
              <w:rPr>
                <w:rFonts w:cs="Arial"/>
                <w:color w:val="000000"/>
              </w:rPr>
              <w:t>as</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3B25439B" w14:textId="6D5948BB" w:rsidR="00521A30" w:rsidRPr="008B62C0" w:rsidRDefault="00521A30" w:rsidP="0086447E">
            <w:pPr>
              <w:spacing w:after="0"/>
              <w:rPr>
                <w:rFonts w:cs="Arial"/>
              </w:rPr>
            </w:pPr>
            <w:r w:rsidRPr="008B62C0">
              <w:rPr>
                <w:rFonts w:cs="Arial"/>
                <w:color w:val="000000"/>
              </w:rPr>
              <w:t>Conventional gas production (excluding LNG)</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13DA4C9C" w14:textId="471294AF" w:rsidR="00521A30" w:rsidRPr="008B62C0" w:rsidRDefault="00CE74AC" w:rsidP="0086447E">
            <w:pPr>
              <w:spacing w:after="0"/>
              <w:rPr>
                <w:rFonts w:cs="Arial"/>
                <w:color w:val="000000"/>
              </w:rPr>
            </w:pPr>
            <w:r>
              <w:rPr>
                <w:rFonts w:cs="Arial"/>
                <w:color w:val="000000"/>
              </w:rPr>
              <w:t>OCE 2017a</w:t>
            </w:r>
            <w:r w:rsidR="004963C6" w:rsidRPr="008B62C0">
              <w:rPr>
                <w:rFonts w:cs="Arial"/>
                <w:color w:val="000000"/>
              </w:rPr>
              <w:t>, AEMO</w:t>
            </w:r>
            <w:r w:rsidR="004963C6">
              <w:rPr>
                <w:rFonts w:cs="Arial"/>
                <w:color w:val="000000"/>
              </w:rPr>
              <w:t xml:space="preserve"> 2016, AEMO </w:t>
            </w:r>
            <w:r w:rsidR="00024878">
              <w:rPr>
                <w:rFonts w:cs="Arial"/>
                <w:color w:val="000000"/>
              </w:rPr>
              <w:t>2016a</w:t>
            </w:r>
            <w:r w:rsidR="00024878" w:rsidRPr="008B62C0">
              <w:rPr>
                <w:rFonts w:cs="Arial"/>
                <w:color w:val="000000"/>
              </w:rPr>
              <w:t xml:space="preserve">, </w:t>
            </w:r>
            <w:r w:rsidR="009E75DB">
              <w:rPr>
                <w:rFonts w:cs="Arial"/>
                <w:color w:val="000000"/>
              </w:rPr>
              <w:t>e</w:t>
            </w:r>
            <w:r w:rsidR="00024878">
              <w:rPr>
                <w:rFonts w:cs="Arial"/>
                <w:color w:val="000000"/>
              </w:rPr>
              <w:t xml:space="preserve">mission projections </w:t>
            </w:r>
            <w:r w:rsidR="00024878" w:rsidRPr="008B62C0">
              <w:rPr>
                <w:rFonts w:cs="Arial"/>
                <w:color w:val="000000"/>
              </w:rPr>
              <w:t>model</w:t>
            </w:r>
            <w:r w:rsidR="00024878">
              <w:rPr>
                <w:rFonts w:cs="Arial"/>
                <w:color w:val="000000"/>
              </w:rPr>
              <w:t>s for electricity and direct combustion</w:t>
            </w:r>
          </w:p>
        </w:tc>
      </w:tr>
      <w:tr w:rsidR="00521A30" w14:paraId="72782396" w14:textId="753C7D97"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1554875A" w14:textId="14E1A8E5" w:rsidR="00521A30" w:rsidRPr="008B62C0" w:rsidRDefault="00521A30" w:rsidP="00397F4F">
            <w:pPr>
              <w:spacing w:after="0" w:line="240" w:lineRule="auto"/>
              <w:rPr>
                <w:rFonts w:eastAsia="Times New Roman" w:cs="Arial"/>
                <w:color w:val="000000"/>
                <w:lang w:eastAsia="en-AU"/>
              </w:rPr>
            </w:pPr>
            <w:r w:rsidRPr="008B62C0">
              <w:rPr>
                <w:rFonts w:cs="Arial"/>
                <w:color w:val="000000"/>
              </w:rPr>
              <w:t xml:space="preserve">Production - </w:t>
            </w:r>
            <w:r w:rsidR="009E75DB">
              <w:rPr>
                <w:rFonts w:cs="Arial"/>
                <w:color w:val="000000"/>
              </w:rPr>
              <w:t>o</w:t>
            </w:r>
            <w:r w:rsidRPr="008B62C0">
              <w:rPr>
                <w:rFonts w:cs="Arial"/>
                <w:color w:val="000000"/>
              </w:rPr>
              <w:t xml:space="preserve">nshore wells - </w:t>
            </w:r>
            <w:r w:rsidR="009E75DB">
              <w:rPr>
                <w:rFonts w:cs="Arial"/>
                <w:color w:val="000000"/>
              </w:rPr>
              <w:t>u</w:t>
            </w:r>
            <w:r w:rsidRPr="008B62C0">
              <w:rPr>
                <w:rFonts w:cs="Arial"/>
                <w:color w:val="000000"/>
              </w:rPr>
              <w:t xml:space="preserve">nconventional </w:t>
            </w:r>
            <w:r w:rsidR="009E75DB">
              <w:rPr>
                <w:rFonts w:cs="Arial"/>
                <w:color w:val="000000"/>
              </w:rPr>
              <w:t>g</w:t>
            </w:r>
            <w:r w:rsidRPr="008B62C0">
              <w:rPr>
                <w:rFonts w:cs="Arial"/>
                <w:color w:val="000000"/>
              </w:rPr>
              <w:t>as</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66D9504C" w14:textId="21A991E4" w:rsidR="00521A30" w:rsidRPr="008B62C0" w:rsidRDefault="0086447E" w:rsidP="0086447E">
            <w:pPr>
              <w:spacing w:after="0"/>
              <w:rPr>
                <w:rFonts w:cs="Arial"/>
              </w:rPr>
            </w:pPr>
            <w:r>
              <w:rPr>
                <w:rFonts w:cs="Arial"/>
                <w:color w:val="000000"/>
              </w:rPr>
              <w:t>Unconventional gas p</w:t>
            </w:r>
            <w:r w:rsidR="00521A30" w:rsidRPr="008B62C0">
              <w:rPr>
                <w:rFonts w:cs="Arial"/>
                <w:color w:val="000000"/>
              </w:rPr>
              <w:t>roduction</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2CAB0EA1" w14:textId="301914FC" w:rsidR="00521A30" w:rsidRPr="008B62C0" w:rsidRDefault="00CE74AC" w:rsidP="0086447E">
            <w:pPr>
              <w:spacing w:after="0"/>
              <w:rPr>
                <w:rFonts w:cs="Arial"/>
                <w:color w:val="000000"/>
              </w:rPr>
            </w:pPr>
            <w:r>
              <w:rPr>
                <w:rFonts w:cs="Arial"/>
                <w:color w:val="000000"/>
              </w:rPr>
              <w:t>OCE 2017a</w:t>
            </w:r>
            <w:r w:rsidR="004963C6" w:rsidRPr="008B62C0">
              <w:rPr>
                <w:rFonts w:cs="Arial"/>
                <w:color w:val="000000"/>
              </w:rPr>
              <w:t>, AEMO</w:t>
            </w:r>
            <w:r w:rsidR="004963C6">
              <w:rPr>
                <w:rFonts w:cs="Arial"/>
                <w:color w:val="000000"/>
              </w:rPr>
              <w:t xml:space="preserve"> 2016, AEMO 2016a</w:t>
            </w:r>
            <w:r w:rsidR="004963C6" w:rsidRPr="008B62C0">
              <w:rPr>
                <w:rFonts w:cs="Arial"/>
                <w:color w:val="000000"/>
              </w:rPr>
              <w:t xml:space="preserve">, </w:t>
            </w:r>
            <w:r w:rsidR="009E75DB">
              <w:rPr>
                <w:rFonts w:cs="Arial"/>
                <w:color w:val="000000"/>
              </w:rPr>
              <w:t>e</w:t>
            </w:r>
            <w:r w:rsidR="00024878">
              <w:rPr>
                <w:rFonts w:cs="Arial"/>
                <w:color w:val="000000"/>
              </w:rPr>
              <w:t>mission</w:t>
            </w:r>
            <w:r w:rsidR="004963C6" w:rsidRPr="008B62C0">
              <w:rPr>
                <w:rFonts w:cs="Arial"/>
                <w:color w:val="000000"/>
              </w:rPr>
              <w:t xml:space="preserve"> </w:t>
            </w:r>
            <w:r w:rsidR="004963C6">
              <w:rPr>
                <w:rFonts w:cs="Arial"/>
                <w:color w:val="000000"/>
              </w:rPr>
              <w:t xml:space="preserve">projections </w:t>
            </w:r>
            <w:r w:rsidR="00024878" w:rsidRPr="008B62C0">
              <w:rPr>
                <w:rFonts w:cs="Arial"/>
                <w:color w:val="000000"/>
              </w:rPr>
              <w:t>model</w:t>
            </w:r>
            <w:r w:rsidR="00024878">
              <w:rPr>
                <w:rFonts w:cs="Arial"/>
                <w:color w:val="000000"/>
              </w:rPr>
              <w:t>s for LNG, electricity and direct combustion</w:t>
            </w:r>
          </w:p>
        </w:tc>
      </w:tr>
      <w:tr w:rsidR="00521A30" w14:paraId="76620EE1" w14:textId="1CEC4244"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05FA1CA5" w14:textId="3B97D973" w:rsidR="00521A30" w:rsidRPr="008B62C0" w:rsidRDefault="00521A30" w:rsidP="00397F4F">
            <w:pPr>
              <w:spacing w:after="0" w:line="240" w:lineRule="auto"/>
              <w:rPr>
                <w:rFonts w:eastAsia="Times New Roman" w:cs="Arial"/>
                <w:color w:val="000000"/>
                <w:lang w:eastAsia="en-AU"/>
              </w:rPr>
            </w:pPr>
            <w:r w:rsidRPr="008B62C0">
              <w:rPr>
                <w:rFonts w:cs="Arial"/>
                <w:color w:val="000000"/>
              </w:rPr>
              <w:t xml:space="preserve">Production - </w:t>
            </w:r>
            <w:r w:rsidR="009E75DB">
              <w:rPr>
                <w:rFonts w:cs="Arial"/>
                <w:color w:val="000000"/>
              </w:rPr>
              <w:t>o</w:t>
            </w:r>
            <w:r w:rsidRPr="008B62C0">
              <w:rPr>
                <w:rFonts w:cs="Arial"/>
                <w:color w:val="000000"/>
              </w:rPr>
              <w:t xml:space="preserve">nshore wells - </w:t>
            </w:r>
            <w:r w:rsidR="009E75DB">
              <w:rPr>
                <w:rFonts w:cs="Arial"/>
                <w:color w:val="000000"/>
              </w:rPr>
              <w:t>w</w:t>
            </w:r>
            <w:r w:rsidRPr="008B62C0">
              <w:rPr>
                <w:rFonts w:cs="Arial"/>
                <w:color w:val="000000"/>
              </w:rPr>
              <w:t xml:space="preserve">ater </w:t>
            </w:r>
            <w:r w:rsidR="009E75DB">
              <w:rPr>
                <w:rFonts w:cs="Arial"/>
                <w:color w:val="000000"/>
              </w:rPr>
              <w:t>p</w:t>
            </w:r>
            <w:r w:rsidRPr="008B62C0">
              <w:rPr>
                <w:rFonts w:cs="Arial"/>
                <w:color w:val="000000"/>
              </w:rPr>
              <w:t>roduction</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67298FD3" w14:textId="743DAE8F" w:rsidR="00521A30" w:rsidRPr="008B62C0" w:rsidRDefault="00521A30" w:rsidP="0086447E">
            <w:pPr>
              <w:spacing w:after="0"/>
              <w:rPr>
                <w:rFonts w:cs="Arial"/>
              </w:rPr>
            </w:pPr>
            <w:r w:rsidRPr="008B62C0">
              <w:rPr>
                <w:rFonts w:cs="Arial"/>
                <w:color w:val="000000"/>
              </w:rPr>
              <w:t xml:space="preserve">Unconventional </w:t>
            </w:r>
            <w:r w:rsidR="0086447E">
              <w:rPr>
                <w:rFonts w:cs="Arial"/>
                <w:color w:val="000000"/>
              </w:rPr>
              <w:t>g</w:t>
            </w:r>
            <w:r w:rsidRPr="008B62C0">
              <w:rPr>
                <w:rFonts w:cs="Arial"/>
                <w:color w:val="000000"/>
              </w:rPr>
              <w:t xml:space="preserve">as </w:t>
            </w:r>
            <w:r w:rsidR="0086447E">
              <w:rPr>
                <w:rFonts w:cs="Arial"/>
                <w:color w:val="000000"/>
              </w:rPr>
              <w:t>p</w:t>
            </w:r>
            <w:r w:rsidRPr="008B62C0">
              <w:rPr>
                <w:rFonts w:cs="Arial"/>
                <w:color w:val="000000"/>
              </w:rPr>
              <w:t>roduction</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2EB6DF74" w14:textId="4B7DD543" w:rsidR="00521A30" w:rsidRPr="008B62C0" w:rsidRDefault="00CE74AC" w:rsidP="0086447E">
            <w:pPr>
              <w:spacing w:after="0"/>
              <w:rPr>
                <w:rFonts w:cs="Arial"/>
                <w:color w:val="000000"/>
              </w:rPr>
            </w:pPr>
            <w:r>
              <w:rPr>
                <w:rFonts w:cs="Arial"/>
                <w:color w:val="000000"/>
              </w:rPr>
              <w:t>OCE 2017a</w:t>
            </w:r>
            <w:r w:rsidR="004963C6" w:rsidRPr="008B62C0">
              <w:rPr>
                <w:rFonts w:cs="Arial"/>
                <w:color w:val="000000"/>
              </w:rPr>
              <w:t>, AEMO</w:t>
            </w:r>
            <w:r w:rsidR="004963C6">
              <w:rPr>
                <w:rFonts w:cs="Arial"/>
                <w:color w:val="000000"/>
              </w:rPr>
              <w:t xml:space="preserve"> 2016, AEMO 2016a</w:t>
            </w:r>
            <w:r w:rsidR="004963C6" w:rsidRPr="008B62C0">
              <w:rPr>
                <w:rFonts w:cs="Arial"/>
                <w:color w:val="000000"/>
              </w:rPr>
              <w:t xml:space="preserve">, </w:t>
            </w:r>
            <w:r w:rsidR="009E75DB">
              <w:rPr>
                <w:rFonts w:cs="Arial"/>
                <w:color w:val="000000"/>
              </w:rPr>
              <w:t>e</w:t>
            </w:r>
            <w:r w:rsidR="00024878">
              <w:rPr>
                <w:rFonts w:cs="Arial"/>
                <w:color w:val="000000"/>
              </w:rPr>
              <w:t>mission</w:t>
            </w:r>
            <w:r w:rsidR="004963C6" w:rsidRPr="008B62C0">
              <w:rPr>
                <w:rFonts w:cs="Arial"/>
                <w:color w:val="000000"/>
              </w:rPr>
              <w:t xml:space="preserve"> </w:t>
            </w:r>
            <w:r w:rsidR="004963C6">
              <w:rPr>
                <w:rFonts w:cs="Arial"/>
                <w:color w:val="000000"/>
              </w:rPr>
              <w:t xml:space="preserve">projections </w:t>
            </w:r>
            <w:r w:rsidR="00024878" w:rsidRPr="008B62C0">
              <w:rPr>
                <w:rFonts w:cs="Arial"/>
                <w:color w:val="000000"/>
              </w:rPr>
              <w:t>model</w:t>
            </w:r>
            <w:r w:rsidR="00024878">
              <w:rPr>
                <w:rFonts w:cs="Arial"/>
                <w:color w:val="000000"/>
              </w:rPr>
              <w:t>s for LNG, electricity and direct combustion</w:t>
            </w:r>
          </w:p>
        </w:tc>
      </w:tr>
      <w:tr w:rsidR="00521A30" w14:paraId="79C0DFEC" w14:textId="1D4ED5F3"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2AE1B8BD" w14:textId="6F668616" w:rsidR="00521A30" w:rsidRPr="008B62C0" w:rsidRDefault="00521A30" w:rsidP="00521A30">
            <w:pPr>
              <w:spacing w:after="0" w:line="240" w:lineRule="auto"/>
              <w:rPr>
                <w:rFonts w:eastAsia="Times New Roman" w:cs="Arial"/>
                <w:color w:val="000000"/>
                <w:lang w:eastAsia="en-AU"/>
              </w:rPr>
            </w:pPr>
            <w:r w:rsidRPr="008B62C0">
              <w:rPr>
                <w:rFonts w:cs="Arial"/>
                <w:color w:val="000000"/>
              </w:rPr>
              <w:t xml:space="preserve">Transmission and </w:t>
            </w:r>
            <w:r w:rsidR="009E75DB">
              <w:rPr>
                <w:rFonts w:cs="Arial"/>
                <w:color w:val="000000"/>
              </w:rPr>
              <w:t>s</w:t>
            </w:r>
            <w:r w:rsidRPr="008B62C0">
              <w:rPr>
                <w:rFonts w:cs="Arial"/>
                <w:color w:val="000000"/>
              </w:rPr>
              <w:t xml:space="preserve">torage - LNG </w:t>
            </w:r>
            <w:r w:rsidR="009E75DB">
              <w:rPr>
                <w:rFonts w:cs="Arial"/>
                <w:color w:val="000000"/>
              </w:rPr>
              <w:t>t</w:t>
            </w:r>
            <w:r w:rsidRPr="008B62C0">
              <w:rPr>
                <w:rFonts w:cs="Arial"/>
                <w:color w:val="000000"/>
              </w:rPr>
              <w:t>erminals</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3078ECD3" w14:textId="498E02ED" w:rsidR="00521A30" w:rsidRPr="008B62C0" w:rsidRDefault="00521A30" w:rsidP="0086447E">
            <w:pPr>
              <w:spacing w:after="0"/>
              <w:rPr>
                <w:rFonts w:cs="Arial"/>
              </w:rPr>
            </w:pPr>
            <w:r w:rsidRPr="008B62C0">
              <w:rPr>
                <w:rFonts w:cs="Arial"/>
                <w:color w:val="000000"/>
              </w:rPr>
              <w:t>Number of LNG terminals operating</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74728186" w14:textId="7D36A799" w:rsidR="00521A30" w:rsidRPr="008B62C0" w:rsidRDefault="00521A30" w:rsidP="0086447E">
            <w:pPr>
              <w:spacing w:after="0"/>
              <w:rPr>
                <w:rFonts w:cs="Arial"/>
                <w:color w:val="000000"/>
              </w:rPr>
            </w:pPr>
            <w:r w:rsidRPr="008B62C0">
              <w:rPr>
                <w:rFonts w:cs="Arial"/>
                <w:color w:val="000000"/>
              </w:rPr>
              <w:t xml:space="preserve">AME Group, </w:t>
            </w:r>
            <w:r w:rsidR="009E75DB">
              <w:rPr>
                <w:rFonts w:cs="Arial"/>
                <w:color w:val="000000"/>
              </w:rPr>
              <w:t>c</w:t>
            </w:r>
            <w:r w:rsidRPr="008B62C0">
              <w:rPr>
                <w:rFonts w:cs="Arial"/>
                <w:color w:val="000000"/>
              </w:rPr>
              <w:t xml:space="preserve">ompany </w:t>
            </w:r>
            <w:r w:rsidR="009E75DB">
              <w:rPr>
                <w:rFonts w:cs="Arial"/>
                <w:color w:val="000000"/>
              </w:rPr>
              <w:t>r</w:t>
            </w:r>
            <w:r w:rsidRPr="008B62C0">
              <w:rPr>
                <w:rFonts w:cs="Arial"/>
                <w:color w:val="000000"/>
              </w:rPr>
              <w:t>eports</w:t>
            </w:r>
          </w:p>
        </w:tc>
      </w:tr>
      <w:tr w:rsidR="00521A30" w14:paraId="243227CF" w14:textId="4D01D10C"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775B5206" w14:textId="0E01CFB3" w:rsidR="00521A30" w:rsidRPr="008B62C0" w:rsidRDefault="00521A30" w:rsidP="00521A30">
            <w:pPr>
              <w:spacing w:after="0" w:line="240" w:lineRule="auto"/>
              <w:rPr>
                <w:rFonts w:eastAsia="Times New Roman" w:cs="Arial"/>
                <w:color w:val="000000"/>
                <w:lang w:eastAsia="en-AU"/>
              </w:rPr>
            </w:pPr>
            <w:r w:rsidRPr="008B62C0">
              <w:rPr>
                <w:rFonts w:cs="Arial"/>
                <w:color w:val="000000"/>
              </w:rPr>
              <w:t xml:space="preserve">Transmission and </w:t>
            </w:r>
            <w:r w:rsidR="009E75DB">
              <w:rPr>
                <w:rFonts w:cs="Arial"/>
                <w:color w:val="000000"/>
              </w:rPr>
              <w:t>s</w:t>
            </w:r>
            <w:r w:rsidRPr="008B62C0">
              <w:rPr>
                <w:rFonts w:cs="Arial"/>
                <w:color w:val="000000"/>
              </w:rPr>
              <w:t xml:space="preserve">torage - </w:t>
            </w:r>
            <w:r w:rsidR="009E75DB">
              <w:rPr>
                <w:rFonts w:cs="Arial"/>
                <w:color w:val="000000"/>
              </w:rPr>
              <w:t>s</w:t>
            </w:r>
            <w:r w:rsidRPr="008B62C0">
              <w:rPr>
                <w:rFonts w:cs="Arial"/>
                <w:color w:val="000000"/>
              </w:rPr>
              <w:t>torage - LNG</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0566A299" w14:textId="3618EA41" w:rsidR="00521A30" w:rsidRPr="008B62C0" w:rsidRDefault="00521A30" w:rsidP="0086447E">
            <w:pPr>
              <w:spacing w:after="0"/>
              <w:rPr>
                <w:rFonts w:cs="Arial"/>
                <w:highlight w:val="yellow"/>
              </w:rPr>
            </w:pPr>
            <w:r w:rsidRPr="008B62C0">
              <w:rPr>
                <w:rFonts w:cs="Arial"/>
                <w:color w:val="000000"/>
              </w:rPr>
              <w:t>Number of LNG storage stations operating</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59BD93F2" w14:textId="1CE07890" w:rsidR="00521A30" w:rsidRPr="008B62C0" w:rsidRDefault="00521A30" w:rsidP="0086447E">
            <w:pPr>
              <w:spacing w:after="0"/>
              <w:rPr>
                <w:rFonts w:cs="Arial"/>
                <w:color w:val="000000"/>
              </w:rPr>
            </w:pPr>
            <w:r w:rsidRPr="008B62C0">
              <w:rPr>
                <w:rFonts w:cs="Arial"/>
                <w:color w:val="000000"/>
              </w:rPr>
              <w:t xml:space="preserve">AME Group, </w:t>
            </w:r>
            <w:r w:rsidR="009E75DB">
              <w:rPr>
                <w:rFonts w:cs="Arial"/>
                <w:color w:val="000000"/>
              </w:rPr>
              <w:t>c</w:t>
            </w:r>
            <w:r w:rsidRPr="008B62C0">
              <w:rPr>
                <w:rFonts w:cs="Arial"/>
                <w:color w:val="000000"/>
              </w:rPr>
              <w:t xml:space="preserve">ompany </w:t>
            </w:r>
            <w:r w:rsidR="009E75DB">
              <w:rPr>
                <w:rFonts w:cs="Arial"/>
                <w:color w:val="000000"/>
              </w:rPr>
              <w:t>r</w:t>
            </w:r>
            <w:r w:rsidRPr="008B62C0">
              <w:rPr>
                <w:rFonts w:cs="Arial"/>
                <w:color w:val="000000"/>
              </w:rPr>
              <w:t>eports</w:t>
            </w:r>
          </w:p>
        </w:tc>
      </w:tr>
      <w:tr w:rsidR="00521A30" w14:paraId="2D00D111" w14:textId="09E515A1"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0B37EDC3" w14:textId="1A41C08F" w:rsidR="00521A30" w:rsidRPr="008B62C0" w:rsidRDefault="00521A30" w:rsidP="00521A30">
            <w:pPr>
              <w:spacing w:after="0" w:line="240" w:lineRule="auto"/>
              <w:rPr>
                <w:rFonts w:eastAsia="Times New Roman" w:cs="Arial"/>
                <w:color w:val="000000"/>
                <w:lang w:eastAsia="en-AU"/>
              </w:rPr>
            </w:pPr>
            <w:r w:rsidRPr="008B62C0">
              <w:rPr>
                <w:rFonts w:cs="Arial"/>
                <w:color w:val="000000"/>
              </w:rPr>
              <w:t xml:space="preserve">Transmission and </w:t>
            </w:r>
            <w:r w:rsidR="009E75DB">
              <w:rPr>
                <w:rFonts w:cs="Arial"/>
                <w:color w:val="000000"/>
              </w:rPr>
              <w:t>s</w:t>
            </w:r>
            <w:r w:rsidRPr="008B62C0">
              <w:rPr>
                <w:rFonts w:cs="Arial"/>
                <w:color w:val="000000"/>
              </w:rPr>
              <w:t xml:space="preserve">torage - </w:t>
            </w:r>
            <w:r w:rsidR="009E75DB">
              <w:rPr>
                <w:rFonts w:cs="Arial"/>
                <w:color w:val="000000"/>
              </w:rPr>
              <w:t>s</w:t>
            </w:r>
            <w:r w:rsidRPr="008B62C0">
              <w:rPr>
                <w:rFonts w:cs="Arial"/>
                <w:color w:val="000000"/>
              </w:rPr>
              <w:t xml:space="preserve">torage - </w:t>
            </w:r>
            <w:r w:rsidR="009E75DB">
              <w:rPr>
                <w:rFonts w:cs="Arial"/>
                <w:color w:val="000000"/>
              </w:rPr>
              <w:t>n</w:t>
            </w:r>
            <w:r w:rsidRPr="008B62C0">
              <w:rPr>
                <w:rFonts w:cs="Arial"/>
                <w:color w:val="000000"/>
              </w:rPr>
              <w:t xml:space="preserve">atural </w:t>
            </w:r>
            <w:r w:rsidR="009E75DB">
              <w:rPr>
                <w:rFonts w:cs="Arial"/>
                <w:color w:val="000000"/>
              </w:rPr>
              <w:t>g</w:t>
            </w:r>
            <w:r w:rsidRPr="008B62C0">
              <w:rPr>
                <w:rFonts w:cs="Arial"/>
                <w:color w:val="000000"/>
              </w:rPr>
              <w:t>as</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7BA90E9A" w14:textId="1BD41239" w:rsidR="00521A30" w:rsidRPr="008B62C0" w:rsidRDefault="00521A30" w:rsidP="0086447E">
            <w:pPr>
              <w:spacing w:after="0"/>
              <w:rPr>
                <w:rFonts w:cs="Arial"/>
                <w:highlight w:val="yellow"/>
              </w:rPr>
            </w:pPr>
            <w:r w:rsidRPr="008B62C0">
              <w:rPr>
                <w:rFonts w:cs="Arial"/>
                <w:color w:val="000000"/>
              </w:rPr>
              <w:t>Number of gas storage stations operating</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347B6A07" w14:textId="72106A03" w:rsidR="00521A30" w:rsidRPr="008B62C0" w:rsidRDefault="00521A30" w:rsidP="0086447E">
            <w:pPr>
              <w:spacing w:after="0"/>
              <w:rPr>
                <w:rFonts w:cs="Arial"/>
                <w:color w:val="000000"/>
              </w:rPr>
            </w:pPr>
            <w:r w:rsidRPr="008B62C0">
              <w:rPr>
                <w:rFonts w:cs="Arial"/>
                <w:color w:val="000000"/>
              </w:rPr>
              <w:t xml:space="preserve">AME Group, </w:t>
            </w:r>
            <w:r w:rsidR="009E75DB">
              <w:rPr>
                <w:rFonts w:cs="Arial"/>
                <w:color w:val="000000"/>
              </w:rPr>
              <w:t>c</w:t>
            </w:r>
            <w:r w:rsidRPr="008B62C0">
              <w:rPr>
                <w:rFonts w:cs="Arial"/>
                <w:color w:val="000000"/>
              </w:rPr>
              <w:t xml:space="preserve">ompany </w:t>
            </w:r>
            <w:r w:rsidR="009E75DB">
              <w:rPr>
                <w:rFonts w:cs="Arial"/>
                <w:color w:val="000000"/>
              </w:rPr>
              <w:t>r</w:t>
            </w:r>
            <w:r w:rsidRPr="008B62C0">
              <w:rPr>
                <w:rFonts w:cs="Arial"/>
                <w:color w:val="000000"/>
              </w:rPr>
              <w:t>eports</w:t>
            </w:r>
          </w:p>
        </w:tc>
      </w:tr>
      <w:tr w:rsidR="00521A30" w14:paraId="4C9A5337" w14:textId="6A06BEE5"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1DA968DA" w14:textId="323D63E4" w:rsidR="00521A30" w:rsidRPr="008B62C0" w:rsidRDefault="00521A30" w:rsidP="00831C61">
            <w:pPr>
              <w:spacing w:after="0" w:line="240" w:lineRule="auto"/>
              <w:rPr>
                <w:rFonts w:cs="Arial"/>
                <w:color w:val="000000"/>
              </w:rPr>
            </w:pPr>
            <w:r w:rsidRPr="008B62C0">
              <w:rPr>
                <w:rFonts w:cs="Arial"/>
                <w:color w:val="000000"/>
              </w:rPr>
              <w:t xml:space="preserve">Transmission and </w:t>
            </w:r>
            <w:r w:rsidR="009E75DB">
              <w:rPr>
                <w:rFonts w:cs="Arial"/>
                <w:color w:val="000000"/>
              </w:rPr>
              <w:t>s</w:t>
            </w:r>
            <w:r w:rsidRPr="008B62C0">
              <w:rPr>
                <w:rFonts w:cs="Arial"/>
                <w:color w:val="000000"/>
              </w:rPr>
              <w:t xml:space="preserve">torage - </w:t>
            </w:r>
            <w:r w:rsidR="009E75DB">
              <w:rPr>
                <w:rFonts w:cs="Arial"/>
                <w:color w:val="000000"/>
              </w:rPr>
              <w:t>t</w:t>
            </w:r>
            <w:r w:rsidRPr="008B62C0">
              <w:rPr>
                <w:rFonts w:cs="Arial"/>
                <w:color w:val="000000"/>
              </w:rPr>
              <w:t>ransmission</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07284133" w14:textId="556DA893" w:rsidR="00521A30" w:rsidRPr="008B62C0" w:rsidRDefault="00521A30" w:rsidP="0086447E">
            <w:pPr>
              <w:spacing w:after="0"/>
              <w:rPr>
                <w:rFonts w:cs="Arial"/>
                <w:color w:val="000000"/>
              </w:rPr>
            </w:pPr>
            <w:r w:rsidRPr="008B62C0">
              <w:rPr>
                <w:rFonts w:cs="Arial"/>
                <w:color w:val="000000"/>
              </w:rPr>
              <w:t>Total pipeline length</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1FD6395A" w14:textId="171CA0CC" w:rsidR="00521A30" w:rsidRPr="008B62C0" w:rsidRDefault="004E58A4" w:rsidP="0086447E">
            <w:pPr>
              <w:spacing w:after="0"/>
              <w:rPr>
                <w:rFonts w:cs="Arial"/>
                <w:color w:val="000000"/>
              </w:rPr>
            </w:pPr>
            <w:r>
              <w:rPr>
                <w:rFonts w:cs="Arial"/>
                <w:color w:val="000000"/>
              </w:rPr>
              <w:t>AEC 2017</w:t>
            </w:r>
            <w:r w:rsidR="00521A30" w:rsidRPr="008B62C0">
              <w:rPr>
                <w:rFonts w:cs="Arial"/>
                <w:color w:val="000000"/>
              </w:rPr>
              <w:t xml:space="preserve">, </w:t>
            </w:r>
            <w:r w:rsidR="009E75DB">
              <w:rPr>
                <w:rFonts w:cs="Arial"/>
                <w:color w:val="000000"/>
              </w:rPr>
              <w:t>c</w:t>
            </w:r>
            <w:r w:rsidR="00521A30" w:rsidRPr="008B62C0">
              <w:rPr>
                <w:rFonts w:cs="Arial"/>
                <w:color w:val="000000"/>
              </w:rPr>
              <w:t xml:space="preserve">ompany </w:t>
            </w:r>
            <w:r w:rsidR="009E75DB">
              <w:rPr>
                <w:rFonts w:cs="Arial"/>
                <w:color w:val="000000"/>
              </w:rPr>
              <w:t>r</w:t>
            </w:r>
            <w:r w:rsidR="00521A30" w:rsidRPr="008B62C0">
              <w:rPr>
                <w:rFonts w:cs="Arial"/>
                <w:color w:val="000000"/>
              </w:rPr>
              <w:t>eports, Department of the Environment and Energy</w:t>
            </w:r>
            <w:r>
              <w:rPr>
                <w:rFonts w:cs="Arial"/>
                <w:color w:val="000000"/>
              </w:rPr>
              <w:t xml:space="preserve"> expert advice</w:t>
            </w:r>
          </w:p>
        </w:tc>
      </w:tr>
      <w:tr w:rsidR="00521A30" w14:paraId="583845B8" w14:textId="03593744"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577744BD" w14:textId="6D8D6615" w:rsidR="00521A30" w:rsidRPr="008B62C0" w:rsidRDefault="00521A30" w:rsidP="00831C61">
            <w:pPr>
              <w:spacing w:after="0" w:line="240" w:lineRule="auto"/>
              <w:rPr>
                <w:rFonts w:cs="Arial"/>
                <w:color w:val="000000"/>
              </w:rPr>
            </w:pPr>
            <w:r w:rsidRPr="008B62C0">
              <w:rPr>
                <w:rFonts w:cs="Arial"/>
                <w:color w:val="000000"/>
              </w:rPr>
              <w:t xml:space="preserve">Venting and </w:t>
            </w:r>
            <w:r w:rsidR="009E75DB">
              <w:rPr>
                <w:rFonts w:cs="Arial"/>
                <w:color w:val="000000"/>
              </w:rPr>
              <w:t>f</w:t>
            </w:r>
            <w:r w:rsidRPr="008B62C0">
              <w:rPr>
                <w:rFonts w:cs="Arial"/>
                <w:color w:val="000000"/>
              </w:rPr>
              <w:t xml:space="preserve">laring - </w:t>
            </w:r>
            <w:r w:rsidR="009E75DB">
              <w:rPr>
                <w:rFonts w:cs="Arial"/>
                <w:color w:val="000000"/>
              </w:rPr>
              <w:t>f</w:t>
            </w:r>
            <w:r w:rsidRPr="008B62C0">
              <w:rPr>
                <w:rFonts w:cs="Arial"/>
                <w:color w:val="000000"/>
              </w:rPr>
              <w:t xml:space="preserve">laring - </w:t>
            </w:r>
            <w:r w:rsidR="009E75DB">
              <w:rPr>
                <w:rFonts w:cs="Arial"/>
                <w:color w:val="000000"/>
              </w:rPr>
              <w:t>g</w:t>
            </w:r>
            <w:r w:rsidRPr="008B62C0">
              <w:rPr>
                <w:rFonts w:cs="Arial"/>
                <w:color w:val="000000"/>
              </w:rPr>
              <w:t>as</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1594E5BF" w14:textId="193B820B" w:rsidR="00521A30" w:rsidRPr="008B62C0" w:rsidRDefault="00521A30" w:rsidP="0086447E">
            <w:pPr>
              <w:spacing w:after="0"/>
              <w:rPr>
                <w:rFonts w:cs="Arial"/>
                <w:color w:val="000000"/>
              </w:rPr>
            </w:pPr>
            <w:r w:rsidRPr="008B62C0">
              <w:rPr>
                <w:rFonts w:cs="Arial"/>
                <w:color w:val="000000"/>
              </w:rPr>
              <w:t xml:space="preserve">Domestic </w:t>
            </w:r>
            <w:r w:rsidR="0086447E">
              <w:rPr>
                <w:rFonts w:cs="Arial"/>
                <w:color w:val="000000"/>
              </w:rPr>
              <w:t>gas c</w:t>
            </w:r>
            <w:r w:rsidRPr="008B62C0">
              <w:rPr>
                <w:rFonts w:cs="Arial"/>
                <w:color w:val="000000"/>
              </w:rPr>
              <w:t>onsumption</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10A9F031" w14:textId="649226B8" w:rsidR="00521A30" w:rsidRPr="008B62C0" w:rsidRDefault="00024878" w:rsidP="0086447E">
            <w:pPr>
              <w:spacing w:after="0"/>
              <w:rPr>
                <w:rFonts w:cs="Arial"/>
                <w:color w:val="000000"/>
              </w:rPr>
            </w:pPr>
            <w:r w:rsidRPr="008B62C0">
              <w:rPr>
                <w:rFonts w:cs="Arial"/>
                <w:color w:val="000000"/>
              </w:rPr>
              <w:t>AEMO</w:t>
            </w:r>
            <w:r>
              <w:rPr>
                <w:rFonts w:cs="Arial"/>
                <w:color w:val="000000"/>
              </w:rPr>
              <w:t xml:space="preserve"> 2016, AEMO 2016a</w:t>
            </w:r>
            <w:r w:rsidRPr="008B62C0">
              <w:rPr>
                <w:rFonts w:cs="Arial"/>
                <w:color w:val="000000"/>
              </w:rPr>
              <w:t xml:space="preserve">, </w:t>
            </w:r>
            <w:r w:rsidR="009E75DB">
              <w:rPr>
                <w:rFonts w:cs="Arial"/>
                <w:color w:val="000000"/>
              </w:rPr>
              <w:t>e</w:t>
            </w:r>
            <w:r>
              <w:rPr>
                <w:rFonts w:cs="Arial"/>
                <w:color w:val="000000"/>
              </w:rPr>
              <w:t xml:space="preserve">mission projections </w:t>
            </w:r>
            <w:r w:rsidRPr="008B62C0">
              <w:rPr>
                <w:rFonts w:cs="Arial"/>
                <w:color w:val="000000"/>
              </w:rPr>
              <w:t>model</w:t>
            </w:r>
            <w:r>
              <w:rPr>
                <w:rFonts w:cs="Arial"/>
                <w:color w:val="000000"/>
              </w:rPr>
              <w:t>s for electricity and direct combustion</w:t>
            </w:r>
          </w:p>
        </w:tc>
      </w:tr>
      <w:tr w:rsidR="00521A30" w14:paraId="07F19690" w14:textId="676FA586" w:rsidTr="0086447E">
        <w:trPr>
          <w:trHeight w:val="315"/>
        </w:trPr>
        <w:tc>
          <w:tcPr>
            <w:tcW w:w="30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01D78C4C" w14:textId="78EAD346" w:rsidR="00521A30" w:rsidRPr="008B62C0" w:rsidRDefault="00521A30" w:rsidP="00831C61">
            <w:pPr>
              <w:spacing w:after="0" w:line="240" w:lineRule="auto"/>
              <w:rPr>
                <w:rFonts w:cs="Arial"/>
                <w:color w:val="000000"/>
              </w:rPr>
            </w:pPr>
            <w:r w:rsidRPr="008B62C0">
              <w:rPr>
                <w:rFonts w:cs="Arial"/>
                <w:color w:val="000000"/>
              </w:rPr>
              <w:t xml:space="preserve">Venting and </w:t>
            </w:r>
            <w:r w:rsidR="009E75DB">
              <w:rPr>
                <w:rFonts w:cs="Arial"/>
                <w:color w:val="000000"/>
              </w:rPr>
              <w:t>f</w:t>
            </w:r>
            <w:r w:rsidRPr="008B62C0">
              <w:rPr>
                <w:rFonts w:cs="Arial"/>
                <w:color w:val="000000"/>
              </w:rPr>
              <w:t xml:space="preserve">laring - </w:t>
            </w:r>
            <w:r w:rsidR="009E75DB">
              <w:rPr>
                <w:rFonts w:cs="Arial"/>
                <w:color w:val="000000"/>
              </w:rPr>
              <w:t>v</w:t>
            </w:r>
            <w:r w:rsidRPr="008B62C0">
              <w:rPr>
                <w:rFonts w:cs="Arial"/>
                <w:color w:val="000000"/>
              </w:rPr>
              <w:t xml:space="preserve">enting - </w:t>
            </w:r>
            <w:r w:rsidR="009E75DB">
              <w:rPr>
                <w:rFonts w:cs="Arial"/>
                <w:color w:val="000000"/>
              </w:rPr>
              <w:t>g</w:t>
            </w:r>
            <w:r w:rsidRPr="008B62C0">
              <w:rPr>
                <w:rFonts w:cs="Arial"/>
                <w:color w:val="000000"/>
              </w:rPr>
              <w:t>as</w:t>
            </w:r>
          </w:p>
        </w:tc>
        <w:tc>
          <w:tcPr>
            <w:tcW w:w="3215"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452DFB07" w14:textId="672B645D" w:rsidR="00521A30" w:rsidRPr="008B62C0" w:rsidRDefault="0086447E" w:rsidP="0086447E">
            <w:pPr>
              <w:spacing w:after="0"/>
              <w:rPr>
                <w:rFonts w:cs="Arial"/>
                <w:color w:val="000000"/>
              </w:rPr>
            </w:pPr>
            <w:r>
              <w:rPr>
                <w:rFonts w:cs="Arial"/>
                <w:color w:val="000000"/>
              </w:rPr>
              <w:t>Domestic g</w:t>
            </w:r>
            <w:r w:rsidR="00521A30" w:rsidRPr="008B62C0">
              <w:rPr>
                <w:rFonts w:cs="Arial"/>
                <w:color w:val="000000"/>
              </w:rPr>
              <w:t xml:space="preserve">as </w:t>
            </w:r>
            <w:r>
              <w:rPr>
                <w:rFonts w:cs="Arial"/>
                <w:color w:val="000000"/>
              </w:rPr>
              <w:t>c</w:t>
            </w:r>
            <w:r w:rsidR="00521A30" w:rsidRPr="008B62C0">
              <w:rPr>
                <w:rFonts w:cs="Arial"/>
                <w:color w:val="000000"/>
              </w:rPr>
              <w:t>onsumption</w:t>
            </w:r>
          </w:p>
        </w:tc>
        <w:tc>
          <w:tcPr>
            <w:tcW w:w="280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412DFE04" w14:textId="63B81904" w:rsidR="00521A30" w:rsidRPr="008B62C0" w:rsidRDefault="00024878" w:rsidP="0086447E">
            <w:pPr>
              <w:spacing w:after="0"/>
              <w:rPr>
                <w:rFonts w:cs="Arial"/>
                <w:color w:val="000000"/>
              </w:rPr>
            </w:pPr>
            <w:r w:rsidRPr="008B62C0">
              <w:rPr>
                <w:rFonts w:cs="Arial"/>
                <w:color w:val="000000"/>
              </w:rPr>
              <w:t>AEMO</w:t>
            </w:r>
            <w:r>
              <w:rPr>
                <w:rFonts w:cs="Arial"/>
                <w:color w:val="000000"/>
              </w:rPr>
              <w:t xml:space="preserve"> 2016, AEMO 2016a</w:t>
            </w:r>
            <w:r w:rsidRPr="008B62C0">
              <w:rPr>
                <w:rFonts w:cs="Arial"/>
                <w:color w:val="000000"/>
              </w:rPr>
              <w:t xml:space="preserve">, </w:t>
            </w:r>
            <w:r w:rsidR="009E75DB">
              <w:rPr>
                <w:rFonts w:cs="Arial"/>
                <w:color w:val="000000"/>
              </w:rPr>
              <w:t>e</w:t>
            </w:r>
            <w:r>
              <w:rPr>
                <w:rFonts w:cs="Arial"/>
                <w:color w:val="000000"/>
              </w:rPr>
              <w:t xml:space="preserve">mission projections </w:t>
            </w:r>
            <w:r w:rsidRPr="008B62C0">
              <w:rPr>
                <w:rFonts w:cs="Arial"/>
                <w:color w:val="000000"/>
              </w:rPr>
              <w:t>model</w:t>
            </w:r>
            <w:r>
              <w:rPr>
                <w:rFonts w:cs="Arial"/>
                <w:color w:val="000000"/>
              </w:rPr>
              <w:t>s for electricity and direct combustion</w:t>
            </w:r>
          </w:p>
        </w:tc>
      </w:tr>
    </w:tbl>
    <w:p w14:paraId="7B4C22A0" w14:textId="77777777" w:rsidR="00831C61" w:rsidRDefault="00831C61" w:rsidP="00436DF9"/>
    <w:p w14:paraId="499873C6" w14:textId="00312E8B" w:rsidR="000E7071" w:rsidRPr="005615C1" w:rsidRDefault="000E7071" w:rsidP="007835F3">
      <w:pPr>
        <w:pStyle w:val="Heading2"/>
      </w:pPr>
      <w:bookmarkStart w:id="30" w:name="_Toc510532006"/>
      <w:bookmarkStart w:id="31" w:name="_Toc510532536"/>
      <w:bookmarkStart w:id="32" w:name="_Toc510534100"/>
      <w:bookmarkStart w:id="33" w:name="_Toc510794629"/>
      <w:bookmarkStart w:id="34" w:name="_Toc511297988"/>
      <w:bookmarkStart w:id="35" w:name="_Toc511304017"/>
      <w:bookmarkStart w:id="36" w:name="_Toc511918021"/>
      <w:r w:rsidRPr="005615C1">
        <w:t>Industrial Processes and Product Use</w:t>
      </w:r>
      <w:bookmarkEnd w:id="30"/>
      <w:bookmarkEnd w:id="31"/>
      <w:bookmarkEnd w:id="32"/>
      <w:bookmarkEnd w:id="33"/>
      <w:bookmarkEnd w:id="34"/>
      <w:bookmarkEnd w:id="35"/>
      <w:bookmarkEnd w:id="36"/>
    </w:p>
    <w:p w14:paraId="6CF3585B" w14:textId="470BD5A4" w:rsidR="00691C24" w:rsidRDefault="000E7071" w:rsidP="000E7071">
      <w:r>
        <w:t xml:space="preserve">Emissions from the </w:t>
      </w:r>
      <w:r w:rsidR="008E7EFF" w:rsidRPr="00774171">
        <w:rPr>
          <w:i/>
        </w:rPr>
        <w:t>i</w:t>
      </w:r>
      <w:r w:rsidRPr="000034C2">
        <w:rPr>
          <w:i/>
        </w:rPr>
        <w:t xml:space="preserve">ndustrial </w:t>
      </w:r>
      <w:r w:rsidR="008E7EFF" w:rsidRPr="000034C2">
        <w:rPr>
          <w:i/>
        </w:rPr>
        <w:t>p</w:t>
      </w:r>
      <w:r w:rsidRPr="000034C2">
        <w:rPr>
          <w:i/>
        </w:rPr>
        <w:t xml:space="preserve">rocesses and </w:t>
      </w:r>
      <w:r w:rsidR="008E7EFF" w:rsidRPr="000034C2">
        <w:rPr>
          <w:i/>
        </w:rPr>
        <w:t>p</w:t>
      </w:r>
      <w:r w:rsidRPr="000034C2">
        <w:rPr>
          <w:i/>
        </w:rPr>
        <w:t xml:space="preserve">roduct </w:t>
      </w:r>
      <w:r w:rsidR="00A1201F" w:rsidRPr="000034C2">
        <w:rPr>
          <w:i/>
        </w:rPr>
        <w:t>u</w:t>
      </w:r>
      <w:r w:rsidRPr="000034C2">
        <w:rPr>
          <w:i/>
        </w:rPr>
        <w:t>se sector</w:t>
      </w:r>
      <w:r w:rsidR="005B2483">
        <w:t xml:space="preserve"> (IPPU)</w:t>
      </w:r>
      <w:r>
        <w:t xml:space="preserve"> are projected using bottom-up modelling processes developed within the department. Where possible, emissions are projected by estimating fuel use at the facility-level, to allow for different fuel types and emissions intensity of production across </w:t>
      </w:r>
      <w:r w:rsidR="00691C24">
        <w:t>facilities to be accounted for.</w:t>
      </w:r>
    </w:p>
    <w:p w14:paraId="789E4340" w14:textId="28A4A092" w:rsidR="000E7071" w:rsidRDefault="000E7071" w:rsidP="000E7071">
      <w:r>
        <w:t xml:space="preserve">Unless otherwise specified, the emissions intensity of production is assumed to be constant across the entire projections period and </w:t>
      </w:r>
      <w:r w:rsidR="00280C43">
        <w:t>is based on the</w:t>
      </w:r>
      <w:r>
        <w:t xml:space="preserve"> </w:t>
      </w:r>
      <w:r w:rsidR="00280C43">
        <w:t xml:space="preserve">emissions reported in </w:t>
      </w:r>
      <w:r w:rsidR="00664D73">
        <w:t>Australia’s</w:t>
      </w:r>
      <w:r>
        <w:t xml:space="preserve"> </w:t>
      </w:r>
      <w:r w:rsidRPr="00BB4EC5">
        <w:rPr>
          <w:i/>
        </w:rPr>
        <w:t>National Inventory Report</w:t>
      </w:r>
      <w:r>
        <w:t xml:space="preserve"> (</w:t>
      </w:r>
      <w:proofErr w:type="spellStart"/>
      <w:r w:rsidR="005B2483">
        <w:t>DoEE</w:t>
      </w:r>
      <w:proofErr w:type="spellEnd"/>
      <w:r w:rsidR="005B2483">
        <w:t xml:space="preserve"> 2017</w:t>
      </w:r>
      <w:r>
        <w:t>). Where sufficient data is not available, a simplified methodology is applied and emissions are projected to grow in line with an appropriate driver, such as populatio</w:t>
      </w:r>
      <w:r w:rsidR="00691C24">
        <w:t>n.</w:t>
      </w:r>
    </w:p>
    <w:p w14:paraId="6B911AD6" w14:textId="4DCFEE7B" w:rsidR="00346BD8" w:rsidRDefault="00BA65B6" w:rsidP="000E7071">
      <w:r>
        <w:t>For the major chemical industry subsectors the growth in the final demand for these products is used as the driver for production growth, as outlined below.</w:t>
      </w:r>
    </w:p>
    <w:p w14:paraId="42006C34" w14:textId="34B74CC7" w:rsidR="00346BD8" w:rsidRDefault="00346BD8" w:rsidP="000E7071">
      <w:r w:rsidRPr="00346BD8">
        <w:rPr>
          <w:b/>
        </w:rPr>
        <w:t xml:space="preserve">Ammonia </w:t>
      </w:r>
      <w:r w:rsidRPr="00346BD8">
        <w:t xml:space="preserve">is primarily used is the production of explosives used by the mining industry and in fertilisers. Projections of natural gas use in the manufacture of ammonia are estimated at the facility level and are informed by coal mining estimates prepared for the </w:t>
      </w:r>
      <w:r w:rsidRPr="00FB329E">
        <w:rPr>
          <w:i/>
        </w:rPr>
        <w:t>fugitives sector</w:t>
      </w:r>
      <w:r w:rsidRPr="00346BD8">
        <w:t xml:space="preserve"> for east coast explosive manufacturers, iron ore mining estimates prepared for the </w:t>
      </w:r>
      <w:r w:rsidRPr="00FB329E">
        <w:rPr>
          <w:i/>
        </w:rPr>
        <w:t>direct combustion</w:t>
      </w:r>
      <w:r w:rsidRPr="00346BD8">
        <w:t xml:space="preserve"> sector for west coast explosives manufacturers, and fertiliser use estimates prepared for the </w:t>
      </w:r>
      <w:r w:rsidRPr="00FB329E">
        <w:rPr>
          <w:i/>
        </w:rPr>
        <w:t>agriculture sector</w:t>
      </w:r>
      <w:r w:rsidRPr="00346BD8">
        <w:t xml:space="preserve"> for fertiliser producers. </w:t>
      </w:r>
    </w:p>
    <w:p w14:paraId="3609E587" w14:textId="4C5B7ADA" w:rsidR="00346BD8" w:rsidRDefault="00346BD8" w:rsidP="000E7071">
      <w:r w:rsidRPr="00346BD8">
        <w:rPr>
          <w:b/>
        </w:rPr>
        <w:t>Nitric acid</w:t>
      </w:r>
      <w:r w:rsidRPr="00346BD8">
        <w:t xml:space="preserve"> is primarily used in the production of explosives used by the mining industry. Projections of nitric acid emissions are estimated at the facility level and are informed by coal mining estimates prepared for the </w:t>
      </w:r>
      <w:r w:rsidRPr="00FB329E">
        <w:rPr>
          <w:i/>
        </w:rPr>
        <w:t>fugitives sector</w:t>
      </w:r>
      <w:r w:rsidRPr="00346BD8">
        <w:t xml:space="preserve"> for east coast explosive manufacturers and iron ore mining estimates prepared for the </w:t>
      </w:r>
      <w:r w:rsidRPr="00FB329E">
        <w:rPr>
          <w:i/>
        </w:rPr>
        <w:t>direct combustion</w:t>
      </w:r>
      <w:r w:rsidRPr="00346BD8">
        <w:t xml:space="preserve"> sector for west coast explosives manufacturers.</w:t>
      </w:r>
      <w:r>
        <w:t xml:space="preserve"> </w:t>
      </w:r>
      <w:r w:rsidRPr="00346BD8">
        <w:t>Facility-specific capacity constraints are applied to these estimates.</w:t>
      </w:r>
      <w:r w:rsidR="00FB329E">
        <w:t xml:space="preserve"> </w:t>
      </w:r>
    </w:p>
    <w:p w14:paraId="10813736" w14:textId="2272F0A2" w:rsidR="005D4A04" w:rsidRDefault="005D4A04" w:rsidP="000E7071">
      <w:r w:rsidRPr="005D4A04">
        <w:rPr>
          <w:b/>
        </w:rPr>
        <w:t>Synthetic rutile</w:t>
      </w:r>
      <w:r>
        <w:t xml:space="preserve"> is used to produce titanium dioxide. </w:t>
      </w:r>
      <w:r w:rsidRPr="005D4A04">
        <w:rPr>
          <w:b/>
        </w:rPr>
        <w:t>Titanium dioxide</w:t>
      </w:r>
      <w:r>
        <w:t xml:space="preserve"> is a white pigment used in paint manufacture, paper, plastics, rubber, ceramics, fabrics, floor covering, printing ink and other miscellaneous uses. Approximately 75 per cent of Australia’s titanium dioxide is exported. Projections of the use of fuels in the production of titanium dioxide and synthetic rutile are estimated at the facility level and are informed by projections of gross world product, as well as facility-specific capacity constraints. </w:t>
      </w:r>
    </w:p>
    <w:p w14:paraId="2A3F709E" w14:textId="4EB0CD04" w:rsidR="004D492A" w:rsidRPr="00C808FE" w:rsidRDefault="004D492A" w:rsidP="00AD066C">
      <w:pPr>
        <w:keepNext/>
        <w:rPr>
          <w:b/>
        </w:rPr>
      </w:pPr>
      <w:r w:rsidRPr="00C808FE">
        <w:rPr>
          <w:b/>
        </w:rPr>
        <w:t xml:space="preserve">Table </w:t>
      </w:r>
      <w:r>
        <w:rPr>
          <w:b/>
        </w:rPr>
        <w:t>5</w:t>
      </w:r>
      <w:r w:rsidR="003872D2">
        <w:rPr>
          <w:b/>
        </w:rPr>
        <w:t>.</w:t>
      </w:r>
      <w:r w:rsidRPr="00C808FE">
        <w:rPr>
          <w:b/>
        </w:rPr>
        <w:tab/>
        <w:t xml:space="preserve">Summary of </w:t>
      </w:r>
      <w:r>
        <w:rPr>
          <w:b/>
        </w:rPr>
        <w:t>sources and formula for each IPPU subsector</w:t>
      </w:r>
    </w:p>
    <w:tbl>
      <w:tblPr>
        <w:tblW w:w="9104" w:type="dxa"/>
        <w:tblInd w:w="108" w:type="dxa"/>
        <w:tblLook w:val="04A0" w:firstRow="1" w:lastRow="0" w:firstColumn="1" w:lastColumn="0" w:noHBand="0" w:noVBand="1"/>
      </w:tblPr>
      <w:tblGrid>
        <w:gridCol w:w="2586"/>
        <w:gridCol w:w="2551"/>
        <w:gridCol w:w="3967"/>
      </w:tblGrid>
      <w:tr w:rsidR="00F45181" w:rsidRPr="00956380" w14:paraId="10CD16BB" w14:textId="77777777" w:rsidTr="006C39A9">
        <w:trPr>
          <w:trHeight w:val="855"/>
          <w:tblHeader/>
        </w:trPr>
        <w:tc>
          <w:tcPr>
            <w:tcW w:w="2586" w:type="dxa"/>
            <w:tcBorders>
              <w:top w:val="nil"/>
              <w:left w:val="nil"/>
              <w:right w:val="nil"/>
            </w:tcBorders>
            <w:shd w:val="clear" w:color="000000" w:fill="134F8E"/>
            <w:vAlign w:val="center"/>
            <w:hideMark/>
          </w:tcPr>
          <w:p w14:paraId="6D435867" w14:textId="342811CD" w:rsidR="00F45181" w:rsidRPr="00484C3E" w:rsidRDefault="00F45181">
            <w:pPr>
              <w:spacing w:after="0" w:line="240" w:lineRule="auto"/>
              <w:rPr>
                <w:rFonts w:eastAsia="Times New Roman" w:cs="Arial"/>
                <w:b/>
                <w:color w:val="FFFFFF" w:themeColor="background1"/>
                <w:szCs w:val="24"/>
                <w:lang w:eastAsia="en-AU"/>
              </w:rPr>
            </w:pPr>
            <w:r>
              <w:rPr>
                <w:rFonts w:eastAsia="Times New Roman" w:cs="Arial"/>
                <w:b/>
                <w:color w:val="FFFFFF" w:themeColor="background1"/>
                <w:szCs w:val="24"/>
                <w:lang w:eastAsia="en-AU"/>
              </w:rPr>
              <w:t xml:space="preserve">Emissions </w:t>
            </w:r>
            <w:r w:rsidR="007F3B75">
              <w:rPr>
                <w:rFonts w:eastAsia="Times New Roman" w:cs="Arial"/>
                <w:b/>
                <w:color w:val="FFFFFF" w:themeColor="background1"/>
                <w:szCs w:val="24"/>
                <w:lang w:eastAsia="en-AU"/>
              </w:rPr>
              <w:t>subsector</w:t>
            </w:r>
          </w:p>
        </w:tc>
        <w:tc>
          <w:tcPr>
            <w:tcW w:w="2551" w:type="dxa"/>
            <w:tcBorders>
              <w:top w:val="nil"/>
              <w:left w:val="nil"/>
              <w:right w:val="nil"/>
            </w:tcBorders>
            <w:shd w:val="clear" w:color="000000" w:fill="134F8E"/>
            <w:vAlign w:val="center"/>
            <w:hideMark/>
          </w:tcPr>
          <w:p w14:paraId="4BA34CCC" w14:textId="3FEBEFFF" w:rsidR="00F45181" w:rsidRPr="00484C3E" w:rsidRDefault="00F45181" w:rsidP="000A124F">
            <w:pPr>
              <w:spacing w:after="0" w:line="240" w:lineRule="auto"/>
              <w:rPr>
                <w:rFonts w:eastAsia="Times New Roman" w:cs="Arial"/>
                <w:b/>
                <w:color w:val="FFFFFF" w:themeColor="background1"/>
                <w:lang w:eastAsia="en-AU"/>
              </w:rPr>
            </w:pPr>
            <w:r>
              <w:rPr>
                <w:rFonts w:cs="Arial"/>
                <w:b/>
                <w:color w:val="FFFFFF" w:themeColor="background1"/>
                <w:kern w:val="24"/>
                <w:szCs w:val="32"/>
              </w:rPr>
              <w:t>Data</w:t>
            </w:r>
            <w:r w:rsidR="007F3B75">
              <w:rPr>
                <w:rFonts w:cs="Arial"/>
                <w:b/>
                <w:color w:val="FFFFFF" w:themeColor="background1"/>
                <w:kern w:val="24"/>
                <w:szCs w:val="32"/>
              </w:rPr>
              <w:t xml:space="preserve"> source</w:t>
            </w:r>
          </w:p>
        </w:tc>
        <w:tc>
          <w:tcPr>
            <w:tcW w:w="3967" w:type="dxa"/>
            <w:tcBorders>
              <w:top w:val="nil"/>
              <w:left w:val="nil"/>
              <w:right w:val="nil"/>
            </w:tcBorders>
            <w:shd w:val="clear" w:color="000000" w:fill="134F8E"/>
            <w:vAlign w:val="center"/>
          </w:tcPr>
          <w:p w14:paraId="52C5FECE" w14:textId="77777777" w:rsidR="00F45181" w:rsidRPr="00484C3E" w:rsidRDefault="00F45181" w:rsidP="000A124F">
            <w:pPr>
              <w:spacing w:after="0" w:line="240" w:lineRule="auto"/>
              <w:rPr>
                <w:rFonts w:cs="Arial"/>
                <w:b/>
                <w:color w:val="FFFFFF" w:themeColor="background1"/>
                <w:kern w:val="24"/>
                <w:szCs w:val="32"/>
              </w:rPr>
            </w:pPr>
            <w:r>
              <w:rPr>
                <w:rFonts w:cs="Arial"/>
                <w:b/>
                <w:color w:val="FFFFFF" w:themeColor="background1"/>
                <w:kern w:val="24"/>
                <w:szCs w:val="32"/>
              </w:rPr>
              <w:t>Formula</w:t>
            </w:r>
          </w:p>
        </w:tc>
      </w:tr>
      <w:tr w:rsidR="00856979" w:rsidRPr="00956380" w14:paraId="45ED0F41"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076FB5AC" w14:textId="43C64A30" w:rsidR="00856979" w:rsidRDefault="00856979" w:rsidP="00856979">
            <w:pPr>
              <w:spacing w:after="0" w:line="240" w:lineRule="auto"/>
              <w:contextualSpacing/>
              <w:rPr>
                <w:rFonts w:eastAsia="Times New Roman" w:cs="Arial"/>
                <w:b/>
                <w:i/>
                <w:color w:val="000000"/>
                <w:szCs w:val="20"/>
                <w:lang w:eastAsia="en-AU"/>
              </w:rPr>
            </w:pPr>
            <w:r w:rsidRPr="007F3B75">
              <w:rPr>
                <w:rFonts w:eastAsia="Times New Roman" w:cs="Arial"/>
                <w:b/>
                <w:i/>
                <w:color w:val="000000"/>
                <w:szCs w:val="20"/>
                <w:lang w:eastAsia="en-AU"/>
              </w:rPr>
              <w:t>Chemical industry</w:t>
            </w:r>
          </w:p>
        </w:tc>
        <w:tc>
          <w:tcPr>
            <w:tcW w:w="2551"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39931F8" w14:textId="77777777" w:rsidR="00856979" w:rsidRDefault="00856979" w:rsidP="00856979">
            <w:pPr>
              <w:contextualSpacing/>
            </w:pPr>
          </w:p>
        </w:tc>
        <w:tc>
          <w:tcPr>
            <w:tcW w:w="3967"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071EDC10" w14:textId="77777777" w:rsidR="00856979" w:rsidRDefault="00856979" w:rsidP="00856979">
            <w:pPr>
              <w:contextualSpacing/>
              <w:rPr>
                <w:i/>
              </w:rPr>
            </w:pPr>
          </w:p>
        </w:tc>
      </w:tr>
      <w:tr w:rsidR="00856979" w:rsidRPr="00956380" w14:paraId="3E3DB6E2"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2CA10103" w14:textId="1435E1DB" w:rsidR="00856979" w:rsidRDefault="00856979" w:rsidP="00856979">
            <w:pPr>
              <w:spacing w:after="0" w:line="240" w:lineRule="auto"/>
              <w:contextualSpacing/>
              <w:rPr>
                <w:rFonts w:eastAsia="Times New Roman" w:cs="Arial"/>
                <w:b/>
                <w:i/>
                <w:color w:val="000000"/>
                <w:szCs w:val="20"/>
                <w:lang w:eastAsia="en-AU"/>
              </w:rPr>
            </w:pPr>
            <w:r>
              <w:rPr>
                <w:rFonts w:eastAsia="Times New Roman" w:cs="Arial"/>
                <w:color w:val="000000"/>
                <w:szCs w:val="20"/>
                <w:lang w:eastAsia="en-AU"/>
              </w:rPr>
              <w:t>Ammonia</w:t>
            </w:r>
          </w:p>
        </w:tc>
        <w:tc>
          <w:tcPr>
            <w:tcW w:w="2551"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37B0AB34" w14:textId="03042AD0" w:rsidR="00856979" w:rsidRDefault="003C409F" w:rsidP="00774171">
            <w:pPr>
              <w:contextualSpacing/>
            </w:pPr>
            <w:proofErr w:type="spellStart"/>
            <w:r>
              <w:rPr>
                <w:rFonts w:eastAsia="Times New Roman" w:cs="Arial"/>
                <w:color w:val="000000"/>
                <w:szCs w:val="20"/>
                <w:lang w:eastAsia="en-AU"/>
              </w:rPr>
              <w:t>DoEE</w:t>
            </w:r>
            <w:proofErr w:type="spellEnd"/>
            <w:r>
              <w:rPr>
                <w:rFonts w:eastAsia="Times New Roman" w:cs="Arial"/>
                <w:color w:val="000000"/>
                <w:szCs w:val="20"/>
                <w:lang w:eastAsia="en-AU"/>
              </w:rPr>
              <w:t xml:space="preserve"> estimates based on projected iron ore</w:t>
            </w:r>
            <w:r w:rsidR="00731552">
              <w:rPr>
                <w:rFonts w:eastAsia="Times New Roman" w:cs="Arial"/>
                <w:color w:val="000000"/>
                <w:szCs w:val="20"/>
                <w:lang w:eastAsia="en-AU"/>
              </w:rPr>
              <w:t xml:space="preserve">, </w:t>
            </w:r>
            <w:r>
              <w:rPr>
                <w:rFonts w:eastAsia="Times New Roman" w:cs="Arial"/>
                <w:color w:val="000000"/>
                <w:szCs w:val="20"/>
                <w:lang w:eastAsia="en-AU"/>
              </w:rPr>
              <w:t>coal production and fertiliser use</w:t>
            </w:r>
          </w:p>
        </w:tc>
        <w:tc>
          <w:tcPr>
            <w:tcW w:w="3967"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13CD31F" w14:textId="3D71E6E7" w:rsidR="00856979" w:rsidRPr="00EE4997" w:rsidRDefault="00856979" w:rsidP="00856979">
            <w:pPr>
              <w:rPr>
                <w:i/>
                <w:vertAlign w:val="superscript"/>
              </w:rPr>
            </w:pPr>
            <w:r w:rsidRPr="00EE4997">
              <w:rPr>
                <w:i/>
              </w:rPr>
              <w:t>E</w:t>
            </w:r>
            <w:r w:rsidR="006C13CE">
              <w:rPr>
                <w:i/>
                <w:vertAlign w:val="subscript"/>
              </w:rPr>
              <w:t>t</w:t>
            </w:r>
            <w:r w:rsidRPr="00EE4997">
              <w:rPr>
                <w:i/>
              </w:rPr>
              <w:t xml:space="preserve"> = </w:t>
            </w:r>
            <w:proofErr w:type="gramStart"/>
            <w:r w:rsidRPr="00EE4997">
              <w:rPr>
                <w:rFonts w:cs="Arial"/>
                <w:i/>
              </w:rPr>
              <w:t>∑</w:t>
            </w:r>
            <w:r w:rsidRPr="00EE4997">
              <w:rPr>
                <w:i/>
              </w:rPr>
              <w:t>(</w:t>
            </w:r>
            <w:proofErr w:type="gramEnd"/>
            <w:r w:rsidRPr="00EE4997">
              <w:rPr>
                <w:i/>
              </w:rPr>
              <w:t xml:space="preserve"> [</w:t>
            </w:r>
            <w:proofErr w:type="spellStart"/>
            <w:r w:rsidRPr="00EE4997">
              <w:rPr>
                <w:i/>
              </w:rPr>
              <w:t>U</w:t>
            </w:r>
            <w:r w:rsidR="00EB6854">
              <w:rPr>
                <w:i/>
                <w:vertAlign w:val="subscript"/>
              </w:rPr>
              <w:t>j</w:t>
            </w:r>
            <w:r w:rsidRPr="00EE4997">
              <w:rPr>
                <w:i/>
                <w:vertAlign w:val="subscript"/>
              </w:rPr>
              <w:t>i</w:t>
            </w:r>
            <w:proofErr w:type="spellEnd"/>
            <w:r w:rsidRPr="00EE4997">
              <w:rPr>
                <w:i/>
              </w:rPr>
              <w:t xml:space="preserve"> </w:t>
            </w:r>
            <w:r w:rsidRPr="00EE4997">
              <w:rPr>
                <w:b/>
                <w:i/>
              </w:rPr>
              <w:t>.</w:t>
            </w:r>
            <w:r w:rsidRPr="00EE4997">
              <w:rPr>
                <w:i/>
              </w:rPr>
              <w:t xml:space="preserve"> </w:t>
            </w:r>
            <w:proofErr w:type="spellStart"/>
            <w:proofErr w:type="gramStart"/>
            <w:r w:rsidRPr="00EE4997">
              <w:rPr>
                <w:i/>
              </w:rPr>
              <w:t>EC</w:t>
            </w:r>
            <w:r w:rsidR="00EB6854">
              <w:rPr>
                <w:i/>
                <w:vertAlign w:val="subscript"/>
              </w:rPr>
              <w:t>j</w:t>
            </w:r>
            <w:proofErr w:type="spellEnd"/>
            <w:r w:rsidRPr="00EE4997">
              <w:rPr>
                <w:i/>
                <w:vertAlign w:val="subscript"/>
              </w:rPr>
              <w:t xml:space="preserve"> </w:t>
            </w:r>
            <w:r w:rsidRPr="00EE4997">
              <w:rPr>
                <w:i/>
              </w:rPr>
              <w:t>.</w:t>
            </w:r>
            <w:proofErr w:type="gramEnd"/>
            <w:r w:rsidRPr="00EE4997">
              <w:rPr>
                <w:i/>
              </w:rPr>
              <w:t xml:space="preserve"> </w:t>
            </w:r>
            <w:proofErr w:type="spellStart"/>
            <w:r w:rsidRPr="00EE4997">
              <w:rPr>
                <w:i/>
              </w:rPr>
              <w:t>EF</w:t>
            </w:r>
            <w:r w:rsidR="00EB6854">
              <w:rPr>
                <w:i/>
                <w:vertAlign w:val="subscript"/>
              </w:rPr>
              <w:t>j</w:t>
            </w:r>
            <w:proofErr w:type="spellEnd"/>
            <w:r w:rsidRPr="00EE4997">
              <w:rPr>
                <w:i/>
              </w:rPr>
              <w:t>])</w:t>
            </w:r>
          </w:p>
          <w:p w14:paraId="0FA4BEF0" w14:textId="5D7BB056" w:rsidR="00856979" w:rsidRDefault="00856979" w:rsidP="00EB6854">
            <w:pPr>
              <w:contextualSpacing/>
              <w:rPr>
                <w:i/>
              </w:rPr>
            </w:pPr>
            <w:r w:rsidRPr="00EE4997">
              <w:rPr>
                <w:i/>
                <w:sz w:val="16"/>
                <w:szCs w:val="16"/>
              </w:rPr>
              <w:t xml:space="preserve">Where: </w:t>
            </w:r>
            <w:r>
              <w:rPr>
                <w:i/>
                <w:sz w:val="16"/>
                <w:szCs w:val="16"/>
              </w:rPr>
              <w:br/>
            </w:r>
            <w:r w:rsidRPr="00EE4997">
              <w:rPr>
                <w:i/>
                <w:sz w:val="16"/>
                <w:szCs w:val="16"/>
              </w:rPr>
              <w:t>E</w:t>
            </w:r>
            <w:r w:rsidR="006C13CE">
              <w:rPr>
                <w:i/>
                <w:sz w:val="16"/>
                <w:szCs w:val="16"/>
                <w:vertAlign w:val="subscript"/>
              </w:rPr>
              <w:t>t</w:t>
            </w:r>
            <w:r w:rsidRPr="00EE4997">
              <w:rPr>
                <w:i/>
                <w:sz w:val="16"/>
                <w:szCs w:val="16"/>
              </w:rPr>
              <w:t xml:space="preserve"> = annual emissions</w:t>
            </w:r>
            <w:r>
              <w:rPr>
                <w:i/>
                <w:sz w:val="16"/>
                <w:szCs w:val="16"/>
              </w:rPr>
              <w:t xml:space="preserve"> </w:t>
            </w:r>
            <w:r w:rsidR="006C13CE">
              <w:rPr>
                <w:i/>
                <w:sz w:val="16"/>
                <w:szCs w:val="16"/>
              </w:rPr>
              <w:t>in year t</w:t>
            </w:r>
            <w:r w:rsidR="00346BD8">
              <w:rPr>
                <w:i/>
                <w:sz w:val="16"/>
                <w:szCs w:val="16"/>
              </w:rPr>
              <w:t xml:space="preserve"> (M</w:t>
            </w:r>
            <w:r>
              <w:rPr>
                <w:i/>
                <w:sz w:val="16"/>
                <w:szCs w:val="16"/>
              </w:rPr>
              <w:t>t CO</w:t>
            </w:r>
            <w:r w:rsidRPr="00DF47C3">
              <w:rPr>
                <w:i/>
                <w:sz w:val="16"/>
                <w:szCs w:val="16"/>
                <w:vertAlign w:val="subscript"/>
              </w:rPr>
              <w:t>2</w:t>
            </w:r>
            <w:r>
              <w:rPr>
                <w:i/>
                <w:sz w:val="16"/>
                <w:szCs w:val="16"/>
              </w:rPr>
              <w:t>-e)</w:t>
            </w:r>
            <w:r>
              <w:rPr>
                <w:i/>
                <w:sz w:val="16"/>
                <w:szCs w:val="16"/>
              </w:rPr>
              <w:br/>
            </w:r>
            <w:proofErr w:type="spellStart"/>
            <w:r w:rsidRPr="00EE4997">
              <w:rPr>
                <w:i/>
                <w:sz w:val="16"/>
                <w:szCs w:val="16"/>
              </w:rPr>
              <w:t>U</w:t>
            </w:r>
            <w:r w:rsidR="00EB6854">
              <w:rPr>
                <w:i/>
                <w:sz w:val="16"/>
                <w:szCs w:val="16"/>
                <w:vertAlign w:val="subscript"/>
              </w:rPr>
              <w:t>j</w:t>
            </w:r>
            <w:r w:rsidRPr="00EE4997">
              <w:rPr>
                <w:i/>
                <w:sz w:val="16"/>
                <w:szCs w:val="16"/>
                <w:vertAlign w:val="subscript"/>
              </w:rPr>
              <w:t>,i</w:t>
            </w:r>
            <w:proofErr w:type="spellEnd"/>
            <w:r w:rsidRPr="00EE4997">
              <w:rPr>
                <w:i/>
                <w:sz w:val="16"/>
                <w:szCs w:val="16"/>
              </w:rPr>
              <w:t xml:space="preserve"> = natural gas consumption at </w:t>
            </w:r>
            <w:proofErr w:type="spellStart"/>
            <w:r w:rsidRPr="00EE4997">
              <w:rPr>
                <w:i/>
                <w:sz w:val="16"/>
                <w:szCs w:val="16"/>
              </w:rPr>
              <w:t>facility</w:t>
            </w:r>
            <w:r w:rsidRPr="00EE4997">
              <w:rPr>
                <w:i/>
                <w:sz w:val="16"/>
                <w:szCs w:val="16"/>
                <w:vertAlign w:val="subscript"/>
              </w:rPr>
              <w:t>i</w:t>
            </w:r>
            <w:r w:rsidRPr="00EE4997">
              <w:rPr>
                <w:i/>
                <w:sz w:val="16"/>
                <w:szCs w:val="16"/>
              </w:rPr>
              <w:t>,</w:t>
            </w:r>
            <w:r w:rsidR="00A841F6">
              <w:rPr>
                <w:i/>
                <w:sz w:val="16"/>
                <w:szCs w:val="16"/>
              </w:rPr>
              <w:t>in</w:t>
            </w:r>
            <w:proofErr w:type="spellEnd"/>
            <w:r w:rsidR="00A841F6">
              <w:rPr>
                <w:i/>
                <w:sz w:val="16"/>
                <w:szCs w:val="16"/>
              </w:rPr>
              <w:t xml:space="preserve"> year t</w:t>
            </w:r>
            <w:r w:rsidR="00FB329E">
              <w:rPr>
                <w:i/>
                <w:sz w:val="16"/>
                <w:szCs w:val="16"/>
              </w:rPr>
              <w:t xml:space="preserve"> </w:t>
            </w:r>
            <w:r>
              <w:rPr>
                <w:i/>
                <w:sz w:val="16"/>
                <w:szCs w:val="16"/>
              </w:rPr>
              <w:br/>
            </w:r>
            <w:proofErr w:type="spellStart"/>
            <w:r w:rsidRPr="00EE4997">
              <w:rPr>
                <w:i/>
                <w:sz w:val="16"/>
                <w:szCs w:val="16"/>
              </w:rPr>
              <w:t>EC</w:t>
            </w:r>
            <w:r w:rsidR="00EB6854">
              <w:rPr>
                <w:i/>
                <w:sz w:val="16"/>
                <w:szCs w:val="16"/>
                <w:vertAlign w:val="subscript"/>
              </w:rPr>
              <w:t>j</w:t>
            </w:r>
            <w:proofErr w:type="spellEnd"/>
            <w:r w:rsidRPr="00EE4997">
              <w:rPr>
                <w:i/>
                <w:sz w:val="16"/>
                <w:szCs w:val="16"/>
              </w:rPr>
              <w:t xml:space="preserve"> = th</w:t>
            </w:r>
            <w:r>
              <w:rPr>
                <w:i/>
                <w:sz w:val="16"/>
                <w:szCs w:val="16"/>
              </w:rPr>
              <w:t>e energy content of natural gas</w:t>
            </w:r>
            <w:r w:rsidRPr="00EE4997">
              <w:rPr>
                <w:i/>
                <w:sz w:val="16"/>
                <w:szCs w:val="16"/>
              </w:rPr>
              <w:t xml:space="preserve"> </w:t>
            </w:r>
            <w:r>
              <w:rPr>
                <w:i/>
                <w:sz w:val="16"/>
                <w:szCs w:val="16"/>
              </w:rPr>
              <w:br/>
            </w:r>
            <w:proofErr w:type="spellStart"/>
            <w:r w:rsidRPr="00EE4997">
              <w:rPr>
                <w:i/>
                <w:sz w:val="16"/>
                <w:szCs w:val="16"/>
              </w:rPr>
              <w:t>EF</w:t>
            </w:r>
            <w:r w:rsidR="00EB6854">
              <w:rPr>
                <w:i/>
                <w:sz w:val="16"/>
                <w:szCs w:val="16"/>
                <w:vertAlign w:val="subscript"/>
              </w:rPr>
              <w:t>j</w:t>
            </w:r>
            <w:proofErr w:type="spellEnd"/>
            <w:r w:rsidRPr="00EE4997">
              <w:rPr>
                <w:i/>
                <w:sz w:val="16"/>
                <w:szCs w:val="16"/>
              </w:rPr>
              <w:t xml:space="preserve"> = the emissions factor of natural gas</w:t>
            </w:r>
          </w:p>
        </w:tc>
      </w:tr>
      <w:tr w:rsidR="00731552" w:rsidRPr="00956380" w14:paraId="57FD4F7B"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55C86A44" w14:textId="057A966B" w:rsidR="00731552" w:rsidRDefault="00731552" w:rsidP="00731552">
            <w:pPr>
              <w:spacing w:after="0" w:line="240" w:lineRule="auto"/>
              <w:contextualSpacing/>
              <w:rPr>
                <w:rFonts w:eastAsia="Times New Roman" w:cs="Arial"/>
                <w:b/>
                <w:i/>
                <w:color w:val="000000"/>
                <w:szCs w:val="20"/>
                <w:lang w:eastAsia="en-AU"/>
              </w:rPr>
            </w:pPr>
            <w:r>
              <w:rPr>
                <w:rFonts w:eastAsia="Times New Roman" w:cs="Arial"/>
                <w:color w:val="000000"/>
                <w:szCs w:val="20"/>
                <w:lang w:eastAsia="en-AU"/>
              </w:rPr>
              <w:t>Nitric acid</w:t>
            </w:r>
          </w:p>
        </w:tc>
        <w:tc>
          <w:tcPr>
            <w:tcW w:w="2551"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04A18D98" w14:textId="73A71C56" w:rsidR="00731552" w:rsidRDefault="00731552" w:rsidP="00731552">
            <w:pPr>
              <w:contextualSpacing/>
            </w:pPr>
            <w:proofErr w:type="spellStart"/>
            <w:r>
              <w:rPr>
                <w:rFonts w:eastAsia="Times New Roman" w:cs="Arial"/>
                <w:color w:val="000000"/>
                <w:szCs w:val="20"/>
                <w:lang w:eastAsia="en-AU"/>
              </w:rPr>
              <w:t>DoEE</w:t>
            </w:r>
            <w:proofErr w:type="spellEnd"/>
            <w:r>
              <w:rPr>
                <w:rFonts w:eastAsia="Times New Roman" w:cs="Arial"/>
                <w:color w:val="000000"/>
                <w:szCs w:val="20"/>
                <w:lang w:eastAsia="en-AU"/>
              </w:rPr>
              <w:t xml:space="preserve"> estimates based on projected iron ore and coal production</w:t>
            </w:r>
          </w:p>
        </w:tc>
        <w:tc>
          <w:tcPr>
            <w:tcW w:w="3967"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325C69A" w14:textId="04B5FA89" w:rsidR="00731552" w:rsidRDefault="00731552" w:rsidP="00731552">
            <w:pPr>
              <w:rPr>
                <w:i/>
                <w:vertAlign w:val="superscript"/>
              </w:rPr>
            </w:pPr>
            <w:r>
              <w:rPr>
                <w:i/>
              </w:rPr>
              <w:t>E</w:t>
            </w:r>
            <w:r w:rsidR="00C91FF9">
              <w:rPr>
                <w:i/>
                <w:vertAlign w:val="subscript"/>
              </w:rPr>
              <w:t>t</w:t>
            </w:r>
            <w:r>
              <w:rPr>
                <w:i/>
              </w:rPr>
              <w:t xml:space="preserve"> = </w:t>
            </w:r>
            <w:proofErr w:type="gramStart"/>
            <w:r>
              <w:rPr>
                <w:rFonts w:cs="Arial"/>
                <w:i/>
              </w:rPr>
              <w:t>∑</w:t>
            </w:r>
            <w:r>
              <w:rPr>
                <w:i/>
              </w:rPr>
              <w:t>(</w:t>
            </w:r>
            <w:proofErr w:type="gramEnd"/>
            <w:r>
              <w:rPr>
                <w:i/>
              </w:rPr>
              <w:t xml:space="preserve"> [</w:t>
            </w:r>
            <w:proofErr w:type="spellStart"/>
            <w:r>
              <w:rPr>
                <w:i/>
              </w:rPr>
              <w:t>EF</w:t>
            </w:r>
            <w:r>
              <w:rPr>
                <w:i/>
                <w:vertAlign w:val="subscript"/>
              </w:rPr>
              <w:t>i</w:t>
            </w:r>
            <w:proofErr w:type="spellEnd"/>
            <w:r>
              <w:rPr>
                <w:i/>
              </w:rPr>
              <w:t xml:space="preserve"> </w:t>
            </w:r>
            <w:r w:rsidRPr="009E12A6">
              <w:rPr>
                <w:b/>
                <w:i/>
              </w:rPr>
              <w:t>.</w:t>
            </w:r>
            <w:r>
              <w:rPr>
                <w:i/>
              </w:rPr>
              <w:t xml:space="preserve"> P</w:t>
            </w:r>
            <w:r>
              <w:rPr>
                <w:i/>
                <w:vertAlign w:val="subscript"/>
              </w:rPr>
              <w:t>i</w:t>
            </w:r>
            <w:r w:rsidR="00346BD8">
              <w:rPr>
                <w:i/>
                <w:vertAlign w:val="subscript"/>
              </w:rPr>
              <w:t>t</w:t>
            </w:r>
            <w:r>
              <w:rPr>
                <w:i/>
              </w:rPr>
              <w:t>]</w:t>
            </w:r>
            <w:r w:rsidRPr="009E12A6">
              <w:rPr>
                <w:i/>
              </w:rPr>
              <w:t>)</w:t>
            </w:r>
          </w:p>
          <w:p w14:paraId="44C1C05B" w14:textId="38478EE0" w:rsidR="00731552" w:rsidRDefault="00731552" w:rsidP="00731552">
            <w:pPr>
              <w:contextualSpacing/>
              <w:rPr>
                <w:i/>
              </w:rPr>
            </w:pPr>
            <w:r w:rsidRPr="007773F3">
              <w:rPr>
                <w:i/>
                <w:sz w:val="16"/>
                <w:szCs w:val="16"/>
              </w:rPr>
              <w:t xml:space="preserve">Where: </w:t>
            </w:r>
            <w:r>
              <w:rPr>
                <w:i/>
                <w:sz w:val="16"/>
                <w:szCs w:val="16"/>
              </w:rPr>
              <w:br/>
            </w:r>
            <w:r w:rsidR="00C91FF9" w:rsidRPr="00EE4997">
              <w:rPr>
                <w:i/>
                <w:sz w:val="16"/>
                <w:szCs w:val="16"/>
              </w:rPr>
              <w:t>E</w:t>
            </w:r>
            <w:r w:rsidR="00C91FF9">
              <w:rPr>
                <w:i/>
                <w:sz w:val="16"/>
                <w:szCs w:val="16"/>
                <w:vertAlign w:val="subscript"/>
              </w:rPr>
              <w:t>t</w:t>
            </w:r>
            <w:r w:rsidRPr="007773F3">
              <w:rPr>
                <w:i/>
                <w:sz w:val="16"/>
                <w:szCs w:val="16"/>
              </w:rPr>
              <w:t xml:space="preserve"> = </w:t>
            </w:r>
            <w:r>
              <w:rPr>
                <w:i/>
                <w:sz w:val="16"/>
                <w:szCs w:val="16"/>
              </w:rPr>
              <w:t xml:space="preserve">annual emissions </w:t>
            </w:r>
            <w:r w:rsidR="00C91FF9">
              <w:rPr>
                <w:i/>
                <w:sz w:val="16"/>
                <w:szCs w:val="16"/>
              </w:rPr>
              <w:t xml:space="preserve">in year t </w:t>
            </w:r>
            <w:r w:rsidR="00346BD8">
              <w:rPr>
                <w:i/>
                <w:sz w:val="16"/>
                <w:szCs w:val="16"/>
              </w:rPr>
              <w:t>(M</w:t>
            </w:r>
            <w:r>
              <w:rPr>
                <w:i/>
                <w:sz w:val="16"/>
                <w:szCs w:val="16"/>
              </w:rPr>
              <w:t>t CO</w:t>
            </w:r>
            <w:r w:rsidRPr="00DF47C3">
              <w:rPr>
                <w:i/>
                <w:sz w:val="16"/>
                <w:szCs w:val="16"/>
                <w:vertAlign w:val="subscript"/>
              </w:rPr>
              <w:t>2</w:t>
            </w:r>
            <w:r>
              <w:rPr>
                <w:i/>
                <w:sz w:val="16"/>
                <w:szCs w:val="16"/>
              </w:rPr>
              <w:t>-e)</w:t>
            </w:r>
            <w:r>
              <w:rPr>
                <w:i/>
                <w:sz w:val="16"/>
                <w:szCs w:val="16"/>
              </w:rPr>
              <w:br/>
            </w:r>
            <w:proofErr w:type="spellStart"/>
            <w:r w:rsidRPr="007773F3">
              <w:rPr>
                <w:i/>
                <w:sz w:val="16"/>
                <w:szCs w:val="16"/>
              </w:rPr>
              <w:t>EF</w:t>
            </w:r>
            <w:r>
              <w:rPr>
                <w:i/>
                <w:sz w:val="16"/>
                <w:szCs w:val="16"/>
                <w:vertAlign w:val="subscript"/>
              </w:rPr>
              <w:t>i</w:t>
            </w:r>
            <w:proofErr w:type="spellEnd"/>
            <w:r w:rsidRPr="007773F3">
              <w:rPr>
                <w:i/>
                <w:sz w:val="16"/>
                <w:szCs w:val="16"/>
              </w:rPr>
              <w:t xml:space="preserve"> = </w:t>
            </w:r>
            <w:r>
              <w:rPr>
                <w:i/>
                <w:sz w:val="16"/>
                <w:szCs w:val="16"/>
              </w:rPr>
              <w:t>facility-specific emissions factor</w:t>
            </w:r>
            <w:r>
              <w:rPr>
                <w:i/>
                <w:sz w:val="16"/>
                <w:szCs w:val="16"/>
              </w:rPr>
              <w:br/>
            </w:r>
            <w:r w:rsidRPr="007773F3">
              <w:rPr>
                <w:i/>
                <w:sz w:val="16"/>
                <w:szCs w:val="16"/>
              </w:rPr>
              <w:t>P</w:t>
            </w:r>
            <w:r w:rsidR="00C91FF9">
              <w:rPr>
                <w:i/>
                <w:sz w:val="16"/>
                <w:szCs w:val="16"/>
                <w:vertAlign w:val="subscript"/>
              </w:rPr>
              <w:t>i</w:t>
            </w:r>
            <w:r w:rsidR="00346BD8">
              <w:rPr>
                <w:i/>
                <w:sz w:val="16"/>
                <w:szCs w:val="16"/>
                <w:vertAlign w:val="subscript"/>
              </w:rPr>
              <w:t>t</w:t>
            </w:r>
            <w:r w:rsidRPr="007773F3">
              <w:rPr>
                <w:i/>
                <w:sz w:val="16"/>
                <w:szCs w:val="16"/>
              </w:rPr>
              <w:t xml:space="preserve"> = </w:t>
            </w:r>
            <w:r>
              <w:rPr>
                <w:i/>
                <w:sz w:val="16"/>
                <w:szCs w:val="16"/>
              </w:rPr>
              <w:t xml:space="preserve">annual nitric acid </w:t>
            </w:r>
            <w:r w:rsidRPr="007773F3">
              <w:rPr>
                <w:i/>
                <w:sz w:val="16"/>
                <w:szCs w:val="16"/>
              </w:rPr>
              <w:t xml:space="preserve">production at </w:t>
            </w:r>
            <w:proofErr w:type="spellStart"/>
            <w:r w:rsidRPr="007773F3">
              <w:rPr>
                <w:i/>
                <w:sz w:val="16"/>
                <w:szCs w:val="16"/>
              </w:rPr>
              <w:t>facility</w:t>
            </w:r>
            <w:r w:rsidRPr="007773F3">
              <w:rPr>
                <w:i/>
                <w:sz w:val="16"/>
                <w:szCs w:val="16"/>
                <w:vertAlign w:val="subscript"/>
              </w:rPr>
              <w:t>i</w:t>
            </w:r>
            <w:proofErr w:type="spellEnd"/>
            <w:r w:rsidR="00346BD8">
              <w:rPr>
                <w:i/>
                <w:sz w:val="16"/>
                <w:szCs w:val="16"/>
                <w:vertAlign w:val="subscript"/>
              </w:rPr>
              <w:t xml:space="preserve"> </w:t>
            </w:r>
            <w:r w:rsidR="00346BD8">
              <w:rPr>
                <w:i/>
                <w:sz w:val="16"/>
                <w:szCs w:val="16"/>
              </w:rPr>
              <w:t>in year t</w:t>
            </w:r>
          </w:p>
        </w:tc>
      </w:tr>
      <w:tr w:rsidR="00346BD8" w:rsidRPr="00956380" w14:paraId="1ED33818" w14:textId="77777777" w:rsidTr="00346BD8">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1C885FA9" w14:textId="56C8CAB6" w:rsidR="00346BD8" w:rsidRDefault="00346BD8" w:rsidP="00731552">
            <w:pPr>
              <w:spacing w:after="0" w:line="240" w:lineRule="auto"/>
              <w:contextualSpacing/>
              <w:rPr>
                <w:rFonts w:eastAsia="Times New Roman" w:cs="Arial"/>
                <w:b/>
                <w:i/>
                <w:color w:val="000000"/>
                <w:szCs w:val="20"/>
                <w:lang w:eastAsia="en-AU"/>
              </w:rPr>
            </w:pPr>
            <w:r>
              <w:rPr>
                <w:rFonts w:eastAsia="Times New Roman" w:cs="Arial"/>
                <w:color w:val="000000"/>
                <w:szCs w:val="20"/>
                <w:lang w:eastAsia="en-AU"/>
              </w:rPr>
              <w:t>Titanium dioxide</w:t>
            </w:r>
          </w:p>
        </w:tc>
        <w:tc>
          <w:tcPr>
            <w:tcW w:w="2551" w:type="dxa"/>
            <w:vMerge w:val="restart"/>
            <w:tcBorders>
              <w:top w:val="nil"/>
              <w:left w:val="nil"/>
              <w:right w:val="single" w:sz="8" w:space="0" w:color="FFFFFF"/>
            </w:tcBorders>
            <w:shd w:val="clear" w:color="auto" w:fill="DBE5F1" w:themeFill="accent1" w:themeFillTint="33"/>
            <w:vAlign w:val="center"/>
          </w:tcPr>
          <w:p w14:paraId="3E684B87" w14:textId="77777777" w:rsidR="00346BD8" w:rsidRDefault="00346BD8" w:rsidP="00731552">
            <w:pPr>
              <w:contextualSpacing/>
            </w:pPr>
          </w:p>
          <w:p w14:paraId="404FAAA2" w14:textId="47E8E67E" w:rsidR="00346BD8" w:rsidRDefault="00346BD8" w:rsidP="00731552">
            <w:pPr>
              <w:contextualSpacing/>
            </w:pPr>
            <w:r>
              <w:t xml:space="preserve">GDP growth from the Australian Government 2017 and </w:t>
            </w:r>
            <w:r w:rsidR="002130C7" w:rsidRPr="002130C7">
              <w:t>Organisation for Economic Co-operation and Development</w:t>
            </w:r>
            <w:r>
              <w:t xml:space="preserve"> </w:t>
            </w:r>
            <w:r w:rsidR="002130C7">
              <w:t>(OECD)</w:t>
            </w:r>
          </w:p>
          <w:p w14:paraId="36CA8F44" w14:textId="36094E28" w:rsidR="00346BD8" w:rsidRDefault="00346BD8">
            <w:pPr>
              <w:contextualSpacing/>
            </w:pPr>
          </w:p>
        </w:tc>
        <w:tc>
          <w:tcPr>
            <w:tcW w:w="3967" w:type="dxa"/>
            <w:vMerge w:val="restart"/>
            <w:tcBorders>
              <w:top w:val="nil"/>
              <w:left w:val="nil"/>
              <w:right w:val="single" w:sz="8" w:space="0" w:color="FFFFFF"/>
            </w:tcBorders>
            <w:shd w:val="clear" w:color="auto" w:fill="DBE5F1" w:themeFill="accent1" w:themeFillTint="33"/>
            <w:vAlign w:val="center"/>
          </w:tcPr>
          <w:p w14:paraId="5CFD7C49" w14:textId="41C51A5A" w:rsidR="00346BD8" w:rsidRPr="00CC3B41" w:rsidRDefault="00346BD8" w:rsidP="00731552">
            <w:pPr>
              <w:rPr>
                <w:i/>
                <w:vertAlign w:val="superscript"/>
              </w:rPr>
            </w:pPr>
            <w:r w:rsidRPr="00CC3B41">
              <w:rPr>
                <w:i/>
              </w:rPr>
              <w:t>E</w:t>
            </w:r>
            <w:r>
              <w:rPr>
                <w:i/>
                <w:vertAlign w:val="subscript"/>
              </w:rPr>
              <w:t>t</w:t>
            </w:r>
            <w:r w:rsidRPr="00CC3B41">
              <w:rPr>
                <w:i/>
              </w:rPr>
              <w:t xml:space="preserve"> = </w:t>
            </w:r>
            <w:proofErr w:type="gramStart"/>
            <w:r w:rsidRPr="00CC3B41">
              <w:rPr>
                <w:rFonts w:cs="Arial"/>
                <w:i/>
              </w:rPr>
              <w:t>∑</w:t>
            </w:r>
            <w:r w:rsidRPr="00CC3B41">
              <w:rPr>
                <w:i/>
              </w:rPr>
              <w:t>(</w:t>
            </w:r>
            <w:proofErr w:type="gramEnd"/>
            <w:r w:rsidRPr="00CC3B41">
              <w:rPr>
                <w:i/>
              </w:rPr>
              <w:t xml:space="preserve"> [</w:t>
            </w:r>
            <w:proofErr w:type="spellStart"/>
            <w:r w:rsidRPr="00CC3B41">
              <w:rPr>
                <w:i/>
              </w:rPr>
              <w:t>U</w:t>
            </w:r>
            <w:r w:rsidR="00EB6854">
              <w:rPr>
                <w:i/>
                <w:vertAlign w:val="subscript"/>
              </w:rPr>
              <w:t>jit</w:t>
            </w:r>
            <w:proofErr w:type="spellEnd"/>
            <w:r w:rsidRPr="00CC3B41">
              <w:rPr>
                <w:i/>
              </w:rPr>
              <w:t xml:space="preserve"> </w:t>
            </w:r>
            <w:r w:rsidRPr="00CC3B41">
              <w:rPr>
                <w:b/>
                <w:i/>
              </w:rPr>
              <w:t>.</w:t>
            </w:r>
            <w:r w:rsidRPr="00CC3B41">
              <w:rPr>
                <w:i/>
              </w:rPr>
              <w:t xml:space="preserve"> </w:t>
            </w:r>
            <w:proofErr w:type="spellStart"/>
            <w:proofErr w:type="gramStart"/>
            <w:r w:rsidRPr="00CC3B41">
              <w:rPr>
                <w:i/>
              </w:rPr>
              <w:t>EC</w:t>
            </w:r>
            <w:r w:rsidR="00EB6854">
              <w:rPr>
                <w:i/>
                <w:vertAlign w:val="subscript"/>
              </w:rPr>
              <w:t>j</w:t>
            </w:r>
            <w:proofErr w:type="spellEnd"/>
            <w:r w:rsidRPr="00CC3B41">
              <w:rPr>
                <w:i/>
                <w:vertAlign w:val="subscript"/>
              </w:rPr>
              <w:t xml:space="preserve"> </w:t>
            </w:r>
            <w:r w:rsidRPr="00CC3B41">
              <w:rPr>
                <w:b/>
                <w:i/>
                <w:vertAlign w:val="subscript"/>
              </w:rPr>
              <w:t>.</w:t>
            </w:r>
            <w:proofErr w:type="gramEnd"/>
            <w:r w:rsidRPr="00CC3B41">
              <w:rPr>
                <w:i/>
                <w:vertAlign w:val="subscript"/>
              </w:rPr>
              <w:t xml:space="preserve"> </w:t>
            </w:r>
            <w:proofErr w:type="spellStart"/>
            <w:r w:rsidRPr="00CC3B41">
              <w:rPr>
                <w:i/>
              </w:rPr>
              <w:t>EF</w:t>
            </w:r>
            <w:r w:rsidR="00EB6854">
              <w:rPr>
                <w:i/>
                <w:vertAlign w:val="subscript"/>
              </w:rPr>
              <w:t>j</w:t>
            </w:r>
            <w:proofErr w:type="spellEnd"/>
            <w:r w:rsidRPr="00CC3B41">
              <w:rPr>
                <w:i/>
              </w:rPr>
              <w:t>])</w:t>
            </w:r>
          </w:p>
          <w:p w14:paraId="27CF25CA" w14:textId="65E20D16" w:rsidR="00346BD8" w:rsidRDefault="00346BD8" w:rsidP="00731552">
            <w:pPr>
              <w:contextualSpacing/>
              <w:rPr>
                <w:i/>
              </w:rPr>
            </w:pPr>
            <w:r w:rsidRPr="00CC3B41">
              <w:rPr>
                <w:i/>
                <w:sz w:val="16"/>
                <w:szCs w:val="16"/>
              </w:rPr>
              <w:t xml:space="preserve">Where: </w:t>
            </w:r>
            <w:r>
              <w:rPr>
                <w:i/>
                <w:sz w:val="16"/>
                <w:szCs w:val="16"/>
              </w:rPr>
              <w:br/>
            </w:r>
            <w:r w:rsidRPr="00EE4997">
              <w:rPr>
                <w:i/>
                <w:sz w:val="16"/>
                <w:szCs w:val="16"/>
              </w:rPr>
              <w:t>E</w:t>
            </w:r>
            <w:r>
              <w:rPr>
                <w:i/>
                <w:sz w:val="16"/>
                <w:szCs w:val="16"/>
                <w:vertAlign w:val="subscript"/>
              </w:rPr>
              <w:t>t</w:t>
            </w:r>
            <w:r w:rsidRPr="00CC3B41">
              <w:rPr>
                <w:i/>
                <w:sz w:val="16"/>
                <w:szCs w:val="16"/>
              </w:rPr>
              <w:t xml:space="preserve"> = annual </w:t>
            </w:r>
            <w:r>
              <w:rPr>
                <w:i/>
                <w:sz w:val="16"/>
                <w:szCs w:val="16"/>
              </w:rPr>
              <w:t>emissions</w:t>
            </w:r>
            <w:r w:rsidRPr="00CC3B41">
              <w:rPr>
                <w:i/>
                <w:sz w:val="16"/>
                <w:szCs w:val="16"/>
              </w:rPr>
              <w:t xml:space="preserve"> </w:t>
            </w:r>
            <w:r w:rsidR="00EB6854">
              <w:rPr>
                <w:i/>
                <w:sz w:val="16"/>
                <w:szCs w:val="16"/>
              </w:rPr>
              <w:t>in year t (M</w:t>
            </w:r>
            <w:r>
              <w:rPr>
                <w:i/>
                <w:sz w:val="16"/>
                <w:szCs w:val="16"/>
              </w:rPr>
              <w:t>t CO</w:t>
            </w:r>
            <w:r w:rsidRPr="00DF47C3">
              <w:rPr>
                <w:i/>
                <w:sz w:val="16"/>
                <w:szCs w:val="16"/>
                <w:vertAlign w:val="subscript"/>
              </w:rPr>
              <w:t>2</w:t>
            </w:r>
            <w:r>
              <w:rPr>
                <w:i/>
                <w:sz w:val="16"/>
                <w:szCs w:val="16"/>
              </w:rPr>
              <w:t>-e)</w:t>
            </w:r>
            <w:r>
              <w:rPr>
                <w:i/>
                <w:sz w:val="16"/>
                <w:szCs w:val="16"/>
              </w:rPr>
              <w:br/>
            </w:r>
            <w:proofErr w:type="spellStart"/>
            <w:r w:rsidRPr="00CC3B41">
              <w:rPr>
                <w:i/>
                <w:sz w:val="16"/>
                <w:szCs w:val="16"/>
              </w:rPr>
              <w:t>U</w:t>
            </w:r>
            <w:r w:rsidR="00EB6854" w:rsidRPr="00A841F6">
              <w:rPr>
                <w:i/>
                <w:sz w:val="16"/>
                <w:szCs w:val="16"/>
                <w:vertAlign w:val="subscript"/>
              </w:rPr>
              <w:t>ji</w:t>
            </w:r>
            <w:r w:rsidR="00EB6854">
              <w:rPr>
                <w:i/>
                <w:sz w:val="16"/>
                <w:szCs w:val="16"/>
                <w:vertAlign w:val="subscript"/>
              </w:rPr>
              <w:t>t</w:t>
            </w:r>
            <w:proofErr w:type="spellEnd"/>
            <w:r w:rsidR="00EB6854">
              <w:rPr>
                <w:i/>
                <w:sz w:val="16"/>
                <w:szCs w:val="16"/>
                <w:vertAlign w:val="subscript"/>
              </w:rPr>
              <w:t>,</w:t>
            </w:r>
            <w:r w:rsidRPr="00CC3B41">
              <w:rPr>
                <w:i/>
                <w:sz w:val="16"/>
                <w:szCs w:val="16"/>
              </w:rPr>
              <w:t xml:space="preserve"> = the use of fuel</w:t>
            </w:r>
            <w:r w:rsidR="00EB6854">
              <w:rPr>
                <w:i/>
                <w:sz w:val="16"/>
                <w:szCs w:val="16"/>
                <w:vertAlign w:val="subscript"/>
              </w:rPr>
              <w:t xml:space="preserve"> </w:t>
            </w:r>
            <w:r w:rsidR="00EB6854">
              <w:rPr>
                <w:i/>
                <w:sz w:val="16"/>
                <w:szCs w:val="16"/>
              </w:rPr>
              <w:t>j</w:t>
            </w:r>
            <w:r w:rsidRPr="00CC3B41">
              <w:rPr>
                <w:i/>
                <w:sz w:val="16"/>
                <w:szCs w:val="16"/>
              </w:rPr>
              <w:t xml:space="preserve"> at </w:t>
            </w:r>
            <w:proofErr w:type="spellStart"/>
            <w:r w:rsidRPr="00CC3B41">
              <w:rPr>
                <w:i/>
                <w:sz w:val="16"/>
                <w:szCs w:val="16"/>
              </w:rPr>
              <w:t>facility</w:t>
            </w:r>
            <w:r w:rsidR="00EB6854">
              <w:rPr>
                <w:i/>
                <w:sz w:val="16"/>
                <w:szCs w:val="16"/>
                <w:vertAlign w:val="subscript"/>
              </w:rPr>
              <w:t>i</w:t>
            </w:r>
            <w:proofErr w:type="spellEnd"/>
            <w:r w:rsidR="00EB6854">
              <w:rPr>
                <w:i/>
                <w:sz w:val="16"/>
                <w:szCs w:val="16"/>
              </w:rPr>
              <w:t xml:space="preserve"> in year t</w:t>
            </w:r>
            <w:r>
              <w:rPr>
                <w:i/>
                <w:sz w:val="16"/>
                <w:szCs w:val="16"/>
              </w:rPr>
              <w:br/>
            </w:r>
            <w:proofErr w:type="spellStart"/>
            <w:r w:rsidRPr="00CC3B41">
              <w:rPr>
                <w:i/>
                <w:sz w:val="16"/>
                <w:szCs w:val="16"/>
              </w:rPr>
              <w:t>EC</w:t>
            </w:r>
            <w:r w:rsidR="00EB6854">
              <w:rPr>
                <w:i/>
                <w:sz w:val="16"/>
                <w:szCs w:val="16"/>
                <w:vertAlign w:val="subscript"/>
              </w:rPr>
              <w:t>j</w:t>
            </w:r>
            <w:proofErr w:type="spellEnd"/>
            <w:r w:rsidRPr="00CC3B41">
              <w:rPr>
                <w:i/>
                <w:sz w:val="16"/>
                <w:szCs w:val="16"/>
              </w:rPr>
              <w:t xml:space="preserve"> = the energy content of fuel</w:t>
            </w:r>
            <w:r w:rsidR="00EB6854">
              <w:rPr>
                <w:i/>
                <w:sz w:val="16"/>
                <w:szCs w:val="16"/>
                <w:vertAlign w:val="subscript"/>
              </w:rPr>
              <w:t xml:space="preserve"> </w:t>
            </w:r>
            <w:r w:rsidR="00EB6854">
              <w:rPr>
                <w:i/>
                <w:sz w:val="16"/>
                <w:szCs w:val="16"/>
              </w:rPr>
              <w:t>j</w:t>
            </w:r>
            <w:r>
              <w:rPr>
                <w:i/>
                <w:sz w:val="16"/>
                <w:szCs w:val="16"/>
              </w:rPr>
              <w:br/>
            </w:r>
            <w:proofErr w:type="spellStart"/>
            <w:r w:rsidRPr="00CC3B41">
              <w:rPr>
                <w:i/>
                <w:sz w:val="16"/>
                <w:szCs w:val="16"/>
              </w:rPr>
              <w:t>EF</w:t>
            </w:r>
            <w:r w:rsidR="00EB6854">
              <w:rPr>
                <w:i/>
                <w:sz w:val="16"/>
                <w:szCs w:val="16"/>
                <w:vertAlign w:val="subscript"/>
              </w:rPr>
              <w:t>j</w:t>
            </w:r>
            <w:proofErr w:type="spellEnd"/>
            <w:r w:rsidRPr="00CC3B41">
              <w:rPr>
                <w:i/>
                <w:sz w:val="16"/>
                <w:szCs w:val="16"/>
              </w:rPr>
              <w:t xml:space="preserve"> = the emissions factor of fuel</w:t>
            </w:r>
            <w:r w:rsidR="00EB6854">
              <w:rPr>
                <w:i/>
                <w:sz w:val="16"/>
                <w:szCs w:val="16"/>
                <w:vertAlign w:val="subscript"/>
              </w:rPr>
              <w:t xml:space="preserve"> j</w:t>
            </w:r>
          </w:p>
          <w:p w14:paraId="13E6F860" w14:textId="4588A7FB" w:rsidR="00346BD8" w:rsidRDefault="00346BD8" w:rsidP="00731552">
            <w:pPr>
              <w:contextualSpacing/>
              <w:rPr>
                <w:i/>
              </w:rPr>
            </w:pPr>
          </w:p>
        </w:tc>
      </w:tr>
      <w:tr w:rsidR="00346BD8" w:rsidRPr="00956380" w14:paraId="0371A013" w14:textId="77777777" w:rsidTr="00346BD8">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688DC267" w14:textId="27F4CFC7" w:rsidR="00346BD8" w:rsidRDefault="00346BD8" w:rsidP="00731552">
            <w:pPr>
              <w:spacing w:after="0" w:line="240" w:lineRule="auto"/>
              <w:contextualSpacing/>
              <w:rPr>
                <w:rFonts w:eastAsia="Times New Roman" w:cs="Arial"/>
                <w:b/>
                <w:i/>
                <w:color w:val="000000"/>
                <w:szCs w:val="20"/>
                <w:lang w:eastAsia="en-AU"/>
              </w:rPr>
            </w:pPr>
            <w:r>
              <w:rPr>
                <w:rFonts w:eastAsia="Times New Roman" w:cs="Arial"/>
                <w:color w:val="000000"/>
                <w:szCs w:val="20"/>
                <w:lang w:eastAsia="en-AU"/>
              </w:rPr>
              <w:t>Synthetic rutile</w:t>
            </w:r>
          </w:p>
        </w:tc>
        <w:tc>
          <w:tcPr>
            <w:tcW w:w="2551" w:type="dxa"/>
            <w:vMerge/>
            <w:tcBorders>
              <w:left w:val="nil"/>
              <w:bottom w:val="single" w:sz="4" w:space="0" w:color="FFFFFF" w:themeColor="background1"/>
              <w:right w:val="single" w:sz="8" w:space="0" w:color="FFFFFF"/>
            </w:tcBorders>
            <w:shd w:val="clear" w:color="auto" w:fill="DBE5F1" w:themeFill="accent1" w:themeFillTint="33"/>
            <w:vAlign w:val="center"/>
          </w:tcPr>
          <w:p w14:paraId="2167E128" w14:textId="44F18C8C" w:rsidR="00346BD8" w:rsidRDefault="00346BD8" w:rsidP="00731552">
            <w:pPr>
              <w:contextualSpacing/>
            </w:pPr>
          </w:p>
        </w:tc>
        <w:tc>
          <w:tcPr>
            <w:tcW w:w="3967" w:type="dxa"/>
            <w:vMerge/>
            <w:tcBorders>
              <w:left w:val="nil"/>
              <w:bottom w:val="single" w:sz="4" w:space="0" w:color="FFFFFF" w:themeColor="background1"/>
              <w:right w:val="single" w:sz="8" w:space="0" w:color="FFFFFF"/>
            </w:tcBorders>
            <w:shd w:val="clear" w:color="auto" w:fill="DBE5F1" w:themeFill="accent1" w:themeFillTint="33"/>
            <w:vAlign w:val="center"/>
          </w:tcPr>
          <w:p w14:paraId="2935790D" w14:textId="5CFD24B4" w:rsidR="00346BD8" w:rsidRDefault="00346BD8" w:rsidP="00731552">
            <w:pPr>
              <w:contextualSpacing/>
              <w:rPr>
                <w:i/>
              </w:rPr>
            </w:pPr>
          </w:p>
        </w:tc>
      </w:tr>
      <w:tr w:rsidR="00731552" w:rsidRPr="00956380" w14:paraId="1FBD3C6D"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1167431E" w14:textId="77D6C298" w:rsidR="00731552" w:rsidRDefault="00731552" w:rsidP="00731552">
            <w:pPr>
              <w:spacing w:after="0" w:line="240" w:lineRule="auto"/>
              <w:contextualSpacing/>
              <w:rPr>
                <w:rFonts w:eastAsia="Times New Roman" w:cs="Arial"/>
                <w:b/>
                <w:i/>
                <w:color w:val="000000"/>
                <w:szCs w:val="20"/>
                <w:lang w:eastAsia="en-AU"/>
              </w:rPr>
            </w:pPr>
            <w:r>
              <w:rPr>
                <w:rFonts w:eastAsia="Times New Roman" w:cs="Arial"/>
                <w:color w:val="000000"/>
                <w:szCs w:val="20"/>
                <w:lang w:eastAsia="en-AU"/>
              </w:rPr>
              <w:t>Acetylene</w:t>
            </w:r>
          </w:p>
        </w:tc>
        <w:tc>
          <w:tcPr>
            <w:tcW w:w="2551"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018063E5" w14:textId="77777777" w:rsidR="00731552" w:rsidRDefault="00731552" w:rsidP="00731552">
            <w:r>
              <w:t>ABS 2013</w:t>
            </w:r>
          </w:p>
          <w:p w14:paraId="418690CB" w14:textId="3584EF61" w:rsidR="00731552" w:rsidRDefault="00731552" w:rsidP="00731552">
            <w:pPr>
              <w:contextualSpacing/>
            </w:pPr>
            <w:r>
              <w:t>ABS 2017</w:t>
            </w:r>
          </w:p>
        </w:tc>
        <w:tc>
          <w:tcPr>
            <w:tcW w:w="3967"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47E03601" w14:textId="6115DC1D" w:rsidR="00731552" w:rsidRDefault="00731552" w:rsidP="00731552">
            <w:pPr>
              <w:rPr>
                <w:i/>
              </w:rPr>
            </w:pPr>
            <w:r w:rsidRPr="001129FD">
              <w:rPr>
                <w:i/>
              </w:rPr>
              <w:t>E</w:t>
            </w:r>
            <w:r>
              <w:rPr>
                <w:i/>
                <w:vertAlign w:val="subscript"/>
              </w:rPr>
              <w:t>t</w:t>
            </w:r>
            <w:r w:rsidRPr="001129FD">
              <w:rPr>
                <w:i/>
              </w:rPr>
              <w:t xml:space="preserve"> = E</w:t>
            </w:r>
            <w:r w:rsidRPr="001129FD">
              <w:rPr>
                <w:i/>
                <w:vertAlign w:val="subscript"/>
              </w:rPr>
              <w:t>t-</w:t>
            </w:r>
            <w:proofErr w:type="gramStart"/>
            <w:r w:rsidRPr="001129FD">
              <w:rPr>
                <w:i/>
                <w:vertAlign w:val="subscript"/>
              </w:rPr>
              <w:t xml:space="preserve">1 </w:t>
            </w:r>
            <w:r w:rsidRPr="001129FD">
              <w:rPr>
                <w:b/>
                <w:i/>
              </w:rPr>
              <w:t>.</w:t>
            </w:r>
            <w:proofErr w:type="gramEnd"/>
            <w:r w:rsidRPr="001129FD">
              <w:rPr>
                <w:i/>
              </w:rPr>
              <w:t xml:space="preserve"> </w:t>
            </w:r>
            <w:r w:rsidRPr="001129FD">
              <w:rPr>
                <w:rFonts w:cs="Arial"/>
                <w:i/>
              </w:rPr>
              <w:t>Δ</w:t>
            </w:r>
            <w:r w:rsidRPr="001129FD">
              <w:rPr>
                <w:i/>
              </w:rPr>
              <w:t xml:space="preserve"> Population</w:t>
            </w:r>
          </w:p>
          <w:p w14:paraId="626D8CBE" w14:textId="2F25AB52" w:rsidR="00731552" w:rsidRDefault="00731552" w:rsidP="00731552">
            <w:pPr>
              <w:contextualSpacing/>
              <w:rPr>
                <w:i/>
              </w:rPr>
            </w:pPr>
            <w:r w:rsidRPr="007773F3">
              <w:rPr>
                <w:i/>
                <w:sz w:val="16"/>
                <w:szCs w:val="16"/>
              </w:rPr>
              <w:t xml:space="preserve">Where: </w:t>
            </w:r>
            <w:r>
              <w:rPr>
                <w:i/>
                <w:sz w:val="16"/>
                <w:szCs w:val="16"/>
              </w:rPr>
              <w:br/>
            </w:r>
            <w:r w:rsidRPr="007773F3">
              <w:rPr>
                <w:i/>
                <w:sz w:val="16"/>
                <w:szCs w:val="16"/>
              </w:rPr>
              <w:t>E</w:t>
            </w:r>
            <w:r>
              <w:rPr>
                <w:i/>
                <w:sz w:val="16"/>
                <w:szCs w:val="16"/>
                <w:vertAlign w:val="subscript"/>
              </w:rPr>
              <w:t>t</w:t>
            </w:r>
            <w:r w:rsidRPr="007773F3">
              <w:rPr>
                <w:i/>
                <w:sz w:val="16"/>
                <w:szCs w:val="16"/>
              </w:rPr>
              <w:t xml:space="preserve"> = </w:t>
            </w:r>
            <w:r>
              <w:rPr>
                <w:i/>
                <w:sz w:val="16"/>
                <w:szCs w:val="16"/>
              </w:rPr>
              <w:t xml:space="preserve">annual </w:t>
            </w:r>
            <w:r w:rsidRPr="007773F3">
              <w:rPr>
                <w:i/>
                <w:sz w:val="16"/>
                <w:szCs w:val="16"/>
              </w:rPr>
              <w:t>emissions</w:t>
            </w:r>
            <w:r>
              <w:rPr>
                <w:i/>
                <w:sz w:val="16"/>
                <w:szCs w:val="16"/>
              </w:rPr>
              <w:t xml:space="preserve"> in year</w:t>
            </w:r>
            <w:r w:rsidR="006C13CE">
              <w:rPr>
                <w:i/>
                <w:sz w:val="16"/>
                <w:szCs w:val="16"/>
                <w:vertAlign w:val="subscript"/>
              </w:rPr>
              <w:t xml:space="preserve"> </w:t>
            </w:r>
            <w:r w:rsidR="006C13CE">
              <w:rPr>
                <w:i/>
                <w:sz w:val="16"/>
                <w:szCs w:val="16"/>
              </w:rPr>
              <w:t>t</w:t>
            </w:r>
            <w:r w:rsidR="00BC1BA2">
              <w:rPr>
                <w:i/>
                <w:sz w:val="16"/>
                <w:szCs w:val="16"/>
              </w:rPr>
              <w:t xml:space="preserve"> (M</w:t>
            </w:r>
            <w:r w:rsidR="00E818E2">
              <w:rPr>
                <w:i/>
                <w:sz w:val="16"/>
                <w:szCs w:val="16"/>
              </w:rPr>
              <w:t>t CO</w:t>
            </w:r>
            <w:r w:rsidR="00E818E2" w:rsidRPr="00DF47C3">
              <w:rPr>
                <w:i/>
                <w:sz w:val="16"/>
                <w:szCs w:val="16"/>
                <w:vertAlign w:val="subscript"/>
              </w:rPr>
              <w:t>2</w:t>
            </w:r>
            <w:r w:rsidR="00E818E2">
              <w:rPr>
                <w:i/>
                <w:sz w:val="16"/>
                <w:szCs w:val="16"/>
              </w:rPr>
              <w:t>-e)</w:t>
            </w:r>
            <w:r>
              <w:rPr>
                <w:i/>
                <w:sz w:val="16"/>
                <w:szCs w:val="16"/>
              </w:rPr>
              <w:br/>
              <w:t>E</w:t>
            </w:r>
            <w:r>
              <w:rPr>
                <w:i/>
                <w:sz w:val="16"/>
                <w:szCs w:val="16"/>
                <w:vertAlign w:val="subscript"/>
              </w:rPr>
              <w:t>,t-1</w:t>
            </w:r>
            <w:r w:rsidRPr="007773F3">
              <w:rPr>
                <w:i/>
                <w:sz w:val="16"/>
                <w:szCs w:val="16"/>
              </w:rPr>
              <w:t xml:space="preserve"> =</w:t>
            </w:r>
            <w:r>
              <w:rPr>
                <w:i/>
                <w:sz w:val="16"/>
                <w:szCs w:val="16"/>
              </w:rPr>
              <w:t xml:space="preserve"> </w:t>
            </w:r>
            <w:r w:rsidRPr="007773F3">
              <w:rPr>
                <w:i/>
                <w:sz w:val="16"/>
                <w:szCs w:val="16"/>
              </w:rPr>
              <w:t xml:space="preserve">emissions </w:t>
            </w:r>
            <w:r>
              <w:rPr>
                <w:i/>
                <w:sz w:val="16"/>
                <w:szCs w:val="16"/>
              </w:rPr>
              <w:t>in the previous year</w:t>
            </w:r>
            <w:r>
              <w:rPr>
                <w:i/>
                <w:sz w:val="16"/>
                <w:szCs w:val="16"/>
              </w:rPr>
              <w:br/>
            </w:r>
            <w:r w:rsidRPr="00E66CA6">
              <w:rPr>
                <w:rFonts w:cs="Arial"/>
                <w:i/>
                <w:sz w:val="16"/>
                <w:szCs w:val="16"/>
              </w:rPr>
              <w:t>Δ</w:t>
            </w:r>
            <w:r w:rsidRPr="00E66CA6">
              <w:rPr>
                <w:i/>
                <w:sz w:val="16"/>
                <w:szCs w:val="16"/>
                <w:vertAlign w:val="subscript"/>
              </w:rPr>
              <w:t xml:space="preserve"> </w:t>
            </w:r>
            <w:r>
              <w:rPr>
                <w:i/>
                <w:sz w:val="16"/>
                <w:szCs w:val="16"/>
              </w:rPr>
              <w:t xml:space="preserve">Population </w:t>
            </w:r>
            <w:r w:rsidRPr="007773F3">
              <w:rPr>
                <w:i/>
                <w:sz w:val="16"/>
                <w:szCs w:val="16"/>
              </w:rPr>
              <w:t xml:space="preserve">= </w:t>
            </w:r>
            <w:r>
              <w:rPr>
                <w:i/>
                <w:sz w:val="16"/>
                <w:szCs w:val="16"/>
              </w:rPr>
              <w:t>percentage change in population between year</w:t>
            </w:r>
            <w:r w:rsidR="006C13CE">
              <w:rPr>
                <w:i/>
                <w:sz w:val="16"/>
                <w:szCs w:val="16"/>
                <w:vertAlign w:val="subscript"/>
              </w:rPr>
              <w:t xml:space="preserve"> </w:t>
            </w:r>
            <w:r w:rsidR="006C13CE">
              <w:rPr>
                <w:i/>
                <w:sz w:val="16"/>
                <w:szCs w:val="16"/>
              </w:rPr>
              <w:t>t</w:t>
            </w:r>
            <w:r>
              <w:rPr>
                <w:i/>
                <w:sz w:val="16"/>
                <w:szCs w:val="16"/>
              </w:rPr>
              <w:t xml:space="preserve"> and year</w:t>
            </w:r>
            <w:r w:rsidR="006C13CE">
              <w:rPr>
                <w:i/>
                <w:sz w:val="16"/>
                <w:szCs w:val="16"/>
                <w:vertAlign w:val="subscript"/>
              </w:rPr>
              <w:t xml:space="preserve"> </w:t>
            </w:r>
            <w:r w:rsidR="006C13CE" w:rsidRPr="002F79A9">
              <w:rPr>
                <w:i/>
                <w:sz w:val="16"/>
                <w:szCs w:val="16"/>
              </w:rPr>
              <w:t>t</w:t>
            </w:r>
            <w:r w:rsidRPr="002F79A9">
              <w:rPr>
                <w:i/>
                <w:sz w:val="16"/>
                <w:szCs w:val="16"/>
              </w:rPr>
              <w:t>-1</w:t>
            </w:r>
          </w:p>
        </w:tc>
      </w:tr>
      <w:tr w:rsidR="00731552" w:rsidRPr="00956380" w14:paraId="597AC1E9"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39C3EE8D" w14:textId="6C0FF42A" w:rsidR="00731552" w:rsidRDefault="00731552" w:rsidP="00731552">
            <w:pPr>
              <w:spacing w:after="0" w:line="240" w:lineRule="auto"/>
              <w:contextualSpacing/>
              <w:rPr>
                <w:rFonts w:eastAsia="Times New Roman" w:cs="Arial"/>
                <w:b/>
                <w:i/>
                <w:color w:val="000000"/>
                <w:szCs w:val="20"/>
                <w:lang w:eastAsia="en-AU"/>
              </w:rPr>
            </w:pPr>
            <w:r>
              <w:rPr>
                <w:rFonts w:eastAsia="Times New Roman" w:cs="Arial"/>
                <w:color w:val="000000"/>
                <w:szCs w:val="20"/>
                <w:lang w:eastAsia="en-AU"/>
              </w:rPr>
              <w:t>Petrochemical and carbon black</w:t>
            </w:r>
          </w:p>
        </w:tc>
        <w:tc>
          <w:tcPr>
            <w:tcW w:w="2551"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2CA35F9B" w14:textId="013D93F7" w:rsidR="00731552" w:rsidRDefault="00731552" w:rsidP="00731552">
            <w:pPr>
              <w:contextualSpacing/>
            </w:pPr>
            <w:r>
              <w:t xml:space="preserve">n/a </w:t>
            </w:r>
          </w:p>
        </w:tc>
        <w:tc>
          <w:tcPr>
            <w:tcW w:w="3967"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32621CEF" w14:textId="5954F00F" w:rsidR="00731552" w:rsidRPr="004510D5" w:rsidRDefault="00731552" w:rsidP="00731552">
            <w:pPr>
              <w:rPr>
                <w:i/>
                <w:vertAlign w:val="superscript"/>
              </w:rPr>
            </w:pPr>
            <w:r w:rsidRPr="004510D5">
              <w:rPr>
                <w:i/>
              </w:rPr>
              <w:t>E</w:t>
            </w:r>
            <w:r w:rsidRPr="004510D5">
              <w:rPr>
                <w:i/>
                <w:vertAlign w:val="subscript"/>
              </w:rPr>
              <w:t>t</w:t>
            </w:r>
            <w:r w:rsidRPr="004510D5">
              <w:rPr>
                <w:i/>
              </w:rPr>
              <w:t xml:space="preserve"> = E</w:t>
            </w:r>
            <w:r w:rsidRPr="004510D5">
              <w:rPr>
                <w:i/>
                <w:vertAlign w:val="subscript"/>
              </w:rPr>
              <w:t>t-1</w:t>
            </w:r>
            <w:r w:rsidRPr="004510D5">
              <w:rPr>
                <w:i/>
              </w:rPr>
              <w:t xml:space="preserve"> </w:t>
            </w:r>
          </w:p>
          <w:p w14:paraId="1297829F" w14:textId="0D5B2963" w:rsidR="00731552" w:rsidRDefault="00731552" w:rsidP="00731552">
            <w:pPr>
              <w:contextualSpacing/>
              <w:rPr>
                <w:i/>
              </w:rPr>
            </w:pPr>
            <w:r w:rsidRPr="004510D5">
              <w:rPr>
                <w:i/>
                <w:sz w:val="16"/>
                <w:szCs w:val="16"/>
              </w:rPr>
              <w:t xml:space="preserve">Where: </w:t>
            </w:r>
            <w:r>
              <w:rPr>
                <w:i/>
                <w:sz w:val="16"/>
                <w:szCs w:val="16"/>
              </w:rPr>
              <w:br/>
            </w:r>
            <w:r w:rsidR="00C90BA1" w:rsidRPr="00EE4997">
              <w:rPr>
                <w:i/>
                <w:sz w:val="16"/>
                <w:szCs w:val="16"/>
              </w:rPr>
              <w:t>E</w:t>
            </w:r>
            <w:r w:rsidR="00C90BA1">
              <w:rPr>
                <w:i/>
                <w:sz w:val="16"/>
                <w:szCs w:val="16"/>
                <w:vertAlign w:val="subscript"/>
              </w:rPr>
              <w:t>t</w:t>
            </w:r>
            <w:r w:rsidR="00C90BA1" w:rsidRPr="00EE4997">
              <w:rPr>
                <w:i/>
                <w:sz w:val="16"/>
                <w:szCs w:val="16"/>
              </w:rPr>
              <w:t xml:space="preserve"> </w:t>
            </w:r>
            <w:r w:rsidRPr="004510D5">
              <w:rPr>
                <w:i/>
                <w:sz w:val="16"/>
                <w:szCs w:val="16"/>
              </w:rPr>
              <w:t xml:space="preserve">= annual </w:t>
            </w:r>
            <w:r>
              <w:rPr>
                <w:i/>
                <w:sz w:val="16"/>
                <w:szCs w:val="16"/>
              </w:rPr>
              <w:t xml:space="preserve">emissions in </w:t>
            </w:r>
            <w:r w:rsidR="00BC1BA2">
              <w:rPr>
                <w:i/>
                <w:sz w:val="16"/>
                <w:szCs w:val="16"/>
              </w:rPr>
              <w:t>year t (M</w:t>
            </w:r>
            <w:r w:rsidR="00C90BA1">
              <w:rPr>
                <w:i/>
                <w:sz w:val="16"/>
                <w:szCs w:val="16"/>
              </w:rPr>
              <w:t>t CO</w:t>
            </w:r>
            <w:r w:rsidR="00C90BA1" w:rsidRPr="00DF47C3">
              <w:rPr>
                <w:i/>
                <w:sz w:val="16"/>
                <w:szCs w:val="16"/>
                <w:vertAlign w:val="subscript"/>
              </w:rPr>
              <w:t>2</w:t>
            </w:r>
            <w:r w:rsidR="00C90BA1">
              <w:rPr>
                <w:i/>
                <w:sz w:val="16"/>
                <w:szCs w:val="16"/>
              </w:rPr>
              <w:t>-e)</w:t>
            </w:r>
            <w:r>
              <w:rPr>
                <w:i/>
                <w:sz w:val="16"/>
                <w:szCs w:val="16"/>
              </w:rPr>
              <w:br/>
            </w:r>
            <w:r w:rsidRPr="004510D5">
              <w:rPr>
                <w:i/>
                <w:sz w:val="16"/>
                <w:szCs w:val="16"/>
              </w:rPr>
              <w:t>E</w:t>
            </w:r>
            <w:r w:rsidRPr="004510D5">
              <w:rPr>
                <w:i/>
                <w:sz w:val="16"/>
                <w:szCs w:val="16"/>
                <w:vertAlign w:val="subscript"/>
              </w:rPr>
              <w:t>t-1</w:t>
            </w:r>
            <w:r w:rsidRPr="004510D5">
              <w:rPr>
                <w:i/>
                <w:sz w:val="16"/>
                <w:szCs w:val="16"/>
              </w:rPr>
              <w:t xml:space="preserve"> = emissions in the previous year</w:t>
            </w:r>
          </w:p>
        </w:tc>
      </w:tr>
      <w:tr w:rsidR="00731552" w:rsidRPr="00956380" w14:paraId="0E0912F1"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49289AAC" w14:textId="1CAECAB8" w:rsidR="00731552" w:rsidRDefault="00731552" w:rsidP="00731552">
            <w:pPr>
              <w:spacing w:after="0" w:line="240" w:lineRule="auto"/>
              <w:contextualSpacing/>
              <w:rPr>
                <w:rFonts w:eastAsia="Times New Roman" w:cs="Arial"/>
                <w:b/>
                <w:i/>
                <w:color w:val="000000"/>
                <w:szCs w:val="20"/>
                <w:lang w:eastAsia="en-AU"/>
              </w:rPr>
            </w:pPr>
            <w:r>
              <w:rPr>
                <w:rFonts w:eastAsia="Times New Roman" w:cs="Arial"/>
                <w:b/>
                <w:i/>
                <w:color w:val="000000"/>
                <w:szCs w:val="20"/>
                <w:lang w:eastAsia="en-AU"/>
              </w:rPr>
              <w:t>Metal Industry</w:t>
            </w:r>
          </w:p>
        </w:tc>
        <w:tc>
          <w:tcPr>
            <w:tcW w:w="2551"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35C29BFD" w14:textId="54E0D358" w:rsidR="00731552" w:rsidRDefault="00731552" w:rsidP="00731552">
            <w:pPr>
              <w:contextualSpacing/>
            </w:pPr>
          </w:p>
        </w:tc>
        <w:tc>
          <w:tcPr>
            <w:tcW w:w="3967"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05E71B25" w14:textId="5C8F7896" w:rsidR="00731552" w:rsidRDefault="00731552" w:rsidP="00731552">
            <w:pPr>
              <w:contextualSpacing/>
              <w:rPr>
                <w:i/>
              </w:rPr>
            </w:pPr>
          </w:p>
        </w:tc>
      </w:tr>
      <w:tr w:rsidR="00731552" w:rsidRPr="00956380" w14:paraId="19CA974E"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266958F3" w14:textId="5C8D3F0E" w:rsidR="00731552" w:rsidRDefault="00731552" w:rsidP="00731552">
            <w:pPr>
              <w:spacing w:after="0" w:line="240" w:lineRule="auto"/>
              <w:rPr>
                <w:rFonts w:eastAsia="Times New Roman" w:cs="Arial"/>
                <w:b/>
                <w:i/>
                <w:color w:val="000000"/>
                <w:szCs w:val="20"/>
                <w:lang w:eastAsia="en-AU"/>
              </w:rPr>
            </w:pPr>
            <w:r>
              <w:t>Aluminium production</w:t>
            </w:r>
          </w:p>
        </w:tc>
        <w:tc>
          <w:tcPr>
            <w:tcW w:w="2551" w:type="dxa"/>
            <w:vMerge w:val="restart"/>
            <w:tcBorders>
              <w:top w:val="nil"/>
              <w:left w:val="nil"/>
              <w:right w:val="single" w:sz="8" w:space="0" w:color="FFFFFF"/>
            </w:tcBorders>
            <w:shd w:val="clear" w:color="auto" w:fill="DBE5F1" w:themeFill="accent1" w:themeFillTint="33"/>
            <w:vAlign w:val="center"/>
          </w:tcPr>
          <w:p w14:paraId="20E5F2EC" w14:textId="77777777" w:rsidR="00731552" w:rsidRDefault="00731552" w:rsidP="00731552">
            <w:r>
              <w:rPr>
                <w:rFonts w:eastAsia="Times New Roman" w:cs="Arial"/>
                <w:color w:val="000000"/>
                <w:szCs w:val="20"/>
                <w:lang w:eastAsia="en-AU"/>
              </w:rPr>
              <w:t xml:space="preserve">Production data from </w:t>
            </w:r>
            <w:r>
              <w:t>OCE 2017,</w:t>
            </w:r>
            <w:r>
              <w:rPr>
                <w:rFonts w:eastAsia="Times New Roman" w:cs="Arial"/>
                <w:color w:val="000000"/>
                <w:szCs w:val="20"/>
                <w:lang w:eastAsia="en-AU"/>
              </w:rPr>
              <w:t xml:space="preserve"> </w:t>
            </w:r>
            <w:r>
              <w:t>OCE 2017a, and AME Group’s industry analysis</w:t>
            </w:r>
          </w:p>
          <w:p w14:paraId="32863B85" w14:textId="4C20DF22" w:rsidR="00731552" w:rsidRDefault="00731552" w:rsidP="00731552">
            <w:pPr>
              <w:contextualSpacing/>
            </w:pPr>
          </w:p>
        </w:tc>
        <w:tc>
          <w:tcPr>
            <w:tcW w:w="3967" w:type="dxa"/>
            <w:vMerge w:val="restart"/>
            <w:tcBorders>
              <w:top w:val="nil"/>
              <w:left w:val="nil"/>
              <w:right w:val="single" w:sz="8" w:space="0" w:color="FFFFFF"/>
            </w:tcBorders>
            <w:shd w:val="clear" w:color="auto" w:fill="DBE5F1" w:themeFill="accent1" w:themeFillTint="33"/>
            <w:vAlign w:val="center"/>
          </w:tcPr>
          <w:p w14:paraId="36B60212" w14:textId="31CF6740" w:rsidR="00B305C6" w:rsidRDefault="00B305C6" w:rsidP="00B305C6">
            <w:pPr>
              <w:rPr>
                <w:i/>
                <w:vertAlign w:val="superscript"/>
              </w:rPr>
            </w:pPr>
            <w:r>
              <w:rPr>
                <w:i/>
              </w:rPr>
              <w:t>E</w:t>
            </w:r>
            <w:r>
              <w:rPr>
                <w:i/>
                <w:vertAlign w:val="subscript"/>
              </w:rPr>
              <w:t>t</w:t>
            </w:r>
            <w:r>
              <w:rPr>
                <w:i/>
              </w:rPr>
              <w:t xml:space="preserve"> = </w:t>
            </w:r>
            <w:proofErr w:type="gramStart"/>
            <w:r>
              <w:rPr>
                <w:rFonts w:cs="Arial"/>
                <w:i/>
              </w:rPr>
              <w:t>∑</w:t>
            </w:r>
            <w:r>
              <w:rPr>
                <w:i/>
              </w:rPr>
              <w:t>(</w:t>
            </w:r>
            <w:proofErr w:type="gramEnd"/>
            <w:r>
              <w:rPr>
                <w:i/>
              </w:rPr>
              <w:t xml:space="preserve"> [</w:t>
            </w:r>
            <w:proofErr w:type="spellStart"/>
            <w:r>
              <w:rPr>
                <w:i/>
              </w:rPr>
              <w:t>EF</w:t>
            </w:r>
            <w:r>
              <w:rPr>
                <w:i/>
                <w:vertAlign w:val="subscript"/>
              </w:rPr>
              <w:t>i</w:t>
            </w:r>
            <w:proofErr w:type="spellEnd"/>
            <w:r>
              <w:rPr>
                <w:i/>
              </w:rPr>
              <w:t xml:space="preserve"> </w:t>
            </w:r>
            <w:r w:rsidRPr="009E12A6">
              <w:rPr>
                <w:b/>
                <w:i/>
              </w:rPr>
              <w:t>.</w:t>
            </w:r>
            <w:r>
              <w:rPr>
                <w:i/>
              </w:rPr>
              <w:t xml:space="preserve"> P</w:t>
            </w:r>
            <w:r w:rsidR="005B2768">
              <w:rPr>
                <w:i/>
                <w:vertAlign w:val="subscript"/>
              </w:rPr>
              <w:t>it</w:t>
            </w:r>
            <w:r>
              <w:rPr>
                <w:i/>
              </w:rPr>
              <w:t>]</w:t>
            </w:r>
            <w:r w:rsidRPr="009E12A6">
              <w:rPr>
                <w:i/>
              </w:rPr>
              <w:t>)</w:t>
            </w:r>
          </w:p>
          <w:p w14:paraId="62A61D9A" w14:textId="7E6389B9" w:rsidR="00731552" w:rsidRDefault="00731552" w:rsidP="00731552">
            <w:pPr>
              <w:rPr>
                <w:i/>
              </w:rPr>
            </w:pPr>
            <w:r w:rsidRPr="007773F3">
              <w:rPr>
                <w:i/>
                <w:sz w:val="16"/>
                <w:szCs w:val="16"/>
              </w:rPr>
              <w:t xml:space="preserve">Where: </w:t>
            </w:r>
            <w:r>
              <w:rPr>
                <w:i/>
                <w:sz w:val="16"/>
                <w:szCs w:val="16"/>
              </w:rPr>
              <w:br/>
            </w:r>
            <w:r w:rsidR="00B305C6" w:rsidRPr="007773F3">
              <w:rPr>
                <w:i/>
                <w:sz w:val="16"/>
                <w:szCs w:val="16"/>
              </w:rPr>
              <w:t>E</w:t>
            </w:r>
            <w:r w:rsidR="00B305C6">
              <w:rPr>
                <w:i/>
                <w:sz w:val="16"/>
                <w:szCs w:val="16"/>
                <w:vertAlign w:val="subscript"/>
              </w:rPr>
              <w:t>t</w:t>
            </w:r>
            <w:r w:rsidRPr="007773F3">
              <w:rPr>
                <w:i/>
                <w:sz w:val="16"/>
                <w:szCs w:val="16"/>
              </w:rPr>
              <w:t xml:space="preserve"> = </w:t>
            </w:r>
            <w:r>
              <w:rPr>
                <w:i/>
                <w:sz w:val="16"/>
                <w:szCs w:val="16"/>
              </w:rPr>
              <w:t>annual emissions in year t (Mt CO</w:t>
            </w:r>
            <w:r w:rsidRPr="00DF47C3">
              <w:rPr>
                <w:i/>
                <w:sz w:val="16"/>
                <w:szCs w:val="16"/>
                <w:vertAlign w:val="subscript"/>
              </w:rPr>
              <w:t>2</w:t>
            </w:r>
            <w:r>
              <w:rPr>
                <w:i/>
                <w:sz w:val="16"/>
                <w:szCs w:val="16"/>
              </w:rPr>
              <w:t>-e)</w:t>
            </w:r>
            <w:r>
              <w:rPr>
                <w:i/>
                <w:sz w:val="16"/>
                <w:szCs w:val="16"/>
              </w:rPr>
              <w:br/>
            </w:r>
            <w:proofErr w:type="spellStart"/>
            <w:r w:rsidR="00B305C6" w:rsidRPr="007773F3">
              <w:rPr>
                <w:i/>
                <w:sz w:val="16"/>
                <w:szCs w:val="16"/>
              </w:rPr>
              <w:t>EF</w:t>
            </w:r>
            <w:r w:rsidR="00B305C6">
              <w:rPr>
                <w:i/>
                <w:sz w:val="16"/>
                <w:szCs w:val="16"/>
                <w:vertAlign w:val="subscript"/>
              </w:rPr>
              <w:t>i</w:t>
            </w:r>
            <w:proofErr w:type="spellEnd"/>
            <w:r w:rsidRPr="007773F3">
              <w:rPr>
                <w:i/>
                <w:sz w:val="16"/>
                <w:szCs w:val="16"/>
              </w:rPr>
              <w:t xml:space="preserve"> = </w:t>
            </w:r>
            <w:r>
              <w:rPr>
                <w:i/>
                <w:sz w:val="16"/>
                <w:szCs w:val="16"/>
              </w:rPr>
              <w:t>facility-specific emissions factor</w:t>
            </w:r>
            <w:r>
              <w:rPr>
                <w:i/>
                <w:sz w:val="16"/>
                <w:szCs w:val="16"/>
              </w:rPr>
              <w:br/>
            </w:r>
            <w:r w:rsidR="00B305C6" w:rsidRPr="007773F3">
              <w:rPr>
                <w:i/>
                <w:sz w:val="16"/>
                <w:szCs w:val="16"/>
              </w:rPr>
              <w:t>P</w:t>
            </w:r>
            <w:r w:rsidR="005B2768">
              <w:rPr>
                <w:i/>
                <w:sz w:val="16"/>
                <w:szCs w:val="16"/>
                <w:vertAlign w:val="subscript"/>
              </w:rPr>
              <w:t>it</w:t>
            </w:r>
            <w:r w:rsidRPr="007773F3">
              <w:rPr>
                <w:i/>
                <w:sz w:val="16"/>
                <w:szCs w:val="16"/>
              </w:rPr>
              <w:t xml:space="preserve"> = </w:t>
            </w:r>
            <w:r>
              <w:rPr>
                <w:i/>
                <w:sz w:val="16"/>
                <w:szCs w:val="16"/>
              </w:rPr>
              <w:t xml:space="preserve">annual </w:t>
            </w:r>
            <w:r w:rsidRPr="007773F3">
              <w:rPr>
                <w:i/>
                <w:sz w:val="16"/>
                <w:szCs w:val="16"/>
              </w:rPr>
              <w:t xml:space="preserve">production at </w:t>
            </w:r>
            <w:proofErr w:type="spellStart"/>
            <w:r w:rsidRPr="007773F3">
              <w:rPr>
                <w:i/>
                <w:sz w:val="16"/>
                <w:szCs w:val="16"/>
              </w:rPr>
              <w:t>facility</w:t>
            </w:r>
            <w:r w:rsidRPr="007773F3">
              <w:rPr>
                <w:i/>
                <w:sz w:val="16"/>
                <w:szCs w:val="16"/>
                <w:vertAlign w:val="subscript"/>
              </w:rPr>
              <w:t>i</w:t>
            </w:r>
            <w:proofErr w:type="spellEnd"/>
            <w:r>
              <w:rPr>
                <w:i/>
                <w:sz w:val="16"/>
                <w:szCs w:val="16"/>
                <w:vertAlign w:val="subscript"/>
              </w:rPr>
              <w:t xml:space="preserve"> </w:t>
            </w:r>
            <w:r w:rsidR="005B2768">
              <w:rPr>
                <w:i/>
                <w:sz w:val="16"/>
                <w:szCs w:val="16"/>
              </w:rPr>
              <w:t>in year t</w:t>
            </w:r>
          </w:p>
        </w:tc>
      </w:tr>
      <w:tr w:rsidR="00731552" w:rsidRPr="00956380" w14:paraId="12823C14"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2E19FE38" w14:textId="15923483" w:rsidR="00731552" w:rsidRDefault="00731552" w:rsidP="00731552">
            <w:pPr>
              <w:spacing w:after="0" w:line="240" w:lineRule="auto"/>
              <w:rPr>
                <w:rFonts w:eastAsia="Times New Roman" w:cs="Arial"/>
                <w:b/>
                <w:i/>
                <w:color w:val="000000"/>
                <w:szCs w:val="20"/>
                <w:lang w:eastAsia="en-AU"/>
              </w:rPr>
            </w:pPr>
            <w:r>
              <w:t>Iron and steel production</w:t>
            </w:r>
          </w:p>
        </w:tc>
        <w:tc>
          <w:tcPr>
            <w:tcW w:w="2551" w:type="dxa"/>
            <w:vMerge/>
            <w:tcBorders>
              <w:left w:val="nil"/>
              <w:bottom w:val="single" w:sz="4" w:space="0" w:color="FFFFFF" w:themeColor="background1"/>
              <w:right w:val="single" w:sz="8" w:space="0" w:color="FFFFFF"/>
            </w:tcBorders>
            <w:shd w:val="clear" w:color="auto" w:fill="DBE5F1" w:themeFill="accent1" w:themeFillTint="33"/>
            <w:vAlign w:val="center"/>
          </w:tcPr>
          <w:p w14:paraId="363A6683" w14:textId="3F203CE0" w:rsidR="00731552" w:rsidRDefault="00731552">
            <w:pPr>
              <w:contextualSpacing/>
            </w:pPr>
          </w:p>
        </w:tc>
        <w:tc>
          <w:tcPr>
            <w:tcW w:w="3967" w:type="dxa"/>
            <w:vMerge/>
            <w:tcBorders>
              <w:left w:val="nil"/>
              <w:bottom w:val="single" w:sz="4" w:space="0" w:color="FFFFFF" w:themeColor="background1"/>
              <w:right w:val="single" w:sz="8" w:space="0" w:color="FFFFFF"/>
            </w:tcBorders>
            <w:shd w:val="clear" w:color="auto" w:fill="DBE5F1" w:themeFill="accent1" w:themeFillTint="33"/>
            <w:vAlign w:val="center"/>
          </w:tcPr>
          <w:p w14:paraId="797B83F5" w14:textId="1DD1D132" w:rsidR="00731552" w:rsidRDefault="00731552">
            <w:pPr>
              <w:rPr>
                <w:i/>
              </w:rPr>
            </w:pPr>
          </w:p>
        </w:tc>
      </w:tr>
      <w:tr w:rsidR="00731552" w:rsidRPr="00956380" w14:paraId="7657BC3F"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699F2E5D" w14:textId="0A0DA1BC" w:rsidR="00731552" w:rsidRDefault="00731552" w:rsidP="00731552">
            <w:pPr>
              <w:spacing w:after="0" w:line="240" w:lineRule="auto"/>
              <w:rPr>
                <w:rFonts w:eastAsia="Times New Roman" w:cs="Arial"/>
                <w:b/>
                <w:i/>
                <w:color w:val="000000"/>
                <w:szCs w:val="20"/>
                <w:lang w:eastAsia="en-AU"/>
              </w:rPr>
            </w:pPr>
            <w:r>
              <w:t>Ferroalloys production</w:t>
            </w:r>
          </w:p>
        </w:tc>
        <w:tc>
          <w:tcPr>
            <w:tcW w:w="2551"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1AC28339" w14:textId="55D96249" w:rsidR="00731552" w:rsidRDefault="00731552" w:rsidP="00731552">
            <w:r>
              <w:t>Company statements</w:t>
            </w:r>
          </w:p>
        </w:tc>
        <w:tc>
          <w:tcPr>
            <w:tcW w:w="3967"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44EF3DEF" w14:textId="77777777" w:rsidR="00A841F6" w:rsidRPr="00CC3B41" w:rsidRDefault="00A841F6" w:rsidP="00A841F6">
            <w:pPr>
              <w:rPr>
                <w:i/>
                <w:vertAlign w:val="superscript"/>
              </w:rPr>
            </w:pPr>
            <w:r w:rsidRPr="00CC3B41">
              <w:rPr>
                <w:i/>
              </w:rPr>
              <w:t>E</w:t>
            </w:r>
            <w:r>
              <w:rPr>
                <w:i/>
                <w:vertAlign w:val="subscript"/>
              </w:rPr>
              <w:t>t</w:t>
            </w:r>
            <w:r w:rsidRPr="00CC3B41">
              <w:rPr>
                <w:i/>
              </w:rPr>
              <w:t xml:space="preserve"> = </w:t>
            </w:r>
            <w:proofErr w:type="gramStart"/>
            <w:r w:rsidRPr="00CC3B41">
              <w:rPr>
                <w:rFonts w:cs="Arial"/>
                <w:i/>
              </w:rPr>
              <w:t>∑</w:t>
            </w:r>
            <w:r w:rsidRPr="00CC3B41">
              <w:rPr>
                <w:i/>
              </w:rPr>
              <w:t>(</w:t>
            </w:r>
            <w:proofErr w:type="gramEnd"/>
            <w:r w:rsidRPr="00CC3B41">
              <w:rPr>
                <w:i/>
              </w:rPr>
              <w:t xml:space="preserve"> [</w:t>
            </w:r>
            <w:proofErr w:type="spellStart"/>
            <w:r w:rsidRPr="00CC3B41">
              <w:rPr>
                <w:i/>
              </w:rPr>
              <w:t>U</w:t>
            </w:r>
            <w:r>
              <w:rPr>
                <w:i/>
                <w:vertAlign w:val="subscript"/>
              </w:rPr>
              <w:t>jit</w:t>
            </w:r>
            <w:proofErr w:type="spellEnd"/>
            <w:r w:rsidRPr="00CC3B41">
              <w:rPr>
                <w:i/>
              </w:rPr>
              <w:t xml:space="preserve"> </w:t>
            </w:r>
            <w:r w:rsidRPr="00CC3B41">
              <w:rPr>
                <w:b/>
                <w:i/>
              </w:rPr>
              <w:t>.</w:t>
            </w:r>
            <w:r w:rsidRPr="00CC3B41">
              <w:rPr>
                <w:i/>
              </w:rPr>
              <w:t xml:space="preserve"> </w:t>
            </w:r>
            <w:proofErr w:type="spellStart"/>
            <w:proofErr w:type="gramStart"/>
            <w:r w:rsidRPr="00CC3B41">
              <w:rPr>
                <w:i/>
              </w:rPr>
              <w:t>EC</w:t>
            </w:r>
            <w:r>
              <w:rPr>
                <w:i/>
                <w:vertAlign w:val="subscript"/>
              </w:rPr>
              <w:t>j</w:t>
            </w:r>
            <w:proofErr w:type="spellEnd"/>
            <w:r w:rsidRPr="00CC3B41">
              <w:rPr>
                <w:i/>
                <w:vertAlign w:val="subscript"/>
              </w:rPr>
              <w:t xml:space="preserve"> </w:t>
            </w:r>
            <w:r w:rsidRPr="00CC3B41">
              <w:rPr>
                <w:b/>
                <w:i/>
                <w:vertAlign w:val="subscript"/>
              </w:rPr>
              <w:t>.</w:t>
            </w:r>
            <w:proofErr w:type="gramEnd"/>
            <w:r w:rsidRPr="00CC3B41">
              <w:rPr>
                <w:i/>
                <w:vertAlign w:val="subscript"/>
              </w:rPr>
              <w:t xml:space="preserve"> </w:t>
            </w:r>
            <w:proofErr w:type="spellStart"/>
            <w:r w:rsidRPr="00CC3B41">
              <w:rPr>
                <w:i/>
              </w:rPr>
              <w:t>EF</w:t>
            </w:r>
            <w:r>
              <w:rPr>
                <w:i/>
                <w:vertAlign w:val="subscript"/>
              </w:rPr>
              <w:t>j</w:t>
            </w:r>
            <w:proofErr w:type="spellEnd"/>
            <w:r w:rsidRPr="00CC3B41">
              <w:rPr>
                <w:i/>
              </w:rPr>
              <w:t>])</w:t>
            </w:r>
          </w:p>
          <w:p w14:paraId="3330E897" w14:textId="4B7B353C" w:rsidR="00731552" w:rsidRDefault="00A841F6" w:rsidP="00A841F6">
            <w:pPr>
              <w:contextualSpacing/>
              <w:rPr>
                <w:i/>
              </w:rPr>
            </w:pPr>
            <w:r w:rsidRPr="00CC3B41">
              <w:rPr>
                <w:i/>
                <w:sz w:val="16"/>
                <w:szCs w:val="16"/>
              </w:rPr>
              <w:t xml:space="preserve">Where: </w:t>
            </w:r>
            <w:r>
              <w:rPr>
                <w:i/>
                <w:sz w:val="16"/>
                <w:szCs w:val="16"/>
              </w:rPr>
              <w:br/>
            </w:r>
            <w:r w:rsidRPr="00EE4997">
              <w:rPr>
                <w:i/>
                <w:sz w:val="16"/>
                <w:szCs w:val="16"/>
              </w:rPr>
              <w:t>E</w:t>
            </w:r>
            <w:r>
              <w:rPr>
                <w:i/>
                <w:sz w:val="16"/>
                <w:szCs w:val="16"/>
                <w:vertAlign w:val="subscript"/>
              </w:rPr>
              <w:t>t</w:t>
            </w:r>
            <w:r w:rsidRPr="00CC3B41">
              <w:rPr>
                <w:i/>
                <w:sz w:val="16"/>
                <w:szCs w:val="16"/>
              </w:rPr>
              <w:t xml:space="preserve"> = annual </w:t>
            </w:r>
            <w:r>
              <w:rPr>
                <w:i/>
                <w:sz w:val="16"/>
                <w:szCs w:val="16"/>
              </w:rPr>
              <w:t>emissions</w:t>
            </w:r>
            <w:r w:rsidRPr="00CC3B41">
              <w:rPr>
                <w:i/>
                <w:sz w:val="16"/>
                <w:szCs w:val="16"/>
              </w:rPr>
              <w:t xml:space="preserve"> </w:t>
            </w:r>
            <w:r>
              <w:rPr>
                <w:i/>
                <w:sz w:val="16"/>
                <w:szCs w:val="16"/>
              </w:rPr>
              <w:t>in year t (Mt CO</w:t>
            </w:r>
            <w:r w:rsidRPr="00DF47C3">
              <w:rPr>
                <w:i/>
                <w:sz w:val="16"/>
                <w:szCs w:val="16"/>
                <w:vertAlign w:val="subscript"/>
              </w:rPr>
              <w:t>2</w:t>
            </w:r>
            <w:r>
              <w:rPr>
                <w:i/>
                <w:sz w:val="16"/>
                <w:szCs w:val="16"/>
              </w:rPr>
              <w:t>-e)</w:t>
            </w:r>
            <w:r>
              <w:rPr>
                <w:i/>
                <w:sz w:val="16"/>
                <w:szCs w:val="16"/>
              </w:rPr>
              <w:br/>
            </w:r>
            <w:proofErr w:type="spellStart"/>
            <w:r w:rsidRPr="00CC3B41">
              <w:rPr>
                <w:i/>
                <w:sz w:val="16"/>
                <w:szCs w:val="16"/>
              </w:rPr>
              <w:t>U</w:t>
            </w:r>
            <w:r w:rsidRPr="00A841F6">
              <w:rPr>
                <w:i/>
                <w:sz w:val="16"/>
                <w:szCs w:val="16"/>
                <w:vertAlign w:val="subscript"/>
              </w:rPr>
              <w:t>ji</w:t>
            </w:r>
            <w:r>
              <w:rPr>
                <w:i/>
                <w:sz w:val="16"/>
                <w:szCs w:val="16"/>
                <w:vertAlign w:val="subscript"/>
              </w:rPr>
              <w:t>t</w:t>
            </w:r>
            <w:proofErr w:type="spellEnd"/>
            <w:r>
              <w:rPr>
                <w:i/>
                <w:sz w:val="16"/>
                <w:szCs w:val="16"/>
                <w:vertAlign w:val="subscript"/>
              </w:rPr>
              <w:t>,</w:t>
            </w:r>
            <w:r w:rsidRPr="00CC3B41">
              <w:rPr>
                <w:i/>
                <w:sz w:val="16"/>
                <w:szCs w:val="16"/>
              </w:rPr>
              <w:t xml:space="preserve"> = the use of fuel</w:t>
            </w:r>
            <w:r>
              <w:rPr>
                <w:i/>
                <w:sz w:val="16"/>
                <w:szCs w:val="16"/>
                <w:vertAlign w:val="subscript"/>
              </w:rPr>
              <w:t xml:space="preserve"> </w:t>
            </w:r>
            <w:r>
              <w:rPr>
                <w:i/>
                <w:sz w:val="16"/>
                <w:szCs w:val="16"/>
              </w:rPr>
              <w:t>j</w:t>
            </w:r>
            <w:r w:rsidRPr="00507585">
              <w:rPr>
                <w:i/>
                <w:sz w:val="16"/>
                <w:szCs w:val="16"/>
              </w:rPr>
              <w:t xml:space="preserve"> as a reductant</w:t>
            </w:r>
            <w:r w:rsidRPr="00CC3B41">
              <w:rPr>
                <w:i/>
                <w:sz w:val="16"/>
                <w:szCs w:val="16"/>
              </w:rPr>
              <w:t xml:space="preserve"> at </w:t>
            </w:r>
            <w:proofErr w:type="spellStart"/>
            <w:r w:rsidRPr="00CC3B41">
              <w:rPr>
                <w:i/>
                <w:sz w:val="16"/>
                <w:szCs w:val="16"/>
              </w:rPr>
              <w:t>facility</w:t>
            </w:r>
            <w:r>
              <w:rPr>
                <w:i/>
                <w:sz w:val="16"/>
                <w:szCs w:val="16"/>
                <w:vertAlign w:val="subscript"/>
              </w:rPr>
              <w:t>i</w:t>
            </w:r>
            <w:proofErr w:type="spellEnd"/>
            <w:r>
              <w:rPr>
                <w:i/>
                <w:sz w:val="16"/>
                <w:szCs w:val="16"/>
              </w:rPr>
              <w:t xml:space="preserve"> in year t </w:t>
            </w:r>
            <w:r>
              <w:rPr>
                <w:i/>
                <w:sz w:val="16"/>
                <w:szCs w:val="16"/>
              </w:rPr>
              <w:br/>
            </w:r>
            <w:proofErr w:type="spellStart"/>
            <w:r w:rsidRPr="00CC3B41">
              <w:rPr>
                <w:i/>
                <w:sz w:val="16"/>
                <w:szCs w:val="16"/>
              </w:rPr>
              <w:t>EC</w:t>
            </w:r>
            <w:r>
              <w:rPr>
                <w:i/>
                <w:sz w:val="16"/>
                <w:szCs w:val="16"/>
                <w:vertAlign w:val="subscript"/>
              </w:rPr>
              <w:t>j</w:t>
            </w:r>
            <w:proofErr w:type="spellEnd"/>
            <w:r w:rsidRPr="00CC3B41">
              <w:rPr>
                <w:i/>
                <w:sz w:val="16"/>
                <w:szCs w:val="16"/>
              </w:rPr>
              <w:t xml:space="preserve"> = the energy content of fuel</w:t>
            </w:r>
            <w:r>
              <w:rPr>
                <w:i/>
                <w:sz w:val="16"/>
                <w:szCs w:val="16"/>
                <w:vertAlign w:val="subscript"/>
              </w:rPr>
              <w:t xml:space="preserve"> </w:t>
            </w:r>
            <w:r>
              <w:rPr>
                <w:i/>
                <w:sz w:val="16"/>
                <w:szCs w:val="16"/>
              </w:rPr>
              <w:t>j</w:t>
            </w:r>
            <w:r>
              <w:rPr>
                <w:i/>
                <w:sz w:val="16"/>
                <w:szCs w:val="16"/>
              </w:rPr>
              <w:br/>
            </w:r>
            <w:proofErr w:type="spellStart"/>
            <w:r w:rsidRPr="00CC3B41">
              <w:rPr>
                <w:i/>
                <w:sz w:val="16"/>
                <w:szCs w:val="16"/>
              </w:rPr>
              <w:t>EF</w:t>
            </w:r>
            <w:r>
              <w:rPr>
                <w:i/>
                <w:sz w:val="16"/>
                <w:szCs w:val="16"/>
                <w:vertAlign w:val="subscript"/>
              </w:rPr>
              <w:t>j</w:t>
            </w:r>
            <w:proofErr w:type="spellEnd"/>
            <w:r w:rsidRPr="00CC3B41">
              <w:rPr>
                <w:i/>
                <w:sz w:val="16"/>
                <w:szCs w:val="16"/>
              </w:rPr>
              <w:t xml:space="preserve"> = the emissions factor of fuel</w:t>
            </w:r>
            <w:r>
              <w:rPr>
                <w:i/>
                <w:sz w:val="16"/>
                <w:szCs w:val="16"/>
                <w:vertAlign w:val="subscript"/>
              </w:rPr>
              <w:t xml:space="preserve"> j</w:t>
            </w:r>
          </w:p>
        </w:tc>
      </w:tr>
      <w:tr w:rsidR="00731552" w:rsidRPr="00956380" w14:paraId="7A2DDFB8"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009F4A09" w14:textId="4E632015" w:rsidR="00731552" w:rsidRDefault="00731552" w:rsidP="00731552">
            <w:pPr>
              <w:spacing w:after="0" w:line="240" w:lineRule="auto"/>
              <w:rPr>
                <w:rFonts w:eastAsia="Times New Roman" w:cs="Arial"/>
                <w:b/>
                <w:i/>
                <w:color w:val="000000"/>
                <w:szCs w:val="20"/>
                <w:lang w:eastAsia="en-AU"/>
              </w:rPr>
            </w:pPr>
            <w:r>
              <w:t>O</w:t>
            </w:r>
            <w:r w:rsidRPr="00774171">
              <w:t>ther metal production</w:t>
            </w:r>
            <w:r>
              <w:t xml:space="preserve"> (copper, nickel and silicon)</w:t>
            </w:r>
          </w:p>
        </w:tc>
        <w:tc>
          <w:tcPr>
            <w:tcW w:w="2551"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79E7F569" w14:textId="33F64435" w:rsidR="00731552" w:rsidRDefault="00731552" w:rsidP="00731552">
            <w:r>
              <w:rPr>
                <w:rFonts w:eastAsia="Times New Roman" w:cs="Arial"/>
                <w:color w:val="000000"/>
                <w:szCs w:val="20"/>
                <w:lang w:eastAsia="en-AU"/>
              </w:rPr>
              <w:t xml:space="preserve">Production data from </w:t>
            </w:r>
            <w:r>
              <w:t>OCE 2017,</w:t>
            </w:r>
            <w:r>
              <w:rPr>
                <w:rFonts w:eastAsia="Times New Roman" w:cs="Arial"/>
                <w:color w:val="000000"/>
                <w:szCs w:val="20"/>
                <w:lang w:eastAsia="en-AU"/>
              </w:rPr>
              <w:t xml:space="preserve"> </w:t>
            </w:r>
            <w:r>
              <w:t>OCE 2017a, and AME Group’s industry analysis</w:t>
            </w:r>
          </w:p>
        </w:tc>
        <w:tc>
          <w:tcPr>
            <w:tcW w:w="3967"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7BB81FBE" w14:textId="77777777" w:rsidR="00A841F6" w:rsidRPr="00CC3B41" w:rsidRDefault="00A841F6" w:rsidP="00A841F6">
            <w:pPr>
              <w:rPr>
                <w:i/>
                <w:vertAlign w:val="superscript"/>
              </w:rPr>
            </w:pPr>
            <w:r w:rsidRPr="00CC3B41">
              <w:rPr>
                <w:i/>
              </w:rPr>
              <w:t>E</w:t>
            </w:r>
            <w:r>
              <w:rPr>
                <w:i/>
                <w:vertAlign w:val="subscript"/>
              </w:rPr>
              <w:t>t</w:t>
            </w:r>
            <w:r w:rsidRPr="00CC3B41">
              <w:rPr>
                <w:i/>
              </w:rPr>
              <w:t xml:space="preserve"> = </w:t>
            </w:r>
            <w:proofErr w:type="gramStart"/>
            <w:r w:rsidRPr="00CC3B41">
              <w:rPr>
                <w:rFonts w:cs="Arial"/>
                <w:i/>
              </w:rPr>
              <w:t>∑</w:t>
            </w:r>
            <w:r w:rsidRPr="00CC3B41">
              <w:rPr>
                <w:i/>
              </w:rPr>
              <w:t>(</w:t>
            </w:r>
            <w:proofErr w:type="gramEnd"/>
            <w:r w:rsidRPr="00CC3B41">
              <w:rPr>
                <w:i/>
              </w:rPr>
              <w:t xml:space="preserve"> [</w:t>
            </w:r>
            <w:proofErr w:type="spellStart"/>
            <w:r w:rsidRPr="00CC3B41">
              <w:rPr>
                <w:i/>
              </w:rPr>
              <w:t>U</w:t>
            </w:r>
            <w:r>
              <w:rPr>
                <w:i/>
                <w:vertAlign w:val="subscript"/>
              </w:rPr>
              <w:t>jit</w:t>
            </w:r>
            <w:proofErr w:type="spellEnd"/>
            <w:r w:rsidRPr="00CC3B41">
              <w:rPr>
                <w:i/>
              </w:rPr>
              <w:t xml:space="preserve"> </w:t>
            </w:r>
            <w:r w:rsidRPr="00CC3B41">
              <w:rPr>
                <w:b/>
                <w:i/>
              </w:rPr>
              <w:t>.</w:t>
            </w:r>
            <w:r w:rsidRPr="00CC3B41">
              <w:rPr>
                <w:i/>
              </w:rPr>
              <w:t xml:space="preserve"> </w:t>
            </w:r>
            <w:proofErr w:type="spellStart"/>
            <w:proofErr w:type="gramStart"/>
            <w:r w:rsidRPr="00CC3B41">
              <w:rPr>
                <w:i/>
              </w:rPr>
              <w:t>EC</w:t>
            </w:r>
            <w:r>
              <w:rPr>
                <w:i/>
                <w:vertAlign w:val="subscript"/>
              </w:rPr>
              <w:t>j</w:t>
            </w:r>
            <w:proofErr w:type="spellEnd"/>
            <w:r w:rsidRPr="00CC3B41">
              <w:rPr>
                <w:i/>
                <w:vertAlign w:val="subscript"/>
              </w:rPr>
              <w:t xml:space="preserve"> </w:t>
            </w:r>
            <w:r w:rsidRPr="00CC3B41">
              <w:rPr>
                <w:b/>
                <w:i/>
                <w:vertAlign w:val="subscript"/>
              </w:rPr>
              <w:t>.</w:t>
            </w:r>
            <w:proofErr w:type="gramEnd"/>
            <w:r w:rsidRPr="00CC3B41">
              <w:rPr>
                <w:i/>
                <w:vertAlign w:val="subscript"/>
              </w:rPr>
              <w:t xml:space="preserve"> </w:t>
            </w:r>
            <w:proofErr w:type="spellStart"/>
            <w:r w:rsidRPr="00CC3B41">
              <w:rPr>
                <w:i/>
              </w:rPr>
              <w:t>EF</w:t>
            </w:r>
            <w:r>
              <w:rPr>
                <w:i/>
                <w:vertAlign w:val="subscript"/>
              </w:rPr>
              <w:t>j</w:t>
            </w:r>
            <w:proofErr w:type="spellEnd"/>
            <w:r w:rsidRPr="00CC3B41">
              <w:rPr>
                <w:i/>
              </w:rPr>
              <w:t>])</w:t>
            </w:r>
          </w:p>
          <w:p w14:paraId="52BEBB8D" w14:textId="58042A1F" w:rsidR="00731552" w:rsidRDefault="00A841F6" w:rsidP="00731552">
            <w:pPr>
              <w:contextualSpacing/>
              <w:rPr>
                <w:i/>
              </w:rPr>
            </w:pPr>
            <w:r w:rsidRPr="00CC3B41">
              <w:rPr>
                <w:i/>
                <w:sz w:val="16"/>
                <w:szCs w:val="16"/>
              </w:rPr>
              <w:t xml:space="preserve">Where: </w:t>
            </w:r>
            <w:r>
              <w:rPr>
                <w:i/>
                <w:sz w:val="16"/>
                <w:szCs w:val="16"/>
              </w:rPr>
              <w:br/>
            </w:r>
            <w:r w:rsidRPr="00EE4997">
              <w:rPr>
                <w:i/>
                <w:sz w:val="16"/>
                <w:szCs w:val="16"/>
              </w:rPr>
              <w:t>E</w:t>
            </w:r>
            <w:r>
              <w:rPr>
                <w:i/>
                <w:sz w:val="16"/>
                <w:szCs w:val="16"/>
                <w:vertAlign w:val="subscript"/>
              </w:rPr>
              <w:t>t</w:t>
            </w:r>
            <w:r w:rsidRPr="00CC3B41">
              <w:rPr>
                <w:i/>
                <w:sz w:val="16"/>
                <w:szCs w:val="16"/>
              </w:rPr>
              <w:t xml:space="preserve"> = annual </w:t>
            </w:r>
            <w:r>
              <w:rPr>
                <w:i/>
                <w:sz w:val="16"/>
                <w:szCs w:val="16"/>
              </w:rPr>
              <w:t>emissions</w:t>
            </w:r>
            <w:r w:rsidRPr="00CC3B41">
              <w:rPr>
                <w:i/>
                <w:sz w:val="16"/>
                <w:szCs w:val="16"/>
              </w:rPr>
              <w:t xml:space="preserve"> </w:t>
            </w:r>
            <w:r>
              <w:rPr>
                <w:i/>
                <w:sz w:val="16"/>
                <w:szCs w:val="16"/>
              </w:rPr>
              <w:t>in year t (Mt CO</w:t>
            </w:r>
            <w:r w:rsidRPr="00DF47C3">
              <w:rPr>
                <w:i/>
                <w:sz w:val="16"/>
                <w:szCs w:val="16"/>
                <w:vertAlign w:val="subscript"/>
              </w:rPr>
              <w:t>2</w:t>
            </w:r>
            <w:r>
              <w:rPr>
                <w:i/>
                <w:sz w:val="16"/>
                <w:szCs w:val="16"/>
              </w:rPr>
              <w:t>-e)</w:t>
            </w:r>
            <w:r>
              <w:rPr>
                <w:i/>
                <w:sz w:val="16"/>
                <w:szCs w:val="16"/>
              </w:rPr>
              <w:br/>
            </w:r>
            <w:proofErr w:type="spellStart"/>
            <w:r w:rsidRPr="00CC3B41">
              <w:rPr>
                <w:i/>
                <w:sz w:val="16"/>
                <w:szCs w:val="16"/>
              </w:rPr>
              <w:t>U</w:t>
            </w:r>
            <w:r w:rsidRPr="00A841F6">
              <w:rPr>
                <w:i/>
                <w:sz w:val="16"/>
                <w:szCs w:val="16"/>
                <w:vertAlign w:val="subscript"/>
              </w:rPr>
              <w:t>j</w:t>
            </w:r>
            <w:r>
              <w:rPr>
                <w:i/>
                <w:sz w:val="16"/>
                <w:szCs w:val="16"/>
                <w:vertAlign w:val="subscript"/>
              </w:rPr>
              <w:t>it</w:t>
            </w:r>
            <w:proofErr w:type="spellEnd"/>
            <w:r>
              <w:rPr>
                <w:i/>
                <w:sz w:val="16"/>
                <w:szCs w:val="16"/>
                <w:vertAlign w:val="subscript"/>
              </w:rPr>
              <w:t>,</w:t>
            </w:r>
            <w:r w:rsidRPr="00CC3B41">
              <w:rPr>
                <w:i/>
                <w:sz w:val="16"/>
                <w:szCs w:val="16"/>
              </w:rPr>
              <w:t xml:space="preserve"> = the use of fuel</w:t>
            </w:r>
            <w:r>
              <w:rPr>
                <w:i/>
                <w:sz w:val="16"/>
                <w:szCs w:val="16"/>
                <w:vertAlign w:val="subscript"/>
              </w:rPr>
              <w:t xml:space="preserve"> </w:t>
            </w:r>
            <w:r>
              <w:rPr>
                <w:i/>
                <w:sz w:val="16"/>
                <w:szCs w:val="16"/>
              </w:rPr>
              <w:t>j</w:t>
            </w:r>
            <w:r w:rsidRPr="00CC3B41">
              <w:rPr>
                <w:i/>
                <w:sz w:val="16"/>
                <w:szCs w:val="16"/>
              </w:rPr>
              <w:t xml:space="preserve"> </w:t>
            </w:r>
            <w:r w:rsidRPr="00507585">
              <w:rPr>
                <w:i/>
                <w:sz w:val="16"/>
                <w:szCs w:val="16"/>
              </w:rPr>
              <w:t>as a reductant</w:t>
            </w:r>
            <w:r w:rsidRPr="00CC3B41">
              <w:rPr>
                <w:i/>
                <w:sz w:val="16"/>
                <w:szCs w:val="16"/>
              </w:rPr>
              <w:t xml:space="preserve"> at </w:t>
            </w:r>
            <w:proofErr w:type="spellStart"/>
            <w:r w:rsidRPr="00CC3B41">
              <w:rPr>
                <w:i/>
                <w:sz w:val="16"/>
                <w:szCs w:val="16"/>
              </w:rPr>
              <w:t>facility</w:t>
            </w:r>
            <w:r>
              <w:rPr>
                <w:i/>
                <w:sz w:val="16"/>
                <w:szCs w:val="16"/>
                <w:vertAlign w:val="subscript"/>
              </w:rPr>
              <w:t>i</w:t>
            </w:r>
            <w:proofErr w:type="spellEnd"/>
            <w:r>
              <w:rPr>
                <w:i/>
                <w:sz w:val="16"/>
                <w:szCs w:val="16"/>
              </w:rPr>
              <w:t xml:space="preserve"> in year t</w:t>
            </w:r>
            <w:r>
              <w:rPr>
                <w:i/>
                <w:sz w:val="16"/>
                <w:szCs w:val="16"/>
              </w:rPr>
              <w:br/>
            </w:r>
            <w:proofErr w:type="spellStart"/>
            <w:r w:rsidRPr="00CC3B41">
              <w:rPr>
                <w:i/>
                <w:sz w:val="16"/>
                <w:szCs w:val="16"/>
              </w:rPr>
              <w:t>EC</w:t>
            </w:r>
            <w:r>
              <w:rPr>
                <w:i/>
                <w:sz w:val="16"/>
                <w:szCs w:val="16"/>
                <w:vertAlign w:val="subscript"/>
              </w:rPr>
              <w:t>j</w:t>
            </w:r>
            <w:proofErr w:type="spellEnd"/>
            <w:r w:rsidRPr="00CC3B41">
              <w:rPr>
                <w:i/>
                <w:sz w:val="16"/>
                <w:szCs w:val="16"/>
              </w:rPr>
              <w:t xml:space="preserve"> = the energy content of fuel</w:t>
            </w:r>
            <w:r>
              <w:rPr>
                <w:i/>
                <w:sz w:val="16"/>
                <w:szCs w:val="16"/>
                <w:vertAlign w:val="subscript"/>
              </w:rPr>
              <w:t xml:space="preserve"> </w:t>
            </w:r>
            <w:r>
              <w:rPr>
                <w:i/>
                <w:sz w:val="16"/>
                <w:szCs w:val="16"/>
              </w:rPr>
              <w:t>j</w:t>
            </w:r>
            <w:r>
              <w:rPr>
                <w:i/>
                <w:sz w:val="16"/>
                <w:szCs w:val="16"/>
              </w:rPr>
              <w:br/>
            </w:r>
            <w:proofErr w:type="spellStart"/>
            <w:r w:rsidRPr="00CC3B41">
              <w:rPr>
                <w:i/>
                <w:sz w:val="16"/>
                <w:szCs w:val="16"/>
              </w:rPr>
              <w:t>EF</w:t>
            </w:r>
            <w:r>
              <w:rPr>
                <w:i/>
                <w:sz w:val="16"/>
                <w:szCs w:val="16"/>
                <w:vertAlign w:val="subscript"/>
              </w:rPr>
              <w:t>j</w:t>
            </w:r>
            <w:proofErr w:type="spellEnd"/>
            <w:r w:rsidRPr="00CC3B41">
              <w:rPr>
                <w:i/>
                <w:sz w:val="16"/>
                <w:szCs w:val="16"/>
              </w:rPr>
              <w:t xml:space="preserve"> = the emissions factor of fuel</w:t>
            </w:r>
            <w:r>
              <w:rPr>
                <w:i/>
                <w:sz w:val="16"/>
                <w:szCs w:val="16"/>
                <w:vertAlign w:val="subscript"/>
              </w:rPr>
              <w:t xml:space="preserve"> j</w:t>
            </w:r>
          </w:p>
        </w:tc>
      </w:tr>
      <w:tr w:rsidR="00731552" w:rsidRPr="00956380" w14:paraId="27AD2C47"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1B899E8C" w14:textId="054F20B4" w:rsidR="00731552" w:rsidRDefault="00731552" w:rsidP="00731552">
            <w:pPr>
              <w:spacing w:after="0" w:line="240" w:lineRule="auto"/>
              <w:rPr>
                <w:rFonts w:eastAsia="Times New Roman" w:cs="Arial"/>
                <w:b/>
                <w:i/>
                <w:color w:val="000000"/>
                <w:szCs w:val="20"/>
                <w:lang w:eastAsia="en-AU"/>
              </w:rPr>
            </w:pPr>
            <w:r>
              <w:rPr>
                <w:rFonts w:eastAsia="Times New Roman" w:cs="Arial"/>
                <w:b/>
                <w:i/>
                <w:color w:val="000000"/>
                <w:szCs w:val="20"/>
                <w:lang w:eastAsia="en-AU"/>
              </w:rPr>
              <w:t>Mineral Industry</w:t>
            </w:r>
          </w:p>
        </w:tc>
        <w:tc>
          <w:tcPr>
            <w:tcW w:w="2551"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09941889" w14:textId="77777777" w:rsidR="00731552" w:rsidRDefault="00731552" w:rsidP="00731552"/>
        </w:tc>
        <w:tc>
          <w:tcPr>
            <w:tcW w:w="3967"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117DF1AD" w14:textId="77777777" w:rsidR="00731552" w:rsidRDefault="00731552" w:rsidP="00731552">
            <w:pPr>
              <w:rPr>
                <w:i/>
              </w:rPr>
            </w:pPr>
          </w:p>
        </w:tc>
      </w:tr>
      <w:tr w:rsidR="00731552" w:rsidRPr="00956380" w14:paraId="279F5635"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tcPr>
          <w:p w14:paraId="5606270F" w14:textId="231C40BD" w:rsidR="00731552" w:rsidRPr="007F3B75" w:rsidRDefault="00731552" w:rsidP="00731552">
            <w:pPr>
              <w:spacing w:after="0" w:line="240" w:lineRule="auto"/>
              <w:rPr>
                <w:rFonts w:eastAsia="Times New Roman" w:cs="Arial"/>
                <w:b/>
                <w:i/>
                <w:color w:val="000000"/>
                <w:szCs w:val="20"/>
                <w:lang w:eastAsia="en-AU"/>
              </w:rPr>
            </w:pPr>
            <w:r>
              <w:t xml:space="preserve">Cement </w:t>
            </w:r>
          </w:p>
        </w:tc>
        <w:tc>
          <w:tcPr>
            <w:tcW w:w="2551" w:type="dxa"/>
            <w:vMerge w:val="restart"/>
            <w:tcBorders>
              <w:top w:val="nil"/>
              <w:left w:val="nil"/>
              <w:right w:val="single" w:sz="8" w:space="0" w:color="FFFFFF"/>
            </w:tcBorders>
            <w:shd w:val="clear" w:color="auto" w:fill="DBE5F1" w:themeFill="accent1" w:themeFillTint="33"/>
            <w:vAlign w:val="center"/>
          </w:tcPr>
          <w:p w14:paraId="32F27976" w14:textId="77777777" w:rsidR="009A1E75" w:rsidRDefault="009A1E75" w:rsidP="00731552">
            <w:r>
              <w:t xml:space="preserve">Production from IBISWorld </w:t>
            </w:r>
            <w:r w:rsidRPr="00D81674">
              <w:rPr>
                <w:rFonts w:cs="Arial"/>
              </w:rPr>
              <w:t>industry report</w:t>
            </w:r>
          </w:p>
          <w:p w14:paraId="45155C1E" w14:textId="2B477853" w:rsidR="00731552" w:rsidRDefault="00731552" w:rsidP="00731552"/>
        </w:tc>
        <w:tc>
          <w:tcPr>
            <w:tcW w:w="3967" w:type="dxa"/>
            <w:vMerge w:val="restart"/>
            <w:tcBorders>
              <w:top w:val="nil"/>
              <w:left w:val="nil"/>
              <w:right w:val="single" w:sz="8" w:space="0" w:color="FFFFFF"/>
            </w:tcBorders>
            <w:shd w:val="clear" w:color="auto" w:fill="DBE5F1" w:themeFill="accent1" w:themeFillTint="33"/>
            <w:vAlign w:val="center"/>
          </w:tcPr>
          <w:p w14:paraId="6BE85613" w14:textId="77777777" w:rsidR="00A512BA" w:rsidRDefault="00A512BA" w:rsidP="00A512BA">
            <w:pPr>
              <w:rPr>
                <w:i/>
                <w:vertAlign w:val="superscript"/>
              </w:rPr>
            </w:pPr>
            <w:r>
              <w:rPr>
                <w:i/>
              </w:rPr>
              <w:t>E</w:t>
            </w:r>
            <w:r>
              <w:rPr>
                <w:i/>
                <w:vertAlign w:val="subscript"/>
              </w:rPr>
              <w:t>t</w:t>
            </w:r>
            <w:r>
              <w:rPr>
                <w:i/>
              </w:rPr>
              <w:t xml:space="preserve"> = </w:t>
            </w:r>
            <w:proofErr w:type="gramStart"/>
            <w:r>
              <w:rPr>
                <w:rFonts w:cs="Arial"/>
                <w:i/>
              </w:rPr>
              <w:t>∑</w:t>
            </w:r>
            <w:r>
              <w:rPr>
                <w:i/>
              </w:rPr>
              <w:t>(</w:t>
            </w:r>
            <w:proofErr w:type="gramEnd"/>
            <w:r>
              <w:rPr>
                <w:i/>
              </w:rPr>
              <w:t xml:space="preserve"> [</w:t>
            </w:r>
            <w:proofErr w:type="spellStart"/>
            <w:r>
              <w:rPr>
                <w:i/>
              </w:rPr>
              <w:t>EF</w:t>
            </w:r>
            <w:r>
              <w:rPr>
                <w:i/>
                <w:vertAlign w:val="subscript"/>
              </w:rPr>
              <w:t>i</w:t>
            </w:r>
            <w:proofErr w:type="spellEnd"/>
            <w:r>
              <w:rPr>
                <w:i/>
              </w:rPr>
              <w:t xml:space="preserve"> </w:t>
            </w:r>
            <w:r w:rsidRPr="009E12A6">
              <w:rPr>
                <w:b/>
                <w:i/>
              </w:rPr>
              <w:t>.</w:t>
            </w:r>
            <w:r>
              <w:rPr>
                <w:i/>
              </w:rPr>
              <w:t xml:space="preserve"> P</w:t>
            </w:r>
            <w:r>
              <w:rPr>
                <w:i/>
                <w:vertAlign w:val="subscript"/>
              </w:rPr>
              <w:t>it</w:t>
            </w:r>
            <w:r>
              <w:rPr>
                <w:i/>
              </w:rPr>
              <w:t>]</w:t>
            </w:r>
            <w:r w:rsidRPr="009E12A6">
              <w:rPr>
                <w:i/>
              </w:rPr>
              <w:t>)</w:t>
            </w:r>
          </w:p>
          <w:p w14:paraId="5F7BB36D" w14:textId="6E64D5F2" w:rsidR="00731552" w:rsidRDefault="00A512BA" w:rsidP="00A512BA">
            <w:pPr>
              <w:rPr>
                <w:i/>
              </w:rPr>
            </w:pPr>
            <w:r w:rsidRPr="007773F3">
              <w:rPr>
                <w:i/>
                <w:sz w:val="16"/>
                <w:szCs w:val="16"/>
              </w:rPr>
              <w:t xml:space="preserve">Where: </w:t>
            </w:r>
            <w:r>
              <w:rPr>
                <w:i/>
                <w:sz w:val="16"/>
                <w:szCs w:val="16"/>
              </w:rPr>
              <w:br/>
            </w:r>
            <w:r w:rsidRPr="007773F3">
              <w:rPr>
                <w:i/>
                <w:sz w:val="16"/>
                <w:szCs w:val="16"/>
              </w:rPr>
              <w:t>E</w:t>
            </w:r>
            <w:r>
              <w:rPr>
                <w:i/>
                <w:sz w:val="16"/>
                <w:szCs w:val="16"/>
                <w:vertAlign w:val="subscript"/>
              </w:rPr>
              <w:t>t</w:t>
            </w:r>
            <w:r w:rsidRPr="007773F3">
              <w:rPr>
                <w:i/>
                <w:sz w:val="16"/>
                <w:szCs w:val="16"/>
              </w:rPr>
              <w:t xml:space="preserve"> = </w:t>
            </w:r>
            <w:r>
              <w:rPr>
                <w:i/>
                <w:sz w:val="16"/>
                <w:szCs w:val="16"/>
              </w:rPr>
              <w:t>annual emissions in year t (Mt CO</w:t>
            </w:r>
            <w:r w:rsidRPr="00DF47C3">
              <w:rPr>
                <w:i/>
                <w:sz w:val="16"/>
                <w:szCs w:val="16"/>
                <w:vertAlign w:val="subscript"/>
              </w:rPr>
              <w:t>2</w:t>
            </w:r>
            <w:r>
              <w:rPr>
                <w:i/>
                <w:sz w:val="16"/>
                <w:szCs w:val="16"/>
              </w:rPr>
              <w:t>-e)</w:t>
            </w:r>
            <w:r>
              <w:rPr>
                <w:i/>
                <w:sz w:val="16"/>
                <w:szCs w:val="16"/>
              </w:rPr>
              <w:br/>
            </w:r>
            <w:proofErr w:type="spellStart"/>
            <w:r w:rsidRPr="007773F3">
              <w:rPr>
                <w:i/>
                <w:sz w:val="16"/>
                <w:szCs w:val="16"/>
              </w:rPr>
              <w:t>EF</w:t>
            </w:r>
            <w:r>
              <w:rPr>
                <w:i/>
                <w:sz w:val="16"/>
                <w:szCs w:val="16"/>
                <w:vertAlign w:val="subscript"/>
              </w:rPr>
              <w:t>i</w:t>
            </w:r>
            <w:proofErr w:type="spellEnd"/>
            <w:r w:rsidRPr="007773F3">
              <w:rPr>
                <w:i/>
                <w:sz w:val="16"/>
                <w:szCs w:val="16"/>
              </w:rPr>
              <w:t xml:space="preserve"> = </w:t>
            </w:r>
            <w:r>
              <w:rPr>
                <w:i/>
                <w:sz w:val="16"/>
                <w:szCs w:val="16"/>
              </w:rPr>
              <w:t>facility-specific emissions factor</w:t>
            </w:r>
            <w:r>
              <w:rPr>
                <w:i/>
                <w:sz w:val="16"/>
                <w:szCs w:val="16"/>
              </w:rPr>
              <w:br/>
            </w:r>
            <w:r w:rsidRPr="007773F3">
              <w:rPr>
                <w:i/>
                <w:sz w:val="16"/>
                <w:szCs w:val="16"/>
              </w:rPr>
              <w:t>P</w:t>
            </w:r>
            <w:r>
              <w:rPr>
                <w:i/>
                <w:sz w:val="16"/>
                <w:szCs w:val="16"/>
                <w:vertAlign w:val="subscript"/>
              </w:rPr>
              <w:t>it</w:t>
            </w:r>
            <w:r w:rsidRPr="007773F3">
              <w:rPr>
                <w:i/>
                <w:sz w:val="16"/>
                <w:szCs w:val="16"/>
              </w:rPr>
              <w:t xml:space="preserve"> = </w:t>
            </w:r>
            <w:r>
              <w:rPr>
                <w:i/>
                <w:sz w:val="16"/>
                <w:szCs w:val="16"/>
              </w:rPr>
              <w:t xml:space="preserve">annual </w:t>
            </w:r>
            <w:r w:rsidRPr="007773F3">
              <w:rPr>
                <w:i/>
                <w:sz w:val="16"/>
                <w:szCs w:val="16"/>
              </w:rPr>
              <w:t xml:space="preserve">production at </w:t>
            </w:r>
            <w:proofErr w:type="spellStart"/>
            <w:r w:rsidRPr="007773F3">
              <w:rPr>
                <w:i/>
                <w:sz w:val="16"/>
                <w:szCs w:val="16"/>
              </w:rPr>
              <w:t>facility</w:t>
            </w:r>
            <w:r w:rsidRPr="007773F3">
              <w:rPr>
                <w:i/>
                <w:sz w:val="16"/>
                <w:szCs w:val="16"/>
                <w:vertAlign w:val="subscript"/>
              </w:rPr>
              <w:t>i</w:t>
            </w:r>
            <w:proofErr w:type="spellEnd"/>
            <w:r>
              <w:rPr>
                <w:i/>
                <w:sz w:val="16"/>
                <w:szCs w:val="16"/>
                <w:vertAlign w:val="subscript"/>
              </w:rPr>
              <w:t xml:space="preserve"> </w:t>
            </w:r>
            <w:r>
              <w:rPr>
                <w:i/>
                <w:sz w:val="16"/>
                <w:szCs w:val="16"/>
              </w:rPr>
              <w:t>in year t</w:t>
            </w:r>
          </w:p>
        </w:tc>
      </w:tr>
      <w:tr w:rsidR="00731552" w:rsidRPr="00956380" w14:paraId="0AF157F7"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tcPr>
          <w:p w14:paraId="1E5D59C4" w14:textId="755D83C7" w:rsidR="00731552" w:rsidRPr="007F3B75" w:rsidRDefault="00731552" w:rsidP="00731552">
            <w:pPr>
              <w:spacing w:after="0" w:line="240" w:lineRule="auto"/>
              <w:rPr>
                <w:rFonts w:eastAsia="Times New Roman" w:cs="Arial"/>
                <w:b/>
                <w:i/>
                <w:color w:val="000000"/>
                <w:szCs w:val="20"/>
                <w:lang w:eastAsia="en-AU"/>
              </w:rPr>
            </w:pPr>
            <w:r>
              <w:t xml:space="preserve">Lime </w:t>
            </w:r>
          </w:p>
        </w:tc>
        <w:tc>
          <w:tcPr>
            <w:tcW w:w="2551" w:type="dxa"/>
            <w:vMerge/>
            <w:tcBorders>
              <w:left w:val="nil"/>
              <w:bottom w:val="single" w:sz="4" w:space="0" w:color="FFFFFF" w:themeColor="background1"/>
              <w:right w:val="single" w:sz="8" w:space="0" w:color="FFFFFF"/>
            </w:tcBorders>
            <w:shd w:val="clear" w:color="auto" w:fill="DBE5F1" w:themeFill="accent1" w:themeFillTint="33"/>
            <w:vAlign w:val="center"/>
          </w:tcPr>
          <w:p w14:paraId="7E4979F5" w14:textId="6F551167" w:rsidR="00731552" w:rsidRDefault="00731552" w:rsidP="00731552"/>
        </w:tc>
        <w:tc>
          <w:tcPr>
            <w:tcW w:w="3967" w:type="dxa"/>
            <w:vMerge/>
            <w:tcBorders>
              <w:left w:val="nil"/>
              <w:bottom w:val="single" w:sz="4" w:space="0" w:color="FFFFFF" w:themeColor="background1"/>
              <w:right w:val="single" w:sz="8" w:space="0" w:color="FFFFFF"/>
            </w:tcBorders>
            <w:shd w:val="clear" w:color="auto" w:fill="DBE5F1" w:themeFill="accent1" w:themeFillTint="33"/>
            <w:vAlign w:val="center"/>
          </w:tcPr>
          <w:p w14:paraId="63D8B053" w14:textId="77777777" w:rsidR="00731552" w:rsidRPr="00EE4997" w:rsidRDefault="00731552" w:rsidP="00731552">
            <w:pPr>
              <w:rPr>
                <w:i/>
              </w:rPr>
            </w:pPr>
          </w:p>
        </w:tc>
      </w:tr>
      <w:tr w:rsidR="00731552" w:rsidRPr="00956380" w14:paraId="5840573E"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tcPr>
          <w:p w14:paraId="26EDBB02" w14:textId="1F956BAC" w:rsidR="00731552" w:rsidRPr="00484C3E" w:rsidRDefault="00731552" w:rsidP="00731552">
            <w:pPr>
              <w:spacing w:after="0" w:line="240" w:lineRule="auto"/>
              <w:rPr>
                <w:rFonts w:eastAsia="Times New Roman" w:cs="Arial"/>
                <w:color w:val="000000"/>
                <w:szCs w:val="20"/>
                <w:lang w:eastAsia="en-AU"/>
              </w:rPr>
            </w:pPr>
            <w:r>
              <w:t>Limestone and dolomite and other carbonates</w:t>
            </w:r>
          </w:p>
        </w:tc>
        <w:tc>
          <w:tcPr>
            <w:tcW w:w="2551"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5FAA68B8" w14:textId="2CB80D2D" w:rsidR="00731552" w:rsidRPr="00484C3E" w:rsidRDefault="00FD08A5" w:rsidP="00731552">
            <w:pPr>
              <w:spacing w:after="0" w:line="240" w:lineRule="auto"/>
              <w:rPr>
                <w:rFonts w:eastAsia="Times New Roman" w:cs="Arial"/>
                <w:color w:val="000000"/>
                <w:szCs w:val="20"/>
                <w:lang w:eastAsia="en-AU"/>
              </w:rPr>
            </w:pPr>
            <w:proofErr w:type="spellStart"/>
            <w:r>
              <w:rPr>
                <w:rFonts w:eastAsia="Times New Roman" w:cs="Arial"/>
                <w:color w:val="000000"/>
                <w:szCs w:val="20"/>
                <w:lang w:eastAsia="en-AU"/>
              </w:rPr>
              <w:t>DoEE</w:t>
            </w:r>
            <w:proofErr w:type="spellEnd"/>
            <w:r>
              <w:rPr>
                <w:rFonts w:eastAsia="Times New Roman" w:cs="Arial"/>
                <w:color w:val="000000"/>
                <w:szCs w:val="20"/>
                <w:lang w:eastAsia="en-AU"/>
              </w:rPr>
              <w:t xml:space="preserve"> estimates based on projected ceramics, ferroalloy production, glass production, iron and steel production and zinc production</w:t>
            </w:r>
            <w:r w:rsidDel="00731552">
              <w:t xml:space="preserve"> </w:t>
            </w:r>
          </w:p>
        </w:tc>
        <w:tc>
          <w:tcPr>
            <w:tcW w:w="3967"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21AA2738" w14:textId="77777777" w:rsidR="00205E6D" w:rsidRPr="00CE2775" w:rsidRDefault="00205E6D" w:rsidP="00205E6D">
            <w:pPr>
              <w:rPr>
                <w:rFonts w:cs="Arial"/>
                <w:i/>
              </w:rPr>
            </w:pPr>
            <w:r w:rsidRPr="00CE2775">
              <w:rPr>
                <w:rFonts w:cs="Arial"/>
                <w:i/>
              </w:rPr>
              <w:t>E</w:t>
            </w:r>
            <w:r w:rsidRPr="00CE2775">
              <w:rPr>
                <w:rFonts w:cs="Arial"/>
                <w:i/>
                <w:vertAlign w:val="subscript"/>
              </w:rPr>
              <w:t>t</w:t>
            </w:r>
            <w:r w:rsidRPr="00CE2775">
              <w:rPr>
                <w:rFonts w:cs="Arial"/>
                <w:i/>
              </w:rPr>
              <w:t xml:space="preserve"> = E</w:t>
            </w:r>
            <w:r w:rsidRPr="00CE2775">
              <w:rPr>
                <w:rFonts w:cs="Arial"/>
                <w:i/>
                <w:vertAlign w:val="subscript"/>
              </w:rPr>
              <w:t xml:space="preserve">t-1 </w:t>
            </w:r>
            <w:r w:rsidRPr="00CE2775">
              <w:rPr>
                <w:rFonts w:cs="Arial"/>
                <w:b/>
                <w:i/>
              </w:rPr>
              <w:t>*</w:t>
            </w:r>
            <w:r w:rsidRPr="00CE2775">
              <w:rPr>
                <w:rFonts w:cs="Arial"/>
                <w:i/>
              </w:rPr>
              <w:t xml:space="preserve"> </w:t>
            </w:r>
            <w:r w:rsidRPr="00731552">
              <w:rPr>
                <w:rFonts w:cs="Arial"/>
                <w:i/>
              </w:rPr>
              <w:t>Δ</w:t>
            </w:r>
            <w:r w:rsidRPr="00CE2775">
              <w:rPr>
                <w:rFonts w:cs="Arial"/>
                <w:i/>
              </w:rPr>
              <w:t xml:space="preserve"> Production</w:t>
            </w:r>
          </w:p>
          <w:p w14:paraId="1DD039A6" w14:textId="4E95B881" w:rsidR="00731552" w:rsidRPr="00763307" w:rsidRDefault="00205E6D" w:rsidP="00731552">
            <w:pPr>
              <w:spacing w:after="120" w:line="240" w:lineRule="auto"/>
              <w:rPr>
                <w:rFonts w:eastAsia="Times New Roman" w:cs="Arial"/>
                <w:color w:val="000000"/>
                <w:sz w:val="16"/>
                <w:szCs w:val="16"/>
                <w:lang w:eastAsia="en-AU"/>
              </w:rPr>
            </w:pPr>
            <w:r w:rsidRPr="00CE2775">
              <w:rPr>
                <w:rFonts w:cs="Arial"/>
                <w:i/>
                <w:sz w:val="16"/>
                <w:szCs w:val="16"/>
              </w:rPr>
              <w:t xml:space="preserve">Where: </w:t>
            </w:r>
            <w:r w:rsidRPr="00CE2775">
              <w:rPr>
                <w:rFonts w:cs="Arial"/>
                <w:i/>
                <w:sz w:val="16"/>
                <w:szCs w:val="16"/>
              </w:rPr>
              <w:br/>
              <w:t>E</w:t>
            </w:r>
            <w:r w:rsidRPr="00CE2775">
              <w:rPr>
                <w:rFonts w:cs="Arial"/>
                <w:i/>
                <w:sz w:val="16"/>
                <w:szCs w:val="16"/>
                <w:vertAlign w:val="subscript"/>
              </w:rPr>
              <w:t>t</w:t>
            </w:r>
            <w:r w:rsidRPr="00CE2775">
              <w:rPr>
                <w:rFonts w:cs="Arial"/>
                <w:i/>
                <w:sz w:val="16"/>
                <w:szCs w:val="16"/>
              </w:rPr>
              <w:t xml:space="preserve"> = emissions in year t</w:t>
            </w:r>
            <w:r w:rsidR="00FB329E">
              <w:rPr>
                <w:rFonts w:cs="Arial"/>
                <w:i/>
                <w:sz w:val="16"/>
                <w:szCs w:val="16"/>
                <w:vertAlign w:val="subscript"/>
              </w:rPr>
              <w:t xml:space="preserve"> </w:t>
            </w:r>
            <w:r w:rsidRPr="00CE2775">
              <w:rPr>
                <w:rFonts w:cs="Arial"/>
                <w:i/>
                <w:sz w:val="16"/>
                <w:szCs w:val="16"/>
              </w:rPr>
              <w:t>(Mt CO</w:t>
            </w:r>
            <w:r w:rsidRPr="00CE2775">
              <w:rPr>
                <w:rFonts w:cs="Arial"/>
                <w:i/>
                <w:sz w:val="16"/>
                <w:szCs w:val="16"/>
                <w:vertAlign w:val="subscript"/>
              </w:rPr>
              <w:t>2</w:t>
            </w:r>
            <w:r w:rsidRPr="008142E3">
              <w:rPr>
                <w:rFonts w:cs="Arial"/>
                <w:i/>
                <w:sz w:val="16"/>
                <w:szCs w:val="16"/>
              </w:rPr>
              <w:t>-e)</w:t>
            </w:r>
            <w:r w:rsidRPr="008142E3">
              <w:rPr>
                <w:rFonts w:cs="Arial"/>
                <w:i/>
                <w:sz w:val="16"/>
                <w:szCs w:val="16"/>
              </w:rPr>
              <w:br/>
              <w:t>E</w:t>
            </w:r>
            <w:r w:rsidRPr="008142E3">
              <w:rPr>
                <w:rFonts w:cs="Arial"/>
                <w:i/>
                <w:sz w:val="16"/>
                <w:szCs w:val="16"/>
                <w:vertAlign w:val="subscript"/>
              </w:rPr>
              <w:t>t-1</w:t>
            </w:r>
            <w:r w:rsidRPr="008142E3">
              <w:rPr>
                <w:rFonts w:cs="Arial"/>
                <w:i/>
                <w:sz w:val="16"/>
                <w:szCs w:val="16"/>
              </w:rPr>
              <w:t xml:space="preserve"> = emissions in the previous year</w:t>
            </w:r>
            <w:r w:rsidRPr="008142E3">
              <w:rPr>
                <w:rFonts w:cs="Arial"/>
                <w:i/>
                <w:sz w:val="16"/>
                <w:szCs w:val="16"/>
              </w:rPr>
              <w:br/>
            </w:r>
            <w:r w:rsidRPr="00731552">
              <w:rPr>
                <w:rFonts w:cs="Arial"/>
                <w:i/>
                <w:sz w:val="16"/>
                <w:szCs w:val="16"/>
              </w:rPr>
              <w:t>Δ</w:t>
            </w:r>
            <w:r w:rsidRPr="00CE2775">
              <w:rPr>
                <w:rFonts w:cs="Arial"/>
                <w:i/>
                <w:sz w:val="16"/>
                <w:szCs w:val="16"/>
                <w:vertAlign w:val="subscript"/>
              </w:rPr>
              <w:t xml:space="preserve"> </w:t>
            </w:r>
            <w:r w:rsidRPr="00CE2775">
              <w:rPr>
                <w:rFonts w:cs="Arial"/>
                <w:i/>
                <w:sz w:val="16"/>
                <w:szCs w:val="16"/>
              </w:rPr>
              <w:t>Production = percentage change in production between year t and year t-1</w:t>
            </w:r>
            <w:r w:rsidRPr="00EE4997" w:rsidDel="00731552">
              <w:rPr>
                <w:i/>
              </w:rPr>
              <w:t xml:space="preserve"> </w:t>
            </w:r>
          </w:p>
        </w:tc>
      </w:tr>
      <w:tr w:rsidR="00E818E2" w:rsidRPr="00956380" w14:paraId="35120561" w14:textId="77777777" w:rsidTr="002F79A9">
        <w:trPr>
          <w:trHeight w:val="315"/>
        </w:trPr>
        <w:tc>
          <w:tcPr>
            <w:tcW w:w="2586"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54EC217B" w14:textId="3D6FC4C9" w:rsidR="00E818E2" w:rsidRDefault="00E818E2" w:rsidP="00E818E2">
            <w:pPr>
              <w:spacing w:after="0" w:line="240" w:lineRule="auto"/>
              <w:rPr>
                <w:rFonts w:eastAsia="Times New Roman" w:cs="Arial"/>
                <w:color w:val="000000"/>
                <w:szCs w:val="20"/>
                <w:lang w:eastAsia="en-AU"/>
              </w:rPr>
            </w:pPr>
            <w:r>
              <w:rPr>
                <w:b/>
                <w:i/>
              </w:rPr>
              <w:t>Non-energy products from fuel and solvent use</w:t>
            </w:r>
            <w:r w:rsidDel="00731552">
              <w:rPr>
                <w:rFonts w:eastAsia="Times New Roman" w:cs="Arial"/>
                <w:color w:val="000000"/>
                <w:szCs w:val="20"/>
                <w:lang w:eastAsia="en-AU"/>
              </w:rPr>
              <w:t xml:space="preserve"> </w:t>
            </w:r>
          </w:p>
        </w:tc>
        <w:tc>
          <w:tcPr>
            <w:tcW w:w="2551"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01CD5B42" w14:textId="77777777" w:rsidR="00E818E2" w:rsidDel="00731552" w:rsidRDefault="00E818E2" w:rsidP="00E818E2">
            <w:pPr>
              <w:spacing w:after="0" w:line="240" w:lineRule="auto"/>
            </w:pPr>
          </w:p>
        </w:tc>
        <w:tc>
          <w:tcPr>
            <w:tcW w:w="3967"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3E3291D9" w14:textId="7A698712" w:rsidR="00E818E2" w:rsidRDefault="00E818E2" w:rsidP="00E818E2">
            <w:pPr>
              <w:spacing w:after="120" w:line="240" w:lineRule="auto"/>
              <w:rPr>
                <w:i/>
              </w:rPr>
            </w:pPr>
          </w:p>
        </w:tc>
      </w:tr>
      <w:tr w:rsidR="00E818E2" w:rsidRPr="00956380" w14:paraId="39443F6F" w14:textId="77777777" w:rsidTr="002F79A9">
        <w:trPr>
          <w:trHeight w:val="315"/>
        </w:trPr>
        <w:tc>
          <w:tcPr>
            <w:tcW w:w="2586"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3B3641DE" w14:textId="5D3CA3EC" w:rsidR="00E818E2" w:rsidRDefault="00E818E2" w:rsidP="00E818E2">
            <w:pPr>
              <w:spacing w:after="0" w:line="240" w:lineRule="auto"/>
              <w:rPr>
                <w:rFonts w:eastAsia="Times New Roman" w:cs="Arial"/>
                <w:color w:val="000000"/>
                <w:szCs w:val="20"/>
                <w:lang w:eastAsia="en-AU"/>
              </w:rPr>
            </w:pPr>
            <w:r>
              <w:t>Lubricant use</w:t>
            </w:r>
            <w:r w:rsidDel="00731552">
              <w:rPr>
                <w:rFonts w:eastAsia="Times New Roman" w:cs="Arial"/>
                <w:color w:val="000000"/>
                <w:szCs w:val="20"/>
                <w:lang w:eastAsia="en-AU"/>
              </w:rPr>
              <w:t xml:space="preserve"> </w:t>
            </w:r>
          </w:p>
        </w:tc>
        <w:tc>
          <w:tcPr>
            <w:tcW w:w="2551"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2B89AC21" w14:textId="4A626DF4" w:rsidR="00E818E2" w:rsidDel="00731552" w:rsidRDefault="006C7D2D" w:rsidP="00E818E2">
            <w:pPr>
              <w:spacing w:after="0" w:line="240" w:lineRule="auto"/>
            </w:pPr>
            <w:r>
              <w:t>n/a</w:t>
            </w:r>
          </w:p>
        </w:tc>
        <w:tc>
          <w:tcPr>
            <w:tcW w:w="3967"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468BE5A0" w14:textId="3CAEF908" w:rsidR="00E818E2" w:rsidRDefault="00E818E2" w:rsidP="00E818E2">
            <w:pPr>
              <w:rPr>
                <w:i/>
                <w:vertAlign w:val="superscript"/>
              </w:rPr>
            </w:pPr>
            <w:r>
              <w:rPr>
                <w:i/>
              </w:rPr>
              <w:t>E</w:t>
            </w:r>
            <w:r>
              <w:rPr>
                <w:i/>
                <w:vertAlign w:val="subscript"/>
              </w:rPr>
              <w:t>t</w:t>
            </w:r>
            <w:r>
              <w:rPr>
                <w:i/>
              </w:rPr>
              <w:t xml:space="preserve"> = E</w:t>
            </w:r>
            <w:r>
              <w:rPr>
                <w:i/>
                <w:vertAlign w:val="subscript"/>
              </w:rPr>
              <w:t>t-1</w:t>
            </w:r>
            <w:r>
              <w:rPr>
                <w:i/>
              </w:rPr>
              <w:t xml:space="preserve"> </w:t>
            </w:r>
          </w:p>
          <w:p w14:paraId="5B9D3698" w14:textId="3672228A" w:rsidR="00E818E2" w:rsidDel="00731552" w:rsidRDefault="00E818E2">
            <w:pPr>
              <w:spacing w:after="120" w:line="240" w:lineRule="auto"/>
              <w:rPr>
                <w:i/>
              </w:rPr>
            </w:pPr>
            <w:r w:rsidRPr="007773F3">
              <w:rPr>
                <w:i/>
                <w:sz w:val="16"/>
                <w:szCs w:val="16"/>
              </w:rPr>
              <w:t>Where: E</w:t>
            </w:r>
            <w:r>
              <w:rPr>
                <w:i/>
                <w:sz w:val="16"/>
                <w:szCs w:val="16"/>
                <w:vertAlign w:val="subscript"/>
              </w:rPr>
              <w:t>t</w:t>
            </w:r>
            <w:r w:rsidRPr="007773F3">
              <w:rPr>
                <w:i/>
                <w:sz w:val="16"/>
                <w:szCs w:val="16"/>
              </w:rPr>
              <w:t xml:space="preserve"> = </w:t>
            </w:r>
            <w:r>
              <w:rPr>
                <w:i/>
                <w:sz w:val="16"/>
                <w:szCs w:val="16"/>
              </w:rPr>
              <w:t xml:space="preserve">annual </w:t>
            </w:r>
            <w:r w:rsidRPr="007773F3">
              <w:rPr>
                <w:i/>
                <w:sz w:val="16"/>
                <w:szCs w:val="16"/>
              </w:rPr>
              <w:t>emissions</w:t>
            </w:r>
            <w:r>
              <w:rPr>
                <w:i/>
                <w:sz w:val="16"/>
                <w:szCs w:val="16"/>
              </w:rPr>
              <w:t xml:space="preserve"> in year t, </w:t>
            </w:r>
            <w:r w:rsidR="00545B31">
              <w:rPr>
                <w:i/>
                <w:sz w:val="16"/>
                <w:szCs w:val="16"/>
              </w:rPr>
              <w:br/>
            </w:r>
            <w:r>
              <w:rPr>
                <w:i/>
                <w:sz w:val="16"/>
                <w:szCs w:val="16"/>
              </w:rPr>
              <w:t>E</w:t>
            </w:r>
            <w:r>
              <w:rPr>
                <w:i/>
                <w:sz w:val="16"/>
                <w:szCs w:val="16"/>
                <w:vertAlign w:val="subscript"/>
              </w:rPr>
              <w:t>t-1</w:t>
            </w:r>
            <w:r w:rsidRPr="007773F3">
              <w:rPr>
                <w:i/>
                <w:sz w:val="16"/>
                <w:szCs w:val="16"/>
              </w:rPr>
              <w:t xml:space="preserve"> = emissions </w:t>
            </w:r>
            <w:r>
              <w:rPr>
                <w:i/>
                <w:sz w:val="16"/>
                <w:szCs w:val="16"/>
              </w:rPr>
              <w:t>in the previous year</w:t>
            </w:r>
            <w:r w:rsidRPr="00CC3B41" w:rsidDel="00731552">
              <w:rPr>
                <w:i/>
              </w:rPr>
              <w:t xml:space="preserve"> </w:t>
            </w:r>
          </w:p>
        </w:tc>
      </w:tr>
      <w:tr w:rsidR="003872D2" w:rsidRPr="00956380" w14:paraId="42221D7A" w14:textId="77777777" w:rsidTr="002F79A9">
        <w:trPr>
          <w:trHeight w:val="315"/>
        </w:trPr>
        <w:tc>
          <w:tcPr>
            <w:tcW w:w="2586"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2294D12E" w14:textId="19D05CE3" w:rsidR="003872D2" w:rsidRPr="00FB329E" w:rsidRDefault="003872D2" w:rsidP="00E818E2">
            <w:pPr>
              <w:spacing w:after="0" w:line="240" w:lineRule="auto"/>
              <w:rPr>
                <w:b/>
              </w:rPr>
            </w:pPr>
            <w:r w:rsidRPr="00FB329E">
              <w:rPr>
                <w:b/>
              </w:rPr>
              <w:t>Product uses as a substitute for ozone depleting substances</w:t>
            </w:r>
          </w:p>
        </w:tc>
        <w:tc>
          <w:tcPr>
            <w:tcW w:w="2551"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42299453" w14:textId="6FB5F355" w:rsidR="003872D2" w:rsidRDefault="003872D2" w:rsidP="008B4AC5">
            <w:pPr>
              <w:spacing w:after="0" w:line="240" w:lineRule="auto"/>
            </w:pPr>
            <w:proofErr w:type="spellStart"/>
            <w:r>
              <w:t>DoEE</w:t>
            </w:r>
            <w:proofErr w:type="spellEnd"/>
            <w:r>
              <w:t xml:space="preserve"> 2017</w:t>
            </w:r>
          </w:p>
        </w:tc>
        <w:tc>
          <w:tcPr>
            <w:tcW w:w="3967"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502BF9FC" w14:textId="6E78086C" w:rsidR="003872D2" w:rsidRDefault="003872D2" w:rsidP="00E818E2">
            <w:pPr>
              <w:rPr>
                <w:i/>
              </w:rPr>
            </w:pPr>
            <w:r>
              <w:t xml:space="preserve">Based on </w:t>
            </w:r>
            <w:r w:rsidRPr="00DB04D0">
              <w:rPr>
                <w:i/>
              </w:rPr>
              <w:t>National Inventory Report</w:t>
            </w:r>
            <w:r>
              <w:t xml:space="preserve"> methodology</w:t>
            </w:r>
          </w:p>
        </w:tc>
      </w:tr>
      <w:tr w:rsidR="00731552" w:rsidRPr="00956380" w14:paraId="259BF9F0" w14:textId="77777777" w:rsidTr="002F79A9">
        <w:trPr>
          <w:trHeight w:val="315"/>
        </w:trPr>
        <w:tc>
          <w:tcPr>
            <w:tcW w:w="2586"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375FB95E" w14:textId="6B6059EA" w:rsidR="00731552" w:rsidRPr="00484C3E" w:rsidRDefault="00E818E2" w:rsidP="00731552">
            <w:pPr>
              <w:spacing w:after="0" w:line="240" w:lineRule="auto"/>
              <w:rPr>
                <w:rFonts w:eastAsia="Times New Roman" w:cs="Arial"/>
                <w:color w:val="000000"/>
                <w:szCs w:val="20"/>
                <w:lang w:eastAsia="en-AU"/>
              </w:rPr>
            </w:pPr>
            <w:r>
              <w:rPr>
                <w:b/>
                <w:i/>
              </w:rPr>
              <w:t>Other product manufacture and use</w:t>
            </w:r>
            <w:r w:rsidDel="00731552">
              <w:rPr>
                <w:rFonts w:eastAsia="Times New Roman" w:cs="Arial"/>
                <w:color w:val="000000"/>
                <w:szCs w:val="20"/>
                <w:lang w:eastAsia="en-AU"/>
              </w:rPr>
              <w:t xml:space="preserve"> </w:t>
            </w:r>
          </w:p>
        </w:tc>
        <w:tc>
          <w:tcPr>
            <w:tcW w:w="2551"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73C98C2C" w14:textId="3E8EF1A1" w:rsidR="00731552" w:rsidRPr="00484C3E" w:rsidRDefault="00731552" w:rsidP="00731552">
            <w:pPr>
              <w:spacing w:after="0" w:line="240" w:lineRule="auto"/>
              <w:rPr>
                <w:rFonts w:eastAsia="Times New Roman" w:cs="Arial"/>
                <w:color w:val="000000"/>
                <w:szCs w:val="20"/>
                <w:lang w:eastAsia="en-AU"/>
              </w:rPr>
            </w:pPr>
          </w:p>
        </w:tc>
        <w:tc>
          <w:tcPr>
            <w:tcW w:w="3967"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3FCFE549" w14:textId="118CB1CB" w:rsidR="00731552" w:rsidRPr="00F33E9B" w:rsidRDefault="00731552" w:rsidP="00731552">
            <w:pPr>
              <w:spacing w:after="120" w:line="240" w:lineRule="auto"/>
              <w:rPr>
                <w:rFonts w:cs="Arial"/>
                <w:i/>
                <w:color w:val="000000"/>
                <w:sz w:val="16"/>
                <w:szCs w:val="16"/>
                <w:lang w:eastAsia="en-AU"/>
              </w:rPr>
            </w:pPr>
          </w:p>
        </w:tc>
      </w:tr>
      <w:tr w:rsidR="00E818E2" w:rsidRPr="00956380" w14:paraId="781E11A9"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tcPr>
          <w:p w14:paraId="787E9231" w14:textId="6073EDCE" w:rsidR="00E818E2" w:rsidRDefault="00E818E2" w:rsidP="00E818E2">
            <w:pPr>
              <w:spacing w:after="0" w:line="240" w:lineRule="auto"/>
              <w:rPr>
                <w:rFonts w:eastAsia="Times New Roman" w:cs="Arial"/>
                <w:color w:val="000000"/>
                <w:szCs w:val="20"/>
                <w:lang w:eastAsia="en-AU"/>
              </w:rPr>
            </w:pPr>
            <w:r>
              <w:t>Electrical equipment</w:t>
            </w:r>
          </w:p>
        </w:tc>
        <w:tc>
          <w:tcPr>
            <w:tcW w:w="2551"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2ABB4F7F" w14:textId="77777777" w:rsidR="00E818E2" w:rsidRDefault="00E818E2" w:rsidP="00E818E2">
            <w:pPr>
              <w:spacing w:after="0" w:line="240" w:lineRule="auto"/>
            </w:pPr>
          </w:p>
        </w:tc>
        <w:tc>
          <w:tcPr>
            <w:tcW w:w="3967"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EE591FA" w14:textId="1E45B089" w:rsidR="00E818E2" w:rsidRDefault="00E818E2" w:rsidP="00617F77">
            <w:pPr>
              <w:spacing w:after="120" w:line="240" w:lineRule="auto"/>
              <w:rPr>
                <w:i/>
              </w:rPr>
            </w:pPr>
            <w:r>
              <w:t xml:space="preserve">Based </w:t>
            </w:r>
            <w:r w:rsidR="00617F77">
              <w:t>on</w:t>
            </w:r>
            <w:r>
              <w:t xml:space="preserve"> </w:t>
            </w:r>
            <w:r w:rsidR="00D9134B" w:rsidRPr="00FB329E">
              <w:rPr>
                <w:i/>
              </w:rPr>
              <w:t>National Inventory Report</w:t>
            </w:r>
            <w:r>
              <w:t xml:space="preserve"> methodology</w:t>
            </w:r>
          </w:p>
        </w:tc>
      </w:tr>
      <w:tr w:rsidR="00545B31" w:rsidRPr="00956380" w14:paraId="75F0BAE5"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tcPr>
          <w:p w14:paraId="716F9BEF" w14:textId="3088F6A3" w:rsidR="00545B31" w:rsidRDefault="00545B31" w:rsidP="00545B31">
            <w:pPr>
              <w:spacing w:after="0" w:line="240" w:lineRule="auto"/>
              <w:rPr>
                <w:rFonts w:eastAsia="Times New Roman" w:cs="Arial"/>
                <w:color w:val="000000"/>
                <w:szCs w:val="20"/>
                <w:lang w:eastAsia="en-AU"/>
              </w:rPr>
            </w:pPr>
            <w:r>
              <w:t>SF</w:t>
            </w:r>
            <w:r w:rsidRPr="00D3795A">
              <w:rPr>
                <w:vertAlign w:val="subscript"/>
              </w:rPr>
              <w:t>6</w:t>
            </w:r>
            <w:r>
              <w:t xml:space="preserve"> and PFCs from other product uses</w:t>
            </w:r>
          </w:p>
        </w:tc>
        <w:tc>
          <w:tcPr>
            <w:tcW w:w="2551" w:type="dxa"/>
            <w:vMerge w:val="restart"/>
            <w:tcBorders>
              <w:top w:val="nil"/>
              <w:left w:val="nil"/>
              <w:right w:val="single" w:sz="8" w:space="0" w:color="FFFFFF"/>
            </w:tcBorders>
            <w:shd w:val="clear" w:color="auto" w:fill="DBE5F1" w:themeFill="accent1" w:themeFillTint="33"/>
            <w:vAlign w:val="center"/>
          </w:tcPr>
          <w:p w14:paraId="4008B859" w14:textId="77777777" w:rsidR="00545B31" w:rsidRDefault="00545B31" w:rsidP="00545B31">
            <w:r>
              <w:t>ABS 2013</w:t>
            </w:r>
          </w:p>
          <w:p w14:paraId="218F760A" w14:textId="77777777" w:rsidR="00545B31" w:rsidRDefault="00545B31" w:rsidP="00545B31">
            <w:pPr>
              <w:spacing w:after="0" w:line="240" w:lineRule="auto"/>
            </w:pPr>
            <w:r>
              <w:t>ABS 2017</w:t>
            </w:r>
          </w:p>
          <w:p w14:paraId="61BE245F" w14:textId="350FEC08" w:rsidR="00545B31" w:rsidRDefault="00545B31" w:rsidP="00545B31">
            <w:pPr>
              <w:spacing w:after="0" w:line="240" w:lineRule="auto"/>
            </w:pPr>
          </w:p>
        </w:tc>
        <w:tc>
          <w:tcPr>
            <w:tcW w:w="3967" w:type="dxa"/>
            <w:vMerge w:val="restart"/>
            <w:tcBorders>
              <w:top w:val="nil"/>
              <w:left w:val="nil"/>
              <w:right w:val="single" w:sz="8" w:space="0" w:color="FFFFFF"/>
            </w:tcBorders>
            <w:shd w:val="clear" w:color="auto" w:fill="DBE5F1" w:themeFill="accent1" w:themeFillTint="33"/>
          </w:tcPr>
          <w:p w14:paraId="7BCCF3DA" w14:textId="39BB0048" w:rsidR="00545B31" w:rsidRDefault="00545B31" w:rsidP="00545B31">
            <w:pPr>
              <w:spacing w:after="120" w:line="240" w:lineRule="auto"/>
              <w:rPr>
                <w:i/>
              </w:rPr>
            </w:pPr>
            <w:r w:rsidRPr="0049406C">
              <w:rPr>
                <w:i/>
              </w:rPr>
              <w:t>E</w:t>
            </w:r>
            <w:r w:rsidRPr="0049406C">
              <w:rPr>
                <w:i/>
                <w:vertAlign w:val="subscript"/>
              </w:rPr>
              <w:t>t</w:t>
            </w:r>
            <w:r w:rsidRPr="0049406C">
              <w:rPr>
                <w:i/>
              </w:rPr>
              <w:t xml:space="preserve"> = E</w:t>
            </w:r>
            <w:r w:rsidRPr="0049406C">
              <w:rPr>
                <w:i/>
                <w:vertAlign w:val="subscript"/>
              </w:rPr>
              <w:t>t-</w:t>
            </w:r>
            <w:proofErr w:type="gramStart"/>
            <w:r w:rsidRPr="0049406C">
              <w:rPr>
                <w:i/>
                <w:vertAlign w:val="subscript"/>
              </w:rPr>
              <w:t xml:space="preserve">1 </w:t>
            </w:r>
            <w:r w:rsidRPr="0049406C">
              <w:rPr>
                <w:b/>
                <w:i/>
              </w:rPr>
              <w:t>.</w:t>
            </w:r>
            <w:proofErr w:type="gramEnd"/>
            <w:r w:rsidRPr="0049406C">
              <w:rPr>
                <w:i/>
              </w:rPr>
              <w:t xml:space="preserve"> </w:t>
            </w:r>
            <w:r w:rsidRPr="0049406C">
              <w:rPr>
                <w:rFonts w:cs="Arial"/>
                <w:i/>
              </w:rPr>
              <w:t>Δ</w:t>
            </w:r>
            <w:r w:rsidRPr="0049406C">
              <w:rPr>
                <w:i/>
              </w:rPr>
              <w:t xml:space="preserve"> Population</w:t>
            </w:r>
          </w:p>
          <w:p w14:paraId="568636CA" w14:textId="7A9DCED7" w:rsidR="00545B31" w:rsidRDefault="00545B31" w:rsidP="00545B31">
            <w:pPr>
              <w:spacing w:after="120" w:line="240" w:lineRule="auto"/>
              <w:rPr>
                <w:i/>
              </w:rPr>
            </w:pPr>
            <w:r w:rsidRPr="0049406C">
              <w:rPr>
                <w:i/>
                <w:sz w:val="16"/>
                <w:szCs w:val="16"/>
              </w:rPr>
              <w:t xml:space="preserve">Where: </w:t>
            </w:r>
            <w:r w:rsidRPr="0049406C">
              <w:rPr>
                <w:i/>
                <w:sz w:val="16"/>
                <w:szCs w:val="16"/>
              </w:rPr>
              <w:br/>
              <w:t>E</w:t>
            </w:r>
            <w:r w:rsidRPr="0049406C">
              <w:rPr>
                <w:i/>
                <w:sz w:val="16"/>
                <w:szCs w:val="16"/>
                <w:vertAlign w:val="subscript"/>
              </w:rPr>
              <w:t>t</w:t>
            </w:r>
            <w:r w:rsidRPr="0049406C">
              <w:rPr>
                <w:i/>
                <w:sz w:val="16"/>
                <w:szCs w:val="16"/>
              </w:rPr>
              <w:t xml:space="preserve"> = annual emissions in year</w:t>
            </w:r>
            <w:r w:rsidRPr="0049406C">
              <w:rPr>
                <w:i/>
                <w:sz w:val="16"/>
                <w:szCs w:val="16"/>
                <w:vertAlign w:val="subscript"/>
              </w:rPr>
              <w:t xml:space="preserve"> </w:t>
            </w:r>
            <w:r w:rsidR="00D611F9">
              <w:rPr>
                <w:i/>
                <w:sz w:val="16"/>
                <w:szCs w:val="16"/>
              </w:rPr>
              <w:t>t (M</w:t>
            </w:r>
            <w:r w:rsidRPr="0049406C">
              <w:rPr>
                <w:i/>
                <w:sz w:val="16"/>
                <w:szCs w:val="16"/>
              </w:rPr>
              <w:t>t CO</w:t>
            </w:r>
            <w:r w:rsidRPr="0049406C">
              <w:rPr>
                <w:i/>
                <w:sz w:val="16"/>
                <w:szCs w:val="16"/>
                <w:vertAlign w:val="subscript"/>
              </w:rPr>
              <w:t>2</w:t>
            </w:r>
            <w:r w:rsidRPr="0049406C">
              <w:rPr>
                <w:i/>
                <w:sz w:val="16"/>
                <w:szCs w:val="16"/>
              </w:rPr>
              <w:t>-e)</w:t>
            </w:r>
            <w:r w:rsidRPr="0049406C">
              <w:rPr>
                <w:i/>
                <w:sz w:val="16"/>
                <w:szCs w:val="16"/>
              </w:rPr>
              <w:br/>
              <w:t>E</w:t>
            </w:r>
            <w:r w:rsidRPr="0049406C">
              <w:rPr>
                <w:i/>
                <w:sz w:val="16"/>
                <w:szCs w:val="16"/>
                <w:vertAlign w:val="subscript"/>
              </w:rPr>
              <w:t>,t-1</w:t>
            </w:r>
            <w:r w:rsidRPr="0049406C">
              <w:rPr>
                <w:i/>
                <w:sz w:val="16"/>
                <w:szCs w:val="16"/>
              </w:rPr>
              <w:t xml:space="preserve"> = emissions in the previous year</w:t>
            </w:r>
            <w:r w:rsidRPr="0049406C">
              <w:rPr>
                <w:i/>
                <w:sz w:val="16"/>
                <w:szCs w:val="16"/>
              </w:rPr>
              <w:br/>
            </w:r>
            <w:r w:rsidRPr="0049406C">
              <w:rPr>
                <w:rFonts w:cs="Arial"/>
                <w:i/>
                <w:sz w:val="16"/>
                <w:szCs w:val="16"/>
              </w:rPr>
              <w:t>Δ</w:t>
            </w:r>
            <w:r w:rsidRPr="0049406C">
              <w:rPr>
                <w:i/>
                <w:sz w:val="16"/>
                <w:szCs w:val="16"/>
                <w:vertAlign w:val="subscript"/>
              </w:rPr>
              <w:t xml:space="preserve"> </w:t>
            </w:r>
            <w:r w:rsidRPr="0049406C">
              <w:rPr>
                <w:i/>
                <w:sz w:val="16"/>
                <w:szCs w:val="16"/>
              </w:rPr>
              <w:t>Population = percentage change in population between year</w:t>
            </w:r>
            <w:r w:rsidRPr="0049406C">
              <w:rPr>
                <w:i/>
                <w:sz w:val="16"/>
                <w:szCs w:val="16"/>
                <w:vertAlign w:val="subscript"/>
              </w:rPr>
              <w:t xml:space="preserve"> </w:t>
            </w:r>
            <w:r w:rsidRPr="0049406C">
              <w:rPr>
                <w:i/>
                <w:sz w:val="16"/>
                <w:szCs w:val="16"/>
              </w:rPr>
              <w:t>t and year</w:t>
            </w:r>
            <w:r w:rsidRPr="0049406C">
              <w:rPr>
                <w:i/>
                <w:sz w:val="16"/>
                <w:szCs w:val="16"/>
                <w:vertAlign w:val="subscript"/>
              </w:rPr>
              <w:t xml:space="preserve"> </w:t>
            </w:r>
            <w:r w:rsidRPr="0049406C">
              <w:rPr>
                <w:i/>
                <w:sz w:val="16"/>
                <w:szCs w:val="16"/>
              </w:rPr>
              <w:t>t-1</w:t>
            </w:r>
          </w:p>
        </w:tc>
      </w:tr>
      <w:tr w:rsidR="00731552" w:rsidRPr="00956380" w14:paraId="7A1CF0EF" w14:textId="77777777" w:rsidTr="002F79A9">
        <w:trPr>
          <w:trHeight w:val="315"/>
        </w:trPr>
        <w:tc>
          <w:tcPr>
            <w:tcW w:w="2586" w:type="dxa"/>
            <w:tcBorders>
              <w:top w:val="nil"/>
              <w:left w:val="single" w:sz="8" w:space="0" w:color="FFFFFF"/>
              <w:bottom w:val="single" w:sz="4" w:space="0" w:color="FFFFFF" w:themeColor="background1"/>
              <w:right w:val="single" w:sz="8" w:space="0" w:color="FFFFFF"/>
            </w:tcBorders>
            <w:shd w:val="clear" w:color="auto" w:fill="DBE5F1" w:themeFill="accent1" w:themeFillTint="33"/>
          </w:tcPr>
          <w:p w14:paraId="6BD02C8C" w14:textId="2868FD69" w:rsidR="00731552" w:rsidRPr="00484C3E" w:rsidRDefault="00545B31" w:rsidP="00731552">
            <w:pPr>
              <w:spacing w:after="0" w:line="240" w:lineRule="auto"/>
              <w:rPr>
                <w:rFonts w:eastAsia="Times New Roman" w:cs="Arial"/>
                <w:color w:val="000000"/>
                <w:szCs w:val="20"/>
                <w:lang w:eastAsia="en-AU"/>
              </w:rPr>
            </w:pPr>
            <w:r>
              <w:t>N</w:t>
            </w:r>
            <w:r w:rsidRPr="00D3795A">
              <w:rPr>
                <w:vertAlign w:val="subscript"/>
              </w:rPr>
              <w:t>2</w:t>
            </w:r>
            <w:r>
              <w:t>O from product uses</w:t>
            </w:r>
          </w:p>
        </w:tc>
        <w:tc>
          <w:tcPr>
            <w:tcW w:w="2551" w:type="dxa"/>
            <w:vMerge/>
            <w:tcBorders>
              <w:left w:val="nil"/>
              <w:bottom w:val="single" w:sz="4" w:space="0" w:color="FFFFFF" w:themeColor="background1"/>
              <w:right w:val="single" w:sz="8" w:space="0" w:color="FFFFFF"/>
            </w:tcBorders>
            <w:shd w:val="clear" w:color="auto" w:fill="DBE5F1" w:themeFill="accent1" w:themeFillTint="33"/>
            <w:vAlign w:val="center"/>
          </w:tcPr>
          <w:p w14:paraId="2CC310B2" w14:textId="6FDE3FF4" w:rsidR="00731552" w:rsidRPr="00484C3E" w:rsidRDefault="00731552" w:rsidP="00731552">
            <w:pPr>
              <w:spacing w:after="0" w:line="240" w:lineRule="auto"/>
              <w:rPr>
                <w:rFonts w:eastAsia="Times New Roman" w:cs="Arial"/>
                <w:color w:val="000000"/>
                <w:szCs w:val="20"/>
                <w:lang w:eastAsia="en-AU"/>
              </w:rPr>
            </w:pPr>
          </w:p>
        </w:tc>
        <w:tc>
          <w:tcPr>
            <w:tcW w:w="3967" w:type="dxa"/>
            <w:vMerge/>
            <w:tcBorders>
              <w:left w:val="nil"/>
              <w:bottom w:val="single" w:sz="4" w:space="0" w:color="FFFFFF" w:themeColor="background1"/>
              <w:right w:val="single" w:sz="8" w:space="0" w:color="FFFFFF"/>
            </w:tcBorders>
            <w:shd w:val="clear" w:color="auto" w:fill="DBE5F1" w:themeFill="accent1" w:themeFillTint="33"/>
          </w:tcPr>
          <w:p w14:paraId="77650926" w14:textId="4463A129" w:rsidR="00731552" w:rsidRPr="00F333F9" w:rsidRDefault="00731552" w:rsidP="00731552">
            <w:pPr>
              <w:spacing w:after="120" w:line="240" w:lineRule="auto"/>
              <w:rPr>
                <w:rFonts w:cs="Arial"/>
                <w:i/>
                <w:color w:val="000000"/>
                <w:sz w:val="16"/>
                <w:szCs w:val="16"/>
                <w:lang w:eastAsia="en-AU"/>
              </w:rPr>
            </w:pPr>
          </w:p>
        </w:tc>
      </w:tr>
      <w:tr w:rsidR="00731552" w:rsidRPr="00956380" w14:paraId="0523A548" w14:textId="77777777" w:rsidTr="002F79A9">
        <w:trPr>
          <w:trHeight w:val="315"/>
        </w:trPr>
        <w:tc>
          <w:tcPr>
            <w:tcW w:w="2586" w:type="dxa"/>
            <w:tcBorders>
              <w:top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2A0A949F" w14:textId="42200275" w:rsidR="00731552" w:rsidRDefault="009723C6" w:rsidP="00731552">
            <w:pPr>
              <w:spacing w:after="0" w:line="240" w:lineRule="auto"/>
              <w:rPr>
                <w:rFonts w:eastAsia="Times New Roman" w:cs="Arial"/>
                <w:color w:val="000000"/>
                <w:szCs w:val="20"/>
                <w:lang w:eastAsia="en-AU"/>
              </w:rPr>
            </w:pPr>
            <w:r>
              <w:rPr>
                <w:b/>
                <w:i/>
              </w:rPr>
              <w:t>Other production</w:t>
            </w:r>
            <w:r w:rsidDel="00731552">
              <w:rPr>
                <w:rFonts w:eastAsia="Times New Roman" w:cs="Arial"/>
                <w:color w:val="000000"/>
                <w:szCs w:val="20"/>
                <w:lang w:eastAsia="en-AU"/>
              </w:rPr>
              <w:t xml:space="preserve"> </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2F4623D" w14:textId="7B2558EA" w:rsidR="00731552" w:rsidRDefault="00196831" w:rsidP="00731552">
            <w:proofErr w:type="spellStart"/>
            <w:r>
              <w:rPr>
                <w:rFonts w:eastAsia="Times New Roman" w:cs="Arial"/>
                <w:color w:val="000000"/>
                <w:szCs w:val="20"/>
                <w:lang w:eastAsia="en-AU"/>
              </w:rPr>
              <w:t>DoEE</w:t>
            </w:r>
            <w:proofErr w:type="spellEnd"/>
            <w:r>
              <w:rPr>
                <w:rFonts w:eastAsia="Times New Roman" w:cs="Arial"/>
                <w:color w:val="000000"/>
                <w:szCs w:val="20"/>
                <w:lang w:eastAsia="en-AU"/>
              </w:rPr>
              <w:t xml:space="preserve"> estimates based on projected ammonia production and food, beverages &amp; t</w:t>
            </w:r>
            <w:r w:rsidRPr="00196831">
              <w:rPr>
                <w:rFonts w:eastAsia="Times New Roman" w:cs="Arial"/>
                <w:color w:val="000000"/>
                <w:szCs w:val="20"/>
                <w:lang w:eastAsia="en-AU"/>
              </w:rPr>
              <w:t>obacco production</w:t>
            </w:r>
            <w:r w:rsidDel="00731552">
              <w:t xml:space="preserve"> </w:t>
            </w:r>
          </w:p>
        </w:tc>
        <w:tc>
          <w:tcPr>
            <w:tcW w:w="3967" w:type="dxa"/>
            <w:tcBorders>
              <w:top w:val="single" w:sz="4" w:space="0" w:color="FFFFFF" w:themeColor="background1"/>
              <w:left w:val="single" w:sz="4" w:space="0" w:color="FFFFFF" w:themeColor="background1"/>
              <w:bottom w:val="single" w:sz="4" w:space="0" w:color="FFFFFF" w:themeColor="background1"/>
            </w:tcBorders>
            <w:shd w:val="clear" w:color="auto" w:fill="DBE5F1" w:themeFill="accent1" w:themeFillTint="33"/>
            <w:vAlign w:val="center"/>
          </w:tcPr>
          <w:p w14:paraId="761BC7FF" w14:textId="77777777" w:rsidR="0003367F" w:rsidRPr="00CE2775" w:rsidRDefault="0003367F" w:rsidP="0003367F">
            <w:pPr>
              <w:rPr>
                <w:rFonts w:cs="Arial"/>
                <w:i/>
              </w:rPr>
            </w:pPr>
            <w:r w:rsidRPr="00CE2775">
              <w:rPr>
                <w:rFonts w:cs="Arial"/>
                <w:i/>
              </w:rPr>
              <w:t>E</w:t>
            </w:r>
            <w:r w:rsidRPr="00CE2775">
              <w:rPr>
                <w:rFonts w:cs="Arial"/>
                <w:i/>
                <w:vertAlign w:val="subscript"/>
              </w:rPr>
              <w:t>t</w:t>
            </w:r>
            <w:r w:rsidRPr="00CE2775">
              <w:rPr>
                <w:rFonts w:cs="Arial"/>
                <w:i/>
              </w:rPr>
              <w:t xml:space="preserve"> = E</w:t>
            </w:r>
            <w:r w:rsidRPr="00CE2775">
              <w:rPr>
                <w:rFonts w:cs="Arial"/>
                <w:i/>
                <w:vertAlign w:val="subscript"/>
              </w:rPr>
              <w:t xml:space="preserve">t-1 </w:t>
            </w:r>
            <w:r w:rsidRPr="00CE2775">
              <w:rPr>
                <w:rFonts w:cs="Arial"/>
                <w:b/>
                <w:i/>
              </w:rPr>
              <w:t>*</w:t>
            </w:r>
            <w:r w:rsidRPr="00CE2775">
              <w:rPr>
                <w:rFonts w:cs="Arial"/>
                <w:i/>
              </w:rPr>
              <w:t xml:space="preserve"> </w:t>
            </w:r>
            <w:r w:rsidRPr="00731552">
              <w:rPr>
                <w:rFonts w:cs="Arial"/>
                <w:i/>
              </w:rPr>
              <w:t>Δ</w:t>
            </w:r>
            <w:r w:rsidRPr="00CE2775">
              <w:rPr>
                <w:rFonts w:cs="Arial"/>
                <w:i/>
              </w:rPr>
              <w:t xml:space="preserve"> Production</w:t>
            </w:r>
          </w:p>
          <w:p w14:paraId="2469AD22" w14:textId="425F6A10" w:rsidR="00731552" w:rsidRPr="00CC3B41" w:rsidRDefault="0003367F" w:rsidP="00731552">
            <w:pPr>
              <w:rPr>
                <w:i/>
              </w:rPr>
            </w:pPr>
            <w:r w:rsidRPr="00CE2775">
              <w:rPr>
                <w:rFonts w:cs="Arial"/>
                <w:i/>
                <w:sz w:val="16"/>
                <w:szCs w:val="16"/>
              </w:rPr>
              <w:t xml:space="preserve">Where: </w:t>
            </w:r>
            <w:r w:rsidRPr="00CE2775">
              <w:rPr>
                <w:rFonts w:cs="Arial"/>
                <w:i/>
                <w:sz w:val="16"/>
                <w:szCs w:val="16"/>
              </w:rPr>
              <w:br/>
              <w:t>E</w:t>
            </w:r>
            <w:r w:rsidRPr="00CE2775">
              <w:rPr>
                <w:rFonts w:cs="Arial"/>
                <w:i/>
                <w:sz w:val="16"/>
                <w:szCs w:val="16"/>
                <w:vertAlign w:val="subscript"/>
              </w:rPr>
              <w:t>t</w:t>
            </w:r>
            <w:r w:rsidRPr="00CE2775">
              <w:rPr>
                <w:rFonts w:cs="Arial"/>
                <w:i/>
                <w:sz w:val="16"/>
                <w:szCs w:val="16"/>
              </w:rPr>
              <w:t xml:space="preserve"> = emissions in year t</w:t>
            </w:r>
            <w:r w:rsidR="00FB329E">
              <w:rPr>
                <w:rFonts w:cs="Arial"/>
                <w:i/>
                <w:sz w:val="16"/>
                <w:szCs w:val="16"/>
                <w:vertAlign w:val="subscript"/>
              </w:rPr>
              <w:t xml:space="preserve"> </w:t>
            </w:r>
            <w:r w:rsidRPr="00CE2775">
              <w:rPr>
                <w:rFonts w:cs="Arial"/>
                <w:i/>
                <w:sz w:val="16"/>
                <w:szCs w:val="16"/>
              </w:rPr>
              <w:t>(Mt CO</w:t>
            </w:r>
            <w:r w:rsidRPr="00CE2775">
              <w:rPr>
                <w:rFonts w:cs="Arial"/>
                <w:i/>
                <w:sz w:val="16"/>
                <w:szCs w:val="16"/>
                <w:vertAlign w:val="subscript"/>
              </w:rPr>
              <w:t>2</w:t>
            </w:r>
            <w:r w:rsidRPr="008142E3">
              <w:rPr>
                <w:rFonts w:cs="Arial"/>
                <w:i/>
                <w:sz w:val="16"/>
                <w:szCs w:val="16"/>
              </w:rPr>
              <w:t>-e)</w:t>
            </w:r>
            <w:r w:rsidRPr="008142E3">
              <w:rPr>
                <w:rFonts w:cs="Arial"/>
                <w:i/>
                <w:sz w:val="16"/>
                <w:szCs w:val="16"/>
              </w:rPr>
              <w:br/>
              <w:t>E</w:t>
            </w:r>
            <w:r w:rsidRPr="008142E3">
              <w:rPr>
                <w:rFonts w:cs="Arial"/>
                <w:i/>
                <w:sz w:val="16"/>
                <w:szCs w:val="16"/>
                <w:vertAlign w:val="subscript"/>
              </w:rPr>
              <w:t>t-1</w:t>
            </w:r>
            <w:r w:rsidRPr="008142E3">
              <w:rPr>
                <w:rFonts w:cs="Arial"/>
                <w:i/>
                <w:sz w:val="16"/>
                <w:szCs w:val="16"/>
              </w:rPr>
              <w:t xml:space="preserve"> = emissions in the previous year</w:t>
            </w:r>
            <w:r w:rsidRPr="008142E3">
              <w:rPr>
                <w:rFonts w:cs="Arial"/>
                <w:i/>
                <w:sz w:val="16"/>
                <w:szCs w:val="16"/>
              </w:rPr>
              <w:br/>
            </w:r>
            <w:r w:rsidRPr="00731552">
              <w:rPr>
                <w:rFonts w:cs="Arial"/>
                <w:i/>
                <w:sz w:val="16"/>
                <w:szCs w:val="16"/>
              </w:rPr>
              <w:t>Δ</w:t>
            </w:r>
            <w:r w:rsidRPr="00CE2775">
              <w:rPr>
                <w:rFonts w:cs="Arial"/>
                <w:i/>
                <w:sz w:val="16"/>
                <w:szCs w:val="16"/>
                <w:vertAlign w:val="subscript"/>
              </w:rPr>
              <w:t xml:space="preserve"> </w:t>
            </w:r>
            <w:r w:rsidRPr="00CE2775">
              <w:rPr>
                <w:rFonts w:cs="Arial"/>
                <w:i/>
                <w:sz w:val="16"/>
                <w:szCs w:val="16"/>
              </w:rPr>
              <w:t>Production = percentage change in production between year t and year t-1</w:t>
            </w:r>
            <w:r w:rsidRPr="00EE4997" w:rsidDel="00731552">
              <w:rPr>
                <w:i/>
              </w:rPr>
              <w:t xml:space="preserve"> </w:t>
            </w:r>
          </w:p>
        </w:tc>
      </w:tr>
    </w:tbl>
    <w:p w14:paraId="64A93D27" w14:textId="1AFCECD0" w:rsidR="00050D6C" w:rsidRDefault="00050D6C" w:rsidP="000E7071">
      <w:pPr>
        <w:rPr>
          <w:sz w:val="16"/>
          <w:szCs w:val="16"/>
        </w:rPr>
      </w:pPr>
    </w:p>
    <w:p w14:paraId="22D8A5A7" w14:textId="3244FEC3" w:rsidR="00050D6C" w:rsidRPr="00F45181" w:rsidRDefault="00050D6C" w:rsidP="000E7071">
      <w:pPr>
        <w:rPr>
          <w:sz w:val="16"/>
          <w:szCs w:val="16"/>
        </w:rPr>
      </w:pPr>
      <w:r>
        <w:t xml:space="preserve">Emissions from the </w:t>
      </w:r>
      <w:r w:rsidRPr="00FB329E">
        <w:rPr>
          <w:i/>
        </w:rPr>
        <w:t>Product uses as Substitutes for Ozone Depleting Substances</w:t>
      </w:r>
      <w:r>
        <w:t xml:space="preserve"> and </w:t>
      </w:r>
      <w:r w:rsidRPr="00FB329E">
        <w:rPr>
          <w:i/>
        </w:rPr>
        <w:t>Other Product Manufacture and Use</w:t>
      </w:r>
      <w:r>
        <w:t xml:space="preserve"> subsectors are estimated by extrapolating models used in the preparation of </w:t>
      </w:r>
      <w:r w:rsidR="00BB4EC5">
        <w:t xml:space="preserve">the </w:t>
      </w:r>
      <w:r w:rsidRPr="00BB4EC5">
        <w:rPr>
          <w:i/>
        </w:rPr>
        <w:t>National Inventory Report</w:t>
      </w:r>
      <w:r>
        <w:t>. A detailed methodology for these s</w:t>
      </w:r>
      <w:r w:rsidR="00BB4EC5">
        <w:t>ubsectors is available in the</w:t>
      </w:r>
      <w:r>
        <w:t xml:space="preserve"> </w:t>
      </w:r>
      <w:r w:rsidRPr="00BB4EC5">
        <w:rPr>
          <w:i/>
        </w:rPr>
        <w:t>National Inventory Report</w:t>
      </w:r>
      <w:r>
        <w:t xml:space="preserve"> (</w:t>
      </w:r>
      <w:proofErr w:type="spellStart"/>
      <w:r>
        <w:t>DoEE</w:t>
      </w:r>
      <w:proofErr w:type="spellEnd"/>
      <w:r>
        <w:t xml:space="preserve"> 2017).</w:t>
      </w:r>
    </w:p>
    <w:p w14:paraId="27229909" w14:textId="5D9741F6" w:rsidR="000E7071" w:rsidRDefault="000E7071" w:rsidP="000E7071">
      <w:pPr>
        <w:pStyle w:val="Heading2"/>
        <w:spacing w:before="200"/>
      </w:pPr>
      <w:bookmarkStart w:id="37" w:name="_Toc510532007"/>
      <w:bookmarkStart w:id="38" w:name="_Toc510532537"/>
      <w:bookmarkStart w:id="39" w:name="_Toc510534101"/>
      <w:bookmarkStart w:id="40" w:name="_Toc510794630"/>
      <w:bookmarkStart w:id="41" w:name="_Toc511297989"/>
      <w:bookmarkStart w:id="42" w:name="_Toc511304018"/>
      <w:bookmarkStart w:id="43" w:name="_Toc511918022"/>
      <w:r>
        <w:t>Agriculture</w:t>
      </w:r>
      <w:bookmarkEnd w:id="37"/>
      <w:bookmarkEnd w:id="38"/>
      <w:bookmarkEnd w:id="39"/>
      <w:bookmarkEnd w:id="40"/>
      <w:bookmarkEnd w:id="41"/>
      <w:bookmarkEnd w:id="42"/>
      <w:bookmarkEnd w:id="43"/>
    </w:p>
    <w:p w14:paraId="132AD43B" w14:textId="117F7A35" w:rsidR="00F1708C" w:rsidRDefault="00F1708C" w:rsidP="00F1708C">
      <w:r>
        <w:t xml:space="preserve">Emissions from the </w:t>
      </w:r>
      <w:r w:rsidR="005B2483" w:rsidRPr="006B1D4B">
        <w:rPr>
          <w:i/>
        </w:rPr>
        <w:t>a</w:t>
      </w:r>
      <w:r w:rsidRPr="006B1D4B">
        <w:rPr>
          <w:i/>
        </w:rPr>
        <w:t>griculture sector</w:t>
      </w:r>
      <w:r>
        <w:t xml:space="preserve"> are projected using bottom-up modelling developed </w:t>
      </w:r>
      <w:r w:rsidR="0083437B">
        <w:t>by the Department</w:t>
      </w:r>
      <w:r w:rsidR="003F34D5">
        <w:t>.</w:t>
      </w:r>
      <w:r w:rsidR="00B61CA9">
        <w:t xml:space="preserve"> The model is maintained and updated within the Department</w:t>
      </w:r>
      <w:r w:rsidR="0083437B">
        <w:t xml:space="preserve"> using external inputs</w:t>
      </w:r>
      <w:r w:rsidR="00B61CA9">
        <w:t>.</w:t>
      </w:r>
    </w:p>
    <w:p w14:paraId="6297056C" w14:textId="212BE421" w:rsidR="00290F27" w:rsidRDefault="00B61CA9" w:rsidP="006307F5">
      <w:r>
        <w:t>Emissions are projected by calculating the amount of agricultural activity</w:t>
      </w:r>
      <w:r w:rsidR="00A75535">
        <w:t xml:space="preserve"> in Australia each year.</w:t>
      </w:r>
      <w:r w:rsidR="00D23A7A">
        <w:t xml:space="preserve"> </w:t>
      </w:r>
      <w:r w:rsidR="00A75535">
        <w:t xml:space="preserve">This is done by </w:t>
      </w:r>
      <w:r w:rsidR="00D23A7A" w:rsidRPr="00A75535">
        <w:t>drawing on external data source</w:t>
      </w:r>
      <w:r w:rsidR="00A75535">
        <w:t>s that contain</w:t>
      </w:r>
      <w:r w:rsidR="00D23A7A" w:rsidRPr="00A75535">
        <w:t xml:space="preserve"> activity numbers</w:t>
      </w:r>
      <w:r w:rsidR="00A75535" w:rsidRPr="00A75535">
        <w:t xml:space="preserve"> and </w:t>
      </w:r>
      <w:r w:rsidR="00377CAF">
        <w:t xml:space="preserve">activity </w:t>
      </w:r>
      <w:r w:rsidR="00A75535" w:rsidRPr="00A75535">
        <w:t>growth rates</w:t>
      </w:r>
      <w:r w:rsidR="00246C18">
        <w:t xml:space="preserve"> (</w:t>
      </w:r>
      <w:r w:rsidR="00023629">
        <w:t>T</w:t>
      </w:r>
      <w:r w:rsidR="00246C18">
        <w:t>able 6</w:t>
      </w:r>
      <w:r w:rsidR="00023629">
        <w:t>.</w:t>
      </w:r>
      <w:r w:rsidR="00246C18">
        <w:t>)</w:t>
      </w:r>
      <w:r w:rsidR="00D23A7A">
        <w:t xml:space="preserve">. </w:t>
      </w:r>
    </w:p>
    <w:p w14:paraId="7FA19587" w14:textId="2BDB799E" w:rsidR="006307F5" w:rsidRDefault="006307F5" w:rsidP="006307F5">
      <w:r>
        <w:t xml:space="preserve">Where activity data is not available for particular commodities, an appropriate proxy such as production (quantity of end product), or a relevant driver such as growth in another connected commodity </w:t>
      </w:r>
      <w:r w:rsidR="00A75535">
        <w:t xml:space="preserve">(as informed by historical </w:t>
      </w:r>
      <w:r w:rsidR="00290F27">
        <w:t>comparisons</w:t>
      </w:r>
      <w:r w:rsidR="00A75535">
        <w:t xml:space="preserve">) </w:t>
      </w:r>
      <w:r>
        <w:t xml:space="preserve">is used. </w:t>
      </w:r>
      <w:r w:rsidR="002A4B58">
        <w:t xml:space="preserve">For example, nitrogen fertiliser use is grown broadly in-line with crop production. The assumption is that greater crop activity requires more nitrogen from fertilisers to support additional plant growth. </w:t>
      </w:r>
      <w:r w:rsidR="00290F27">
        <w:t xml:space="preserve">Historical trends are also used to inform growth where projected activity data is unavailable. </w:t>
      </w:r>
    </w:p>
    <w:p w14:paraId="586318EB" w14:textId="446C50D4" w:rsidR="005E4F8B" w:rsidRDefault="00AD098E" w:rsidP="006307F5">
      <w:r>
        <w:t xml:space="preserve">The projections </w:t>
      </w:r>
      <w:r w:rsidR="001220DA">
        <w:t xml:space="preserve">also </w:t>
      </w:r>
      <w:r>
        <w:t>includes a t</w:t>
      </w:r>
      <w:r w:rsidR="005E4F8B">
        <w:t>rend towards grain-fed beef cattl</w:t>
      </w:r>
      <w:r>
        <w:t xml:space="preserve">e, </w:t>
      </w:r>
      <w:r w:rsidR="001220DA">
        <w:t>as some farmer</w:t>
      </w:r>
      <w:r w:rsidR="003C7BA5">
        <w:t>s</w:t>
      </w:r>
      <w:r w:rsidR="001220DA">
        <w:t xml:space="preserve"> seek a feeding system</w:t>
      </w:r>
      <w:r>
        <w:t xml:space="preserve"> more </w:t>
      </w:r>
      <w:r w:rsidR="001220DA">
        <w:t>resistant to drought</w:t>
      </w:r>
      <w:r>
        <w:t xml:space="preserve">. </w:t>
      </w:r>
      <w:r w:rsidR="001220DA">
        <w:t xml:space="preserve">This trend affects the emissions intensity of beef cattle production. </w:t>
      </w:r>
      <w:r>
        <w:t>Grain-fed is more emissions intensive than grass-fed, as diets of grain-fed beef cattle are more energy intens</w:t>
      </w:r>
      <w:r w:rsidR="001220DA">
        <w:t>ive. Animals convert</w:t>
      </w:r>
      <w:r>
        <w:t xml:space="preserve"> </w:t>
      </w:r>
      <w:r w:rsidR="001220DA">
        <w:t>a</w:t>
      </w:r>
      <w:r>
        <w:t xml:space="preserve"> portion of this additional energy to </w:t>
      </w:r>
      <w:r w:rsidR="001220DA">
        <w:t>emissions in the gut</w:t>
      </w:r>
      <w:r>
        <w:t>.</w:t>
      </w:r>
    </w:p>
    <w:p w14:paraId="650208E9" w14:textId="60093354" w:rsidR="006307F5" w:rsidRDefault="00AA1AA7" w:rsidP="006307F5">
      <w:r>
        <w:t>Unit</w:t>
      </w:r>
      <w:r w:rsidR="00A75535">
        <w:t>s</w:t>
      </w:r>
      <w:r>
        <w:t xml:space="preserve"> of </w:t>
      </w:r>
      <w:r w:rsidR="00B61CA9">
        <w:t xml:space="preserve">agricultural </w:t>
      </w:r>
      <w:r>
        <w:t>activity</w:t>
      </w:r>
      <w:r w:rsidR="00D01C62">
        <w:t xml:space="preserve"> </w:t>
      </w:r>
      <w:r w:rsidR="00023629">
        <w:t>(</w:t>
      </w:r>
      <w:r w:rsidR="00D01C62">
        <w:t>e.g. head</w:t>
      </w:r>
      <w:r w:rsidR="00A75535">
        <w:t>s</w:t>
      </w:r>
      <w:r w:rsidR="00D01C62">
        <w:t xml:space="preserve"> of cattle</w:t>
      </w:r>
      <w:r w:rsidR="00023629">
        <w:t>)</w:t>
      </w:r>
      <w:r w:rsidR="00A75535">
        <w:t xml:space="preserve"> are</w:t>
      </w:r>
      <w:r w:rsidR="00D23A7A">
        <w:t xml:space="preserve"> multiplied </w:t>
      </w:r>
      <w:r w:rsidR="006307F5">
        <w:t xml:space="preserve">by </w:t>
      </w:r>
      <w:r w:rsidR="00A75535">
        <w:t>relevant emissions intensit</w:t>
      </w:r>
      <w:r w:rsidR="00290F27">
        <w:t>ies</w:t>
      </w:r>
      <w:r w:rsidR="006307F5">
        <w:t>.</w:t>
      </w:r>
      <w:r w:rsidR="006307F5" w:rsidRPr="006307F5">
        <w:t xml:space="preserve"> </w:t>
      </w:r>
      <w:r w:rsidR="006307F5">
        <w:t xml:space="preserve">Emissions intensity of </w:t>
      </w:r>
      <w:r w:rsidR="00D01C62">
        <w:t>activities are</w:t>
      </w:r>
      <w:r w:rsidR="006307F5">
        <w:t xml:space="preserve"> assumed to be constant across the projections period and equal to that reported in the final year of the </w:t>
      </w:r>
      <w:r w:rsidR="006307F5" w:rsidRPr="00E131F4">
        <w:rPr>
          <w:i/>
        </w:rPr>
        <w:t>N</w:t>
      </w:r>
      <w:r w:rsidR="005B2483" w:rsidRPr="00E131F4">
        <w:rPr>
          <w:i/>
        </w:rPr>
        <w:t xml:space="preserve">ational </w:t>
      </w:r>
      <w:r w:rsidR="006307F5" w:rsidRPr="00E131F4">
        <w:rPr>
          <w:i/>
        </w:rPr>
        <w:t>I</w:t>
      </w:r>
      <w:r w:rsidR="005B2483" w:rsidRPr="00E131F4">
        <w:rPr>
          <w:i/>
        </w:rPr>
        <w:t xml:space="preserve">nventory </w:t>
      </w:r>
      <w:r w:rsidR="006307F5" w:rsidRPr="00E131F4">
        <w:rPr>
          <w:i/>
        </w:rPr>
        <w:t>R</w:t>
      </w:r>
      <w:r w:rsidR="005B2483" w:rsidRPr="00E131F4">
        <w:rPr>
          <w:i/>
        </w:rPr>
        <w:t>eport</w:t>
      </w:r>
      <w:r w:rsidR="005B2483">
        <w:t xml:space="preserve"> </w:t>
      </w:r>
      <w:r w:rsidR="005B2483">
        <w:br/>
        <w:t>(</w:t>
      </w:r>
      <w:proofErr w:type="spellStart"/>
      <w:r w:rsidR="005B2483">
        <w:t>DoEE</w:t>
      </w:r>
      <w:proofErr w:type="spellEnd"/>
      <w:r w:rsidR="005B2483">
        <w:t xml:space="preserve"> 2017)</w:t>
      </w:r>
      <w:r w:rsidR="006307F5">
        <w:t>.</w:t>
      </w:r>
    </w:p>
    <w:p w14:paraId="5483142A" w14:textId="763938A7" w:rsidR="003F34D5" w:rsidRDefault="006307F5" w:rsidP="00F1708C">
      <w:r>
        <w:t xml:space="preserve">As emissions </w:t>
      </w:r>
      <w:r w:rsidR="00A630F5">
        <w:t xml:space="preserve">within agriculture </w:t>
      </w:r>
      <w:r>
        <w:t>relate to biological processes</w:t>
      </w:r>
      <w:r w:rsidR="00C82B10">
        <w:t>, as well as manure and residue management</w:t>
      </w:r>
      <w:r w:rsidR="00A630F5">
        <w:t xml:space="preserve">, individual commodities can contribute multiple types of emissions under IPCC </w:t>
      </w:r>
      <w:r w:rsidR="00B61AFC">
        <w:t>subsectors</w:t>
      </w:r>
      <w:r>
        <w:t>.</w:t>
      </w:r>
    </w:p>
    <w:p w14:paraId="54B9D3A0" w14:textId="5C030896" w:rsidR="009634F5" w:rsidRPr="00C808FE" w:rsidRDefault="009634F5" w:rsidP="00F1708C">
      <w:pPr>
        <w:rPr>
          <w:b/>
        </w:rPr>
      </w:pPr>
      <w:r w:rsidRPr="00C808FE">
        <w:rPr>
          <w:b/>
        </w:rPr>
        <w:t xml:space="preserve">Table </w:t>
      </w:r>
      <w:r w:rsidR="004D492A">
        <w:rPr>
          <w:b/>
        </w:rPr>
        <w:t>6</w:t>
      </w:r>
      <w:r w:rsidR="00023629">
        <w:rPr>
          <w:b/>
        </w:rPr>
        <w:t>.</w:t>
      </w:r>
      <w:r w:rsidRPr="00C808FE">
        <w:rPr>
          <w:b/>
        </w:rPr>
        <w:tab/>
        <w:t>Summary of principle data source for Agriculture</w:t>
      </w:r>
    </w:p>
    <w:tbl>
      <w:tblPr>
        <w:tblW w:w="9104" w:type="dxa"/>
        <w:tblInd w:w="108" w:type="dxa"/>
        <w:tblLook w:val="04A0" w:firstRow="1" w:lastRow="0" w:firstColumn="1" w:lastColumn="0" w:noHBand="0" w:noVBand="1"/>
      </w:tblPr>
      <w:tblGrid>
        <w:gridCol w:w="1877"/>
        <w:gridCol w:w="5103"/>
        <w:gridCol w:w="2124"/>
      </w:tblGrid>
      <w:tr w:rsidR="00F413C0" w:rsidRPr="00956380" w14:paraId="389E4111" w14:textId="77777777" w:rsidTr="006C39A9">
        <w:trPr>
          <w:trHeight w:val="855"/>
          <w:tblHeader/>
        </w:trPr>
        <w:tc>
          <w:tcPr>
            <w:tcW w:w="1877" w:type="dxa"/>
            <w:tcBorders>
              <w:top w:val="nil"/>
              <w:left w:val="nil"/>
              <w:right w:val="nil"/>
            </w:tcBorders>
            <w:shd w:val="clear" w:color="000000" w:fill="134F8E"/>
            <w:vAlign w:val="center"/>
            <w:hideMark/>
          </w:tcPr>
          <w:p w14:paraId="1E7BC7A1" w14:textId="40C3F556" w:rsidR="00F413C0" w:rsidRPr="00484C3E" w:rsidRDefault="00F413C0">
            <w:pPr>
              <w:spacing w:after="0" w:line="240" w:lineRule="auto"/>
              <w:rPr>
                <w:rFonts w:eastAsia="Times New Roman" w:cs="Arial"/>
                <w:b/>
                <w:color w:val="FFFFFF" w:themeColor="background1"/>
                <w:szCs w:val="24"/>
                <w:lang w:eastAsia="en-AU"/>
              </w:rPr>
            </w:pPr>
            <w:r>
              <w:rPr>
                <w:rFonts w:eastAsia="Times New Roman" w:cs="Arial"/>
                <w:b/>
                <w:color w:val="FFFFFF" w:themeColor="background1"/>
                <w:szCs w:val="24"/>
                <w:lang w:eastAsia="en-AU"/>
              </w:rPr>
              <w:t>Commodity</w:t>
            </w:r>
          </w:p>
        </w:tc>
        <w:tc>
          <w:tcPr>
            <w:tcW w:w="5103" w:type="dxa"/>
            <w:tcBorders>
              <w:top w:val="nil"/>
              <w:left w:val="nil"/>
              <w:right w:val="nil"/>
            </w:tcBorders>
            <w:shd w:val="clear" w:color="000000" w:fill="134F8E"/>
            <w:vAlign w:val="center"/>
            <w:hideMark/>
          </w:tcPr>
          <w:p w14:paraId="0DA62E8D" w14:textId="65655039" w:rsidR="00F413C0" w:rsidRPr="00484C3E" w:rsidRDefault="00E00853" w:rsidP="002313B3">
            <w:pPr>
              <w:spacing w:after="0" w:line="240" w:lineRule="auto"/>
              <w:rPr>
                <w:rFonts w:eastAsia="Times New Roman" w:cs="Arial"/>
                <w:b/>
                <w:color w:val="FFFFFF" w:themeColor="background1"/>
                <w:lang w:eastAsia="en-AU"/>
              </w:rPr>
            </w:pPr>
            <w:r>
              <w:rPr>
                <w:rFonts w:cs="Arial"/>
                <w:b/>
                <w:color w:val="FFFFFF" w:themeColor="background1"/>
                <w:kern w:val="24"/>
                <w:szCs w:val="32"/>
              </w:rPr>
              <w:t>Data s</w:t>
            </w:r>
            <w:r w:rsidR="00F413C0">
              <w:rPr>
                <w:rFonts w:cs="Arial"/>
                <w:b/>
                <w:color w:val="FFFFFF" w:themeColor="background1"/>
                <w:kern w:val="24"/>
                <w:szCs w:val="32"/>
              </w:rPr>
              <w:t>ources</w:t>
            </w:r>
          </w:p>
        </w:tc>
        <w:tc>
          <w:tcPr>
            <w:tcW w:w="2124" w:type="dxa"/>
            <w:tcBorders>
              <w:top w:val="nil"/>
              <w:left w:val="nil"/>
              <w:right w:val="nil"/>
            </w:tcBorders>
            <w:shd w:val="clear" w:color="000000" w:fill="134F8E"/>
            <w:vAlign w:val="center"/>
          </w:tcPr>
          <w:p w14:paraId="3B54A081" w14:textId="2990D594" w:rsidR="00F413C0" w:rsidRPr="00484C3E" w:rsidRDefault="00F413C0" w:rsidP="002313B3">
            <w:pPr>
              <w:spacing w:after="0" w:line="240" w:lineRule="auto"/>
              <w:rPr>
                <w:rFonts w:cs="Arial"/>
                <w:b/>
                <w:color w:val="FFFFFF" w:themeColor="background1"/>
                <w:kern w:val="24"/>
                <w:szCs w:val="32"/>
              </w:rPr>
            </w:pPr>
            <w:r>
              <w:rPr>
                <w:rFonts w:cs="Arial"/>
                <w:b/>
                <w:color w:val="FFFFFF" w:themeColor="background1"/>
                <w:kern w:val="24"/>
                <w:szCs w:val="32"/>
              </w:rPr>
              <w:t>Unit of activity</w:t>
            </w:r>
          </w:p>
        </w:tc>
      </w:tr>
      <w:tr w:rsidR="00F413C0" w:rsidRPr="00956380" w14:paraId="49484C73" w14:textId="77777777" w:rsidTr="00C808FE">
        <w:trPr>
          <w:trHeight w:val="315"/>
        </w:trPr>
        <w:tc>
          <w:tcPr>
            <w:tcW w:w="1877"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hideMark/>
          </w:tcPr>
          <w:p w14:paraId="2A32F89A" w14:textId="29947070" w:rsidR="00F413C0" w:rsidRPr="00484C3E" w:rsidRDefault="00F413C0" w:rsidP="002313B3">
            <w:pPr>
              <w:spacing w:after="0" w:line="240" w:lineRule="auto"/>
              <w:rPr>
                <w:rFonts w:eastAsia="Times New Roman" w:cs="Arial"/>
                <w:color w:val="000000"/>
                <w:szCs w:val="20"/>
                <w:lang w:eastAsia="en-AU"/>
              </w:rPr>
            </w:pPr>
            <w:r>
              <w:rPr>
                <w:rFonts w:eastAsia="Times New Roman" w:cs="Arial"/>
                <w:color w:val="000000"/>
                <w:szCs w:val="20"/>
                <w:lang w:eastAsia="en-AU"/>
              </w:rPr>
              <w:t>Lime and urea</w:t>
            </w:r>
          </w:p>
        </w:tc>
        <w:tc>
          <w:tcPr>
            <w:tcW w:w="5103"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6563DE7E" w14:textId="63B3F928" w:rsidR="00F413C0" w:rsidRPr="00484C3E" w:rsidRDefault="000C75F7" w:rsidP="002313B3">
            <w:pPr>
              <w:spacing w:after="0" w:line="240" w:lineRule="auto"/>
              <w:rPr>
                <w:rFonts w:eastAsia="Times New Roman" w:cs="Arial"/>
                <w:color w:val="000000"/>
                <w:szCs w:val="20"/>
                <w:lang w:eastAsia="en-AU"/>
              </w:rPr>
            </w:pPr>
            <w:proofErr w:type="spellStart"/>
            <w:r>
              <w:rPr>
                <w:rFonts w:eastAsia="Times New Roman" w:cs="Arial"/>
                <w:color w:val="000000"/>
                <w:szCs w:val="20"/>
                <w:lang w:eastAsia="en-AU"/>
              </w:rPr>
              <w:t>DoEE</w:t>
            </w:r>
            <w:proofErr w:type="spellEnd"/>
            <w:r>
              <w:rPr>
                <w:rFonts w:eastAsia="Times New Roman" w:cs="Arial"/>
                <w:color w:val="000000"/>
                <w:szCs w:val="20"/>
                <w:lang w:eastAsia="en-AU"/>
              </w:rPr>
              <w:t xml:space="preserve"> estimate based on </w:t>
            </w:r>
            <w:r w:rsidR="00F42B1B">
              <w:rPr>
                <w:rFonts w:eastAsia="Times New Roman" w:cs="Arial"/>
                <w:color w:val="000000"/>
                <w:szCs w:val="20"/>
                <w:lang w:eastAsia="en-AU"/>
              </w:rPr>
              <w:t>historical trends</w:t>
            </w:r>
          </w:p>
        </w:tc>
        <w:tc>
          <w:tcPr>
            <w:tcW w:w="2124"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27B797D3" w14:textId="22A579E9" w:rsidR="00F413C0" w:rsidRPr="00C808FE" w:rsidRDefault="00F413C0" w:rsidP="002313B3">
            <w:pPr>
              <w:spacing w:after="120" w:line="240" w:lineRule="auto"/>
              <w:rPr>
                <w:rFonts w:eastAsia="Times New Roman" w:cs="Arial"/>
                <w:color w:val="000000"/>
                <w:lang w:eastAsia="en-AU"/>
              </w:rPr>
            </w:pPr>
            <w:proofErr w:type="spellStart"/>
            <w:r>
              <w:rPr>
                <w:rFonts w:eastAsia="Times New Roman" w:cs="Arial"/>
                <w:color w:val="000000"/>
                <w:lang w:eastAsia="en-AU"/>
              </w:rPr>
              <w:t>Kilotonnes</w:t>
            </w:r>
            <w:proofErr w:type="spellEnd"/>
          </w:p>
        </w:tc>
      </w:tr>
      <w:tr w:rsidR="00F413C0" w:rsidRPr="00956380" w14:paraId="31DD513C" w14:textId="77777777" w:rsidTr="00C808FE">
        <w:trPr>
          <w:trHeight w:val="315"/>
        </w:trPr>
        <w:tc>
          <w:tcPr>
            <w:tcW w:w="1877"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75A9A699" w14:textId="34046658" w:rsidR="00F413C0" w:rsidRPr="00484C3E" w:rsidRDefault="00F413C0" w:rsidP="002313B3">
            <w:pPr>
              <w:spacing w:after="0" w:line="240" w:lineRule="auto"/>
              <w:rPr>
                <w:rFonts w:eastAsia="Times New Roman" w:cs="Arial"/>
                <w:color w:val="000000"/>
                <w:szCs w:val="20"/>
                <w:lang w:eastAsia="en-AU"/>
              </w:rPr>
            </w:pPr>
            <w:r>
              <w:rPr>
                <w:rFonts w:eastAsia="Times New Roman" w:cs="Arial"/>
                <w:color w:val="000000"/>
                <w:szCs w:val="20"/>
                <w:lang w:eastAsia="en-AU"/>
              </w:rPr>
              <w:t>Fertilisers</w:t>
            </w:r>
          </w:p>
        </w:tc>
        <w:tc>
          <w:tcPr>
            <w:tcW w:w="5103"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48A5DA13" w14:textId="575010F6" w:rsidR="00F413C0" w:rsidRPr="00484C3E" w:rsidRDefault="000C75F7" w:rsidP="002313B3">
            <w:pPr>
              <w:spacing w:after="0" w:line="240" w:lineRule="auto"/>
              <w:rPr>
                <w:rFonts w:eastAsia="Times New Roman" w:cs="Arial"/>
                <w:color w:val="000000"/>
                <w:szCs w:val="20"/>
                <w:lang w:eastAsia="en-AU"/>
              </w:rPr>
            </w:pPr>
            <w:proofErr w:type="spellStart"/>
            <w:r>
              <w:rPr>
                <w:rFonts w:eastAsia="Times New Roman" w:cs="Arial"/>
                <w:color w:val="000000"/>
                <w:szCs w:val="20"/>
                <w:lang w:eastAsia="en-AU"/>
              </w:rPr>
              <w:t>DoEE</w:t>
            </w:r>
            <w:proofErr w:type="spellEnd"/>
            <w:r>
              <w:rPr>
                <w:rFonts w:eastAsia="Times New Roman" w:cs="Arial"/>
                <w:color w:val="000000"/>
                <w:szCs w:val="20"/>
                <w:lang w:eastAsia="en-AU"/>
              </w:rPr>
              <w:t xml:space="preserve"> estimate based on </w:t>
            </w:r>
            <w:r w:rsidR="00F42B1B">
              <w:rPr>
                <w:rFonts w:eastAsia="Times New Roman" w:cs="Arial"/>
                <w:color w:val="000000"/>
                <w:szCs w:val="20"/>
                <w:lang w:eastAsia="en-AU"/>
              </w:rPr>
              <w:t>historical trends</w:t>
            </w:r>
          </w:p>
        </w:tc>
        <w:tc>
          <w:tcPr>
            <w:tcW w:w="2124"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68FFA156" w14:textId="4142AE2B" w:rsidR="00F413C0" w:rsidRPr="00C808FE" w:rsidRDefault="00F413C0" w:rsidP="002313B3">
            <w:pPr>
              <w:spacing w:after="120" w:line="240" w:lineRule="auto"/>
              <w:rPr>
                <w:rFonts w:cs="Arial"/>
                <w:color w:val="000000"/>
                <w:lang w:eastAsia="en-AU"/>
              </w:rPr>
            </w:pPr>
            <w:proofErr w:type="spellStart"/>
            <w:r>
              <w:rPr>
                <w:rFonts w:cs="Arial"/>
                <w:color w:val="000000"/>
                <w:lang w:eastAsia="en-AU"/>
              </w:rPr>
              <w:t>Kilotonnes</w:t>
            </w:r>
            <w:proofErr w:type="spellEnd"/>
          </w:p>
        </w:tc>
      </w:tr>
      <w:tr w:rsidR="00F413C0" w:rsidRPr="00956380" w14:paraId="4293B406" w14:textId="77777777" w:rsidTr="00C808FE">
        <w:trPr>
          <w:trHeight w:val="315"/>
        </w:trPr>
        <w:tc>
          <w:tcPr>
            <w:tcW w:w="1877"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12824158" w14:textId="212DB1FF" w:rsidR="00F413C0" w:rsidRPr="00484C3E" w:rsidRDefault="00F413C0" w:rsidP="002313B3">
            <w:pPr>
              <w:spacing w:after="0" w:line="240" w:lineRule="auto"/>
              <w:rPr>
                <w:rFonts w:eastAsia="Times New Roman" w:cs="Arial"/>
                <w:color w:val="000000"/>
                <w:szCs w:val="20"/>
                <w:lang w:eastAsia="en-AU"/>
              </w:rPr>
            </w:pPr>
            <w:r>
              <w:rPr>
                <w:rFonts w:eastAsia="Times New Roman" w:cs="Arial"/>
                <w:color w:val="000000"/>
                <w:szCs w:val="20"/>
                <w:lang w:eastAsia="en-AU"/>
              </w:rPr>
              <w:t>Other animals</w:t>
            </w:r>
          </w:p>
        </w:tc>
        <w:tc>
          <w:tcPr>
            <w:tcW w:w="5103"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7B4B94A9" w14:textId="2D218D21" w:rsidR="00F413C0" w:rsidRPr="00484C3E" w:rsidRDefault="00F42B1B" w:rsidP="000C75F7">
            <w:pPr>
              <w:spacing w:after="0" w:line="240" w:lineRule="auto"/>
              <w:rPr>
                <w:rFonts w:eastAsia="Times New Roman" w:cs="Arial"/>
                <w:color w:val="000000"/>
                <w:szCs w:val="20"/>
                <w:lang w:eastAsia="en-AU"/>
              </w:rPr>
            </w:pPr>
            <w:r>
              <w:rPr>
                <w:rFonts w:eastAsia="Times New Roman" w:cs="Arial"/>
                <w:color w:val="000000"/>
                <w:szCs w:val="20"/>
                <w:lang w:eastAsia="en-AU"/>
              </w:rPr>
              <w:t>Activity held constant at final year of inventory</w:t>
            </w:r>
          </w:p>
        </w:tc>
        <w:tc>
          <w:tcPr>
            <w:tcW w:w="2124"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3086E88A" w14:textId="36208F3F" w:rsidR="00F413C0" w:rsidRPr="00C808FE" w:rsidRDefault="00F413C0" w:rsidP="002313B3">
            <w:pPr>
              <w:spacing w:after="120" w:line="240" w:lineRule="auto"/>
              <w:rPr>
                <w:rFonts w:cs="Arial"/>
                <w:color w:val="000000"/>
                <w:lang w:eastAsia="en-AU"/>
              </w:rPr>
            </w:pPr>
            <w:r>
              <w:rPr>
                <w:rFonts w:cs="Arial"/>
                <w:color w:val="000000"/>
                <w:lang w:eastAsia="en-AU"/>
              </w:rPr>
              <w:t>Heads of animal</w:t>
            </w:r>
          </w:p>
        </w:tc>
      </w:tr>
      <w:tr w:rsidR="00F413C0" w:rsidRPr="00956380" w14:paraId="685DADF3" w14:textId="77777777" w:rsidTr="00C808FE">
        <w:trPr>
          <w:trHeight w:val="315"/>
        </w:trPr>
        <w:tc>
          <w:tcPr>
            <w:tcW w:w="1877" w:type="dxa"/>
            <w:tcBorders>
              <w:top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76E255E" w14:textId="7C28A6E8" w:rsidR="00F413C0" w:rsidRDefault="00F413C0" w:rsidP="002313B3">
            <w:pPr>
              <w:spacing w:after="0" w:line="240" w:lineRule="auto"/>
              <w:rPr>
                <w:rFonts w:eastAsia="Times New Roman" w:cs="Arial"/>
                <w:color w:val="000000"/>
                <w:szCs w:val="20"/>
                <w:lang w:eastAsia="en-AU"/>
              </w:rPr>
            </w:pPr>
            <w:r>
              <w:rPr>
                <w:rFonts w:eastAsia="Times New Roman" w:cs="Arial"/>
                <w:color w:val="000000"/>
                <w:szCs w:val="20"/>
                <w:lang w:eastAsia="en-AU"/>
              </w:rPr>
              <w:t>Other animals - poultry</w: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34AB8EBC" w14:textId="77777777" w:rsidR="002313B3" w:rsidRDefault="002313B3" w:rsidP="002313B3">
            <w:pPr>
              <w:spacing w:after="0"/>
            </w:pPr>
            <w:r>
              <w:t>ABARES Commodities: March quarter 2017, September quarter 2017</w:t>
            </w:r>
          </w:p>
          <w:p w14:paraId="6594F7D4" w14:textId="7B6D51FB" w:rsidR="00F413C0" w:rsidRDefault="002313B3" w:rsidP="002313B3">
            <w:r>
              <w:t>OECD-FAO Agricultural Outlook 201</w:t>
            </w:r>
            <w:r w:rsidR="00F20E0F">
              <w:t>7</w:t>
            </w:r>
            <w:r>
              <w:t>-2026</w:t>
            </w:r>
          </w:p>
        </w:tc>
        <w:tc>
          <w:tcPr>
            <w:tcW w:w="2124" w:type="dxa"/>
            <w:tcBorders>
              <w:top w:val="single" w:sz="4" w:space="0" w:color="FFFFFF" w:themeColor="background1"/>
              <w:left w:val="single" w:sz="4" w:space="0" w:color="FFFFFF" w:themeColor="background1"/>
              <w:bottom w:val="single" w:sz="4" w:space="0" w:color="FFFFFF" w:themeColor="background1"/>
            </w:tcBorders>
            <w:shd w:val="clear" w:color="auto" w:fill="DBE5F1" w:themeFill="accent1" w:themeFillTint="33"/>
            <w:vAlign w:val="center"/>
          </w:tcPr>
          <w:p w14:paraId="242CDE6C" w14:textId="1A2445BF" w:rsidR="00F413C0" w:rsidRPr="00C808FE" w:rsidRDefault="00F413C0" w:rsidP="002313B3">
            <w:r>
              <w:t>Heads of animal</w:t>
            </w:r>
          </w:p>
        </w:tc>
      </w:tr>
      <w:tr w:rsidR="00F413C0" w:rsidRPr="00956380" w14:paraId="3924C5A7" w14:textId="77777777" w:rsidTr="00C808FE">
        <w:trPr>
          <w:trHeight w:val="315"/>
        </w:trPr>
        <w:tc>
          <w:tcPr>
            <w:tcW w:w="1877"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6CE71F83" w14:textId="6FEDE8D3" w:rsidR="00F413C0" w:rsidRDefault="00F413C0" w:rsidP="002313B3">
            <w:pPr>
              <w:spacing w:after="0" w:line="240" w:lineRule="auto"/>
              <w:rPr>
                <w:rFonts w:eastAsia="Times New Roman" w:cs="Arial"/>
                <w:color w:val="000000"/>
                <w:szCs w:val="20"/>
                <w:lang w:eastAsia="en-AU"/>
              </w:rPr>
            </w:pPr>
            <w:r>
              <w:rPr>
                <w:rFonts w:eastAsia="Times New Roman" w:cs="Arial"/>
                <w:color w:val="000000"/>
                <w:szCs w:val="20"/>
                <w:lang w:eastAsia="en-AU"/>
              </w:rPr>
              <w:t>Pigs</w:t>
            </w:r>
          </w:p>
        </w:tc>
        <w:tc>
          <w:tcPr>
            <w:tcW w:w="5103"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66E50151" w14:textId="77777777" w:rsidR="002313B3" w:rsidRDefault="002313B3" w:rsidP="002313B3">
            <w:pPr>
              <w:spacing w:after="0"/>
            </w:pPr>
            <w:r>
              <w:t>ABARES Commodities: March quarter 2017, September quarter 2017</w:t>
            </w:r>
          </w:p>
          <w:p w14:paraId="79B0D56E" w14:textId="2BEF152D" w:rsidR="00F413C0" w:rsidRDefault="002313B3" w:rsidP="00182B82">
            <w:r>
              <w:t>OECD-FAO Agricultural Outlook 201</w:t>
            </w:r>
            <w:r w:rsidR="00F20E0F">
              <w:t>7</w:t>
            </w:r>
            <w:r>
              <w:t>-2026</w:t>
            </w:r>
          </w:p>
        </w:tc>
        <w:tc>
          <w:tcPr>
            <w:tcW w:w="2124"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56BA037D" w14:textId="7C946C67" w:rsidR="00F413C0" w:rsidRPr="00C808FE" w:rsidRDefault="00F413C0" w:rsidP="002313B3">
            <w:r>
              <w:t>Heads of animal</w:t>
            </w:r>
          </w:p>
        </w:tc>
      </w:tr>
      <w:tr w:rsidR="00F413C0" w:rsidRPr="00956380" w14:paraId="65B905B0" w14:textId="77777777" w:rsidTr="00C808FE">
        <w:trPr>
          <w:trHeight w:val="315"/>
        </w:trPr>
        <w:tc>
          <w:tcPr>
            <w:tcW w:w="1877"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52BF5914" w14:textId="78E3CE58" w:rsidR="00F413C0" w:rsidRDefault="00F413C0" w:rsidP="002313B3">
            <w:pPr>
              <w:spacing w:after="0" w:line="240" w:lineRule="auto"/>
              <w:rPr>
                <w:rFonts w:eastAsia="Times New Roman" w:cs="Arial"/>
                <w:color w:val="000000"/>
                <w:szCs w:val="20"/>
                <w:lang w:eastAsia="en-AU"/>
              </w:rPr>
            </w:pPr>
            <w:r>
              <w:rPr>
                <w:rFonts w:eastAsia="Times New Roman" w:cs="Arial"/>
                <w:color w:val="000000"/>
                <w:szCs w:val="20"/>
                <w:lang w:eastAsia="en-AU"/>
              </w:rPr>
              <w:t>Crops</w:t>
            </w:r>
          </w:p>
        </w:tc>
        <w:tc>
          <w:tcPr>
            <w:tcW w:w="5103"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276BD3F0" w14:textId="77777777" w:rsidR="002313B3" w:rsidRDefault="002313B3" w:rsidP="002313B3">
            <w:pPr>
              <w:spacing w:after="0"/>
            </w:pPr>
            <w:r>
              <w:t>ABARES Commodities: March, September quarter 2017</w:t>
            </w:r>
          </w:p>
          <w:p w14:paraId="11C94410" w14:textId="02766224" w:rsidR="00F413C0" w:rsidRDefault="00E00853" w:rsidP="002313B3">
            <w:r>
              <w:t>CSIRO</w:t>
            </w:r>
            <w:r w:rsidR="00431C1E">
              <w:t xml:space="preserve"> 2015 </w:t>
            </w:r>
            <w:r>
              <w:t>(</w:t>
            </w:r>
            <w:r w:rsidR="002313B3">
              <w:t>CSIRO L</w:t>
            </w:r>
            <w:r w:rsidR="00431C1E">
              <w:t xml:space="preserve">and </w:t>
            </w:r>
            <w:r w:rsidR="002313B3">
              <w:t>U</w:t>
            </w:r>
            <w:r w:rsidR="00431C1E">
              <w:t xml:space="preserve">se </w:t>
            </w:r>
            <w:r w:rsidR="002313B3">
              <w:t>T</w:t>
            </w:r>
            <w:r w:rsidR="00431C1E">
              <w:t>rade-</w:t>
            </w:r>
            <w:r w:rsidR="002313B3">
              <w:t>O</w:t>
            </w:r>
            <w:r w:rsidR="00431C1E">
              <w:t>ffs (LUTO)</w:t>
            </w:r>
            <w:r>
              <w:t>)</w:t>
            </w:r>
          </w:p>
        </w:tc>
        <w:tc>
          <w:tcPr>
            <w:tcW w:w="2124"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1AC86009" w14:textId="7321A13A" w:rsidR="00023629" w:rsidRDefault="00023629" w:rsidP="002313B3">
            <w:pPr>
              <w:spacing w:after="0"/>
            </w:pPr>
            <w:r>
              <w:t>Non-rice crops:</w:t>
            </w:r>
          </w:p>
          <w:p w14:paraId="19E0F56B" w14:textId="77777777" w:rsidR="002313B3" w:rsidRDefault="002313B3" w:rsidP="002313B3">
            <w:pPr>
              <w:spacing w:after="0"/>
            </w:pPr>
            <w:proofErr w:type="spellStart"/>
            <w:r>
              <w:t>Kilotonnes</w:t>
            </w:r>
            <w:proofErr w:type="spellEnd"/>
            <w:r>
              <w:t xml:space="preserve"> of crop</w:t>
            </w:r>
          </w:p>
          <w:p w14:paraId="6633C9EF" w14:textId="77777777" w:rsidR="002313B3" w:rsidRDefault="002313B3" w:rsidP="002313B3">
            <w:pPr>
              <w:spacing w:after="0"/>
            </w:pPr>
            <w:r>
              <w:t>Rice:</w:t>
            </w:r>
          </w:p>
          <w:p w14:paraId="6BD6BB46" w14:textId="6C3310E6" w:rsidR="002313B3" w:rsidRDefault="002313B3" w:rsidP="002313B3">
            <w:pPr>
              <w:spacing w:after="0"/>
            </w:pPr>
            <w:proofErr w:type="spellStart"/>
            <w:r>
              <w:t>Kilotonnes</w:t>
            </w:r>
            <w:proofErr w:type="spellEnd"/>
            <w:r>
              <w:t xml:space="preserve"> of rice</w:t>
            </w:r>
            <w:r w:rsidR="00023629">
              <w:t>,</w:t>
            </w:r>
          </w:p>
          <w:p w14:paraId="778FE109" w14:textId="27DB6A63" w:rsidR="00F413C0" w:rsidRPr="00C808FE" w:rsidRDefault="002313B3" w:rsidP="002313B3">
            <w:r>
              <w:t>Hectares of area under cultivation</w:t>
            </w:r>
          </w:p>
        </w:tc>
      </w:tr>
      <w:tr w:rsidR="00F413C0" w:rsidRPr="00956380" w14:paraId="6EA18441" w14:textId="77777777" w:rsidTr="00C808FE">
        <w:trPr>
          <w:trHeight w:val="315"/>
        </w:trPr>
        <w:tc>
          <w:tcPr>
            <w:tcW w:w="1877"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453FA5C7" w14:textId="566FF888" w:rsidR="00F413C0" w:rsidRDefault="00F413C0" w:rsidP="002313B3">
            <w:pPr>
              <w:spacing w:after="0" w:line="240" w:lineRule="auto"/>
              <w:rPr>
                <w:rFonts w:eastAsia="Times New Roman" w:cs="Arial"/>
                <w:color w:val="000000"/>
                <w:szCs w:val="20"/>
                <w:lang w:eastAsia="en-AU"/>
              </w:rPr>
            </w:pPr>
            <w:r>
              <w:rPr>
                <w:rFonts w:eastAsia="Times New Roman" w:cs="Arial"/>
                <w:color w:val="000000"/>
                <w:szCs w:val="20"/>
                <w:lang w:eastAsia="en-AU"/>
              </w:rPr>
              <w:t>Sheep</w:t>
            </w:r>
          </w:p>
        </w:tc>
        <w:tc>
          <w:tcPr>
            <w:tcW w:w="5103"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44E0402A" w14:textId="77777777" w:rsidR="002313B3" w:rsidRDefault="002313B3" w:rsidP="002313B3">
            <w:pPr>
              <w:spacing w:after="0"/>
            </w:pPr>
            <w:r>
              <w:t>ABARES Commodities: March, September quarter 2017</w:t>
            </w:r>
          </w:p>
          <w:p w14:paraId="35C7993D" w14:textId="1C19B5FB" w:rsidR="00F413C0" w:rsidRDefault="00E00853" w:rsidP="002313B3">
            <w:r>
              <w:t>CSIRO 2015 (</w:t>
            </w:r>
            <w:r w:rsidR="002313B3">
              <w:t>CSIRO LUTO</w:t>
            </w:r>
            <w:r>
              <w:t>)</w:t>
            </w:r>
          </w:p>
        </w:tc>
        <w:tc>
          <w:tcPr>
            <w:tcW w:w="212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454E79C0" w14:textId="33F647FD" w:rsidR="00F413C0" w:rsidRPr="00C808FE" w:rsidRDefault="002313B3" w:rsidP="002313B3">
            <w:r>
              <w:t>Heads of animal</w:t>
            </w:r>
          </w:p>
        </w:tc>
      </w:tr>
      <w:tr w:rsidR="00F413C0" w:rsidRPr="00956380" w14:paraId="4644635E" w14:textId="77777777" w:rsidTr="00C808FE">
        <w:trPr>
          <w:trHeight w:val="315"/>
        </w:trPr>
        <w:tc>
          <w:tcPr>
            <w:tcW w:w="1877"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0CB83FBE" w14:textId="48A4EB2F" w:rsidR="00F413C0" w:rsidRDefault="00F413C0" w:rsidP="002313B3">
            <w:pPr>
              <w:spacing w:after="0" w:line="240" w:lineRule="auto"/>
              <w:rPr>
                <w:rFonts w:eastAsia="Times New Roman" w:cs="Arial"/>
                <w:color w:val="000000"/>
                <w:szCs w:val="20"/>
                <w:lang w:eastAsia="en-AU"/>
              </w:rPr>
            </w:pPr>
            <w:r>
              <w:rPr>
                <w:rFonts w:eastAsia="Times New Roman" w:cs="Arial"/>
                <w:color w:val="000000"/>
                <w:szCs w:val="20"/>
                <w:lang w:eastAsia="en-AU"/>
              </w:rPr>
              <w:t>Dairy</w:t>
            </w:r>
          </w:p>
        </w:tc>
        <w:tc>
          <w:tcPr>
            <w:tcW w:w="5103"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5039C238" w14:textId="77777777" w:rsidR="002313B3" w:rsidRDefault="002313B3" w:rsidP="002313B3">
            <w:pPr>
              <w:spacing w:after="0"/>
            </w:pPr>
            <w:r>
              <w:t>ABARES Commodities: March, September quarter 2017</w:t>
            </w:r>
          </w:p>
          <w:p w14:paraId="13722202" w14:textId="332B707D" w:rsidR="00F413C0" w:rsidRDefault="00E00853" w:rsidP="002313B3">
            <w:r>
              <w:t>CSIRO 2015 (</w:t>
            </w:r>
            <w:r w:rsidR="002313B3">
              <w:t>CSIRO LUTO</w:t>
            </w:r>
            <w:r>
              <w:t>)</w:t>
            </w:r>
          </w:p>
        </w:tc>
        <w:tc>
          <w:tcPr>
            <w:tcW w:w="212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1C8F733B" w14:textId="0A3494E6" w:rsidR="00F413C0" w:rsidRPr="00C808FE" w:rsidRDefault="002313B3" w:rsidP="002313B3">
            <w:r>
              <w:t>Heads of animal</w:t>
            </w:r>
          </w:p>
        </w:tc>
      </w:tr>
      <w:tr w:rsidR="00F413C0" w:rsidRPr="00956380" w14:paraId="284DDE39" w14:textId="77777777" w:rsidTr="00C808FE">
        <w:trPr>
          <w:trHeight w:val="315"/>
        </w:trPr>
        <w:tc>
          <w:tcPr>
            <w:tcW w:w="1877"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5136AAC8" w14:textId="6291D0FD" w:rsidR="00F413C0" w:rsidRDefault="00F413C0" w:rsidP="002313B3">
            <w:pPr>
              <w:spacing w:after="0" w:line="240" w:lineRule="auto"/>
              <w:rPr>
                <w:rFonts w:eastAsia="Times New Roman" w:cs="Arial"/>
                <w:color w:val="000000"/>
                <w:szCs w:val="20"/>
                <w:lang w:eastAsia="en-AU"/>
              </w:rPr>
            </w:pPr>
            <w:r>
              <w:rPr>
                <w:rFonts w:eastAsia="Times New Roman" w:cs="Arial"/>
                <w:color w:val="000000"/>
                <w:szCs w:val="20"/>
                <w:lang w:eastAsia="en-AU"/>
              </w:rPr>
              <w:t>Grain fed beef</w:t>
            </w:r>
          </w:p>
        </w:tc>
        <w:tc>
          <w:tcPr>
            <w:tcW w:w="5103"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796D2AEA" w14:textId="77777777" w:rsidR="002313B3" w:rsidRDefault="002313B3" w:rsidP="002313B3">
            <w:pPr>
              <w:spacing w:after="0"/>
            </w:pPr>
            <w:r>
              <w:t>ABARES Commodities: March, September quarter 2017</w:t>
            </w:r>
          </w:p>
          <w:p w14:paraId="3942A5E1" w14:textId="5311F603" w:rsidR="00F413C0" w:rsidRDefault="00E00853" w:rsidP="002313B3">
            <w:r>
              <w:t>CSIRO 2015 (</w:t>
            </w:r>
            <w:r w:rsidR="002313B3">
              <w:t>CSIRO LUTO</w:t>
            </w:r>
            <w:r>
              <w:t>)</w:t>
            </w:r>
          </w:p>
        </w:tc>
        <w:tc>
          <w:tcPr>
            <w:tcW w:w="2124"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4CE27FCE" w14:textId="1E40E2D2" w:rsidR="00F413C0" w:rsidRPr="00C808FE" w:rsidRDefault="002313B3" w:rsidP="002313B3">
            <w:r>
              <w:t>Heads of animal</w:t>
            </w:r>
          </w:p>
        </w:tc>
      </w:tr>
      <w:tr w:rsidR="00F413C0" w:rsidRPr="00956380" w14:paraId="10F17851" w14:textId="77777777" w:rsidTr="00C808FE">
        <w:trPr>
          <w:trHeight w:val="315"/>
        </w:trPr>
        <w:tc>
          <w:tcPr>
            <w:tcW w:w="1877"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338C9165" w14:textId="1AA16E01" w:rsidR="00F413C0" w:rsidRDefault="00F413C0" w:rsidP="002313B3">
            <w:pPr>
              <w:spacing w:after="0" w:line="240" w:lineRule="auto"/>
              <w:rPr>
                <w:rFonts w:eastAsia="Times New Roman" w:cs="Arial"/>
                <w:color w:val="000000"/>
                <w:szCs w:val="20"/>
                <w:lang w:eastAsia="en-AU"/>
              </w:rPr>
            </w:pPr>
            <w:r>
              <w:rPr>
                <w:rFonts w:eastAsia="Times New Roman" w:cs="Arial"/>
                <w:color w:val="000000"/>
                <w:szCs w:val="20"/>
                <w:lang w:eastAsia="en-AU"/>
              </w:rPr>
              <w:t>Grazing beef</w:t>
            </w:r>
          </w:p>
        </w:tc>
        <w:tc>
          <w:tcPr>
            <w:tcW w:w="5103"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61C65C00" w14:textId="77777777" w:rsidR="002313B3" w:rsidRDefault="002313B3" w:rsidP="002313B3">
            <w:pPr>
              <w:spacing w:after="0"/>
            </w:pPr>
            <w:r>
              <w:t>ABARES Commodities: March, September quarter 2017</w:t>
            </w:r>
          </w:p>
          <w:p w14:paraId="32B28CFC" w14:textId="7512D6D8" w:rsidR="00F413C0" w:rsidRDefault="00E00853" w:rsidP="002313B3">
            <w:r>
              <w:t>CSIRO 2015 (</w:t>
            </w:r>
            <w:r w:rsidR="002313B3">
              <w:t>CSIRO LUTO</w:t>
            </w:r>
            <w:r>
              <w:t>)</w:t>
            </w:r>
          </w:p>
        </w:tc>
        <w:tc>
          <w:tcPr>
            <w:tcW w:w="2124"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06D7695B" w14:textId="3A4A4CA9" w:rsidR="00F413C0" w:rsidRPr="00C808FE" w:rsidRDefault="002313B3" w:rsidP="002313B3">
            <w:r>
              <w:t>Heads of animal</w:t>
            </w:r>
          </w:p>
        </w:tc>
      </w:tr>
    </w:tbl>
    <w:p w14:paraId="2C176544" w14:textId="7750AC78" w:rsidR="00F413C0" w:rsidRDefault="00F413C0" w:rsidP="00F1708C"/>
    <w:p w14:paraId="3D97EE2A" w14:textId="0E0C3718" w:rsidR="00D025B5" w:rsidRPr="00C808FE" w:rsidRDefault="009634F5" w:rsidP="00F1708C">
      <w:pPr>
        <w:rPr>
          <w:b/>
        </w:rPr>
      </w:pPr>
      <w:r w:rsidRPr="00C808FE">
        <w:rPr>
          <w:b/>
        </w:rPr>
        <w:t xml:space="preserve">Table </w:t>
      </w:r>
      <w:r w:rsidR="004D492A">
        <w:rPr>
          <w:b/>
        </w:rPr>
        <w:t>7</w:t>
      </w:r>
      <w:r w:rsidR="00023629">
        <w:rPr>
          <w:b/>
        </w:rPr>
        <w:t>.</w:t>
      </w:r>
      <w:r w:rsidRPr="00C808FE">
        <w:rPr>
          <w:b/>
        </w:rPr>
        <w:tab/>
        <w:t xml:space="preserve">Summary of </w:t>
      </w:r>
      <w:r w:rsidR="00AE6346">
        <w:rPr>
          <w:b/>
        </w:rPr>
        <w:t>emission subsectors</w:t>
      </w:r>
      <w:r w:rsidRPr="00C808FE">
        <w:rPr>
          <w:b/>
        </w:rPr>
        <w:t xml:space="preserve"> for each agricultural commodity</w:t>
      </w:r>
    </w:p>
    <w:tbl>
      <w:tblPr>
        <w:tblW w:w="9106" w:type="dxa"/>
        <w:tblInd w:w="108" w:type="dxa"/>
        <w:tblLook w:val="04A0" w:firstRow="1" w:lastRow="0" w:firstColumn="1" w:lastColumn="0" w:noHBand="0" w:noVBand="1"/>
      </w:tblPr>
      <w:tblGrid>
        <w:gridCol w:w="2727"/>
        <w:gridCol w:w="6379"/>
      </w:tblGrid>
      <w:tr w:rsidR="00C25602" w:rsidRPr="00956380" w14:paraId="22869BE9" w14:textId="77777777" w:rsidTr="00C808FE">
        <w:trPr>
          <w:trHeight w:val="855"/>
        </w:trPr>
        <w:tc>
          <w:tcPr>
            <w:tcW w:w="2727" w:type="dxa"/>
            <w:tcBorders>
              <w:top w:val="nil"/>
              <w:left w:val="nil"/>
              <w:right w:val="nil"/>
            </w:tcBorders>
            <w:shd w:val="clear" w:color="000000" w:fill="134F8E"/>
            <w:vAlign w:val="center"/>
            <w:hideMark/>
          </w:tcPr>
          <w:p w14:paraId="3742FF37" w14:textId="4E55DAF2" w:rsidR="00C25602" w:rsidRPr="00484C3E" w:rsidRDefault="00C25602" w:rsidP="00FD03C3">
            <w:pPr>
              <w:spacing w:after="0" w:line="240" w:lineRule="auto"/>
              <w:rPr>
                <w:rFonts w:eastAsia="Times New Roman" w:cs="Arial"/>
                <w:b/>
                <w:color w:val="FFFFFF" w:themeColor="background1"/>
                <w:szCs w:val="24"/>
                <w:lang w:eastAsia="en-AU"/>
              </w:rPr>
            </w:pPr>
            <w:r>
              <w:rPr>
                <w:rFonts w:eastAsia="Times New Roman" w:cs="Arial"/>
                <w:b/>
                <w:color w:val="FFFFFF" w:themeColor="background1"/>
                <w:szCs w:val="24"/>
                <w:lang w:eastAsia="en-AU"/>
              </w:rPr>
              <w:t>Commodity</w:t>
            </w:r>
          </w:p>
        </w:tc>
        <w:tc>
          <w:tcPr>
            <w:tcW w:w="6379" w:type="dxa"/>
            <w:tcBorders>
              <w:top w:val="nil"/>
              <w:left w:val="nil"/>
              <w:right w:val="nil"/>
            </w:tcBorders>
            <w:shd w:val="clear" w:color="000000" w:fill="134F8E"/>
            <w:vAlign w:val="center"/>
            <w:hideMark/>
          </w:tcPr>
          <w:p w14:paraId="2045AE62" w14:textId="05AA3BBC" w:rsidR="00C25602" w:rsidRPr="00484C3E" w:rsidRDefault="00AE6346" w:rsidP="00FD03C3">
            <w:pPr>
              <w:spacing w:after="0" w:line="240" w:lineRule="auto"/>
              <w:rPr>
                <w:rFonts w:eastAsia="Times New Roman" w:cs="Arial"/>
                <w:b/>
                <w:color w:val="FFFFFF" w:themeColor="background1"/>
                <w:lang w:eastAsia="en-AU"/>
              </w:rPr>
            </w:pPr>
            <w:r>
              <w:rPr>
                <w:rFonts w:cs="Arial"/>
                <w:b/>
                <w:color w:val="FFFFFF" w:themeColor="background1"/>
                <w:kern w:val="24"/>
                <w:szCs w:val="32"/>
              </w:rPr>
              <w:t xml:space="preserve">Emissions </w:t>
            </w:r>
            <w:r w:rsidR="00023629">
              <w:rPr>
                <w:rFonts w:cs="Arial"/>
                <w:b/>
                <w:color w:val="FFFFFF" w:themeColor="background1"/>
                <w:kern w:val="24"/>
                <w:szCs w:val="32"/>
              </w:rPr>
              <w:t>s</w:t>
            </w:r>
            <w:r>
              <w:rPr>
                <w:rFonts w:cs="Arial"/>
                <w:b/>
                <w:color w:val="FFFFFF" w:themeColor="background1"/>
                <w:kern w:val="24"/>
                <w:szCs w:val="32"/>
              </w:rPr>
              <w:t>ubsectors</w:t>
            </w:r>
          </w:p>
        </w:tc>
      </w:tr>
      <w:tr w:rsidR="00C25602" w:rsidRPr="00956380" w14:paraId="12124D1E" w14:textId="77777777" w:rsidTr="00C808FE">
        <w:trPr>
          <w:trHeight w:val="315"/>
        </w:trPr>
        <w:tc>
          <w:tcPr>
            <w:tcW w:w="2727"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hideMark/>
          </w:tcPr>
          <w:p w14:paraId="2117F00B" w14:textId="77777777" w:rsidR="00C25602" w:rsidRPr="00484C3E" w:rsidRDefault="00C25602" w:rsidP="00FD03C3">
            <w:pPr>
              <w:spacing w:after="0" w:line="240" w:lineRule="auto"/>
              <w:rPr>
                <w:rFonts w:eastAsia="Times New Roman" w:cs="Arial"/>
                <w:color w:val="000000"/>
                <w:szCs w:val="20"/>
                <w:lang w:eastAsia="en-AU"/>
              </w:rPr>
            </w:pPr>
            <w:r>
              <w:rPr>
                <w:rFonts w:eastAsia="Times New Roman" w:cs="Arial"/>
                <w:color w:val="000000"/>
                <w:szCs w:val="20"/>
                <w:lang w:eastAsia="en-AU"/>
              </w:rPr>
              <w:t>Lime and urea</w:t>
            </w:r>
          </w:p>
        </w:tc>
        <w:tc>
          <w:tcPr>
            <w:tcW w:w="6379"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2E60AAE4" w14:textId="2F4F13DD" w:rsidR="00C25602" w:rsidRPr="00484C3E" w:rsidRDefault="00C25602" w:rsidP="00FD03C3">
            <w:pPr>
              <w:spacing w:after="0" w:line="240" w:lineRule="auto"/>
              <w:rPr>
                <w:rFonts w:eastAsia="Times New Roman" w:cs="Arial"/>
                <w:color w:val="000000"/>
                <w:szCs w:val="20"/>
                <w:lang w:eastAsia="en-AU"/>
              </w:rPr>
            </w:pPr>
            <w:r>
              <w:t xml:space="preserve">Liming and </w:t>
            </w:r>
            <w:r w:rsidR="00023629">
              <w:t>u</w:t>
            </w:r>
            <w:r>
              <w:t xml:space="preserve">rea </w:t>
            </w:r>
            <w:r w:rsidR="00023629">
              <w:t>a</w:t>
            </w:r>
            <w:r>
              <w:t>pplication</w:t>
            </w:r>
          </w:p>
        </w:tc>
      </w:tr>
      <w:tr w:rsidR="00C25602" w:rsidRPr="00956380" w14:paraId="68F689F3" w14:textId="77777777" w:rsidTr="00C808FE">
        <w:trPr>
          <w:trHeight w:val="315"/>
        </w:trPr>
        <w:tc>
          <w:tcPr>
            <w:tcW w:w="2727"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63252D65" w14:textId="77777777" w:rsidR="00C25602" w:rsidRPr="00484C3E" w:rsidRDefault="00C25602" w:rsidP="00FD03C3">
            <w:pPr>
              <w:spacing w:after="0" w:line="240" w:lineRule="auto"/>
              <w:rPr>
                <w:rFonts w:eastAsia="Times New Roman" w:cs="Arial"/>
                <w:color w:val="000000"/>
                <w:szCs w:val="20"/>
                <w:lang w:eastAsia="en-AU"/>
              </w:rPr>
            </w:pPr>
            <w:r>
              <w:rPr>
                <w:rFonts w:eastAsia="Times New Roman" w:cs="Arial"/>
                <w:color w:val="000000"/>
                <w:szCs w:val="20"/>
                <w:lang w:eastAsia="en-AU"/>
              </w:rPr>
              <w:t>Fertilisers</w:t>
            </w:r>
          </w:p>
        </w:tc>
        <w:tc>
          <w:tcPr>
            <w:tcW w:w="6379"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244B700F" w14:textId="07B9C08F" w:rsidR="00C25602" w:rsidRPr="00484C3E" w:rsidRDefault="00C25602" w:rsidP="00FD03C3">
            <w:pPr>
              <w:spacing w:after="0" w:line="240" w:lineRule="auto"/>
              <w:rPr>
                <w:rFonts w:eastAsia="Times New Roman" w:cs="Arial"/>
                <w:color w:val="000000"/>
                <w:szCs w:val="20"/>
                <w:lang w:eastAsia="en-AU"/>
              </w:rPr>
            </w:pPr>
            <w:r>
              <w:t xml:space="preserve">Agricultural </w:t>
            </w:r>
            <w:r w:rsidR="00023629">
              <w:t>s</w:t>
            </w:r>
            <w:r>
              <w:t>oils</w:t>
            </w:r>
          </w:p>
        </w:tc>
      </w:tr>
      <w:tr w:rsidR="00C25602" w:rsidRPr="00956380" w14:paraId="7252E97B" w14:textId="77777777" w:rsidTr="00C808FE">
        <w:trPr>
          <w:trHeight w:val="315"/>
        </w:trPr>
        <w:tc>
          <w:tcPr>
            <w:tcW w:w="2727"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55170F1C" w14:textId="77777777" w:rsidR="00C25602" w:rsidRPr="00484C3E" w:rsidRDefault="00C25602" w:rsidP="00FD03C3">
            <w:pPr>
              <w:spacing w:after="0" w:line="240" w:lineRule="auto"/>
              <w:rPr>
                <w:rFonts w:eastAsia="Times New Roman" w:cs="Arial"/>
                <w:color w:val="000000"/>
                <w:szCs w:val="20"/>
                <w:lang w:eastAsia="en-AU"/>
              </w:rPr>
            </w:pPr>
            <w:r>
              <w:rPr>
                <w:rFonts w:eastAsia="Times New Roman" w:cs="Arial"/>
                <w:color w:val="000000"/>
                <w:szCs w:val="20"/>
                <w:lang w:eastAsia="en-AU"/>
              </w:rPr>
              <w:t>Other animals</w:t>
            </w:r>
          </w:p>
        </w:tc>
        <w:tc>
          <w:tcPr>
            <w:tcW w:w="6379"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1BCB951A" w14:textId="7C1CD50F" w:rsidR="00C25602" w:rsidRDefault="00C25602" w:rsidP="00C25602">
            <w:pPr>
              <w:spacing w:after="0"/>
            </w:pPr>
            <w:r>
              <w:t xml:space="preserve">Enteric </w:t>
            </w:r>
            <w:r w:rsidR="00023629">
              <w:t>f</w:t>
            </w:r>
            <w:r>
              <w:t>ermentation</w:t>
            </w:r>
          </w:p>
          <w:p w14:paraId="6C23B952" w14:textId="7926999B" w:rsidR="00C25602" w:rsidRDefault="00C25602" w:rsidP="00C25602">
            <w:pPr>
              <w:spacing w:after="0"/>
            </w:pPr>
            <w:r>
              <w:t xml:space="preserve">Manure </w:t>
            </w:r>
            <w:r w:rsidR="00023629">
              <w:t>m</w:t>
            </w:r>
            <w:r>
              <w:t>anagement</w:t>
            </w:r>
          </w:p>
          <w:p w14:paraId="70AB8B39" w14:textId="58DFC492" w:rsidR="00C25602" w:rsidRPr="00484C3E" w:rsidRDefault="00C25602" w:rsidP="00C25602">
            <w:pPr>
              <w:spacing w:after="0" w:line="240" w:lineRule="auto"/>
              <w:rPr>
                <w:rFonts w:eastAsia="Times New Roman" w:cs="Arial"/>
                <w:color w:val="000000"/>
                <w:szCs w:val="20"/>
                <w:lang w:eastAsia="en-AU"/>
              </w:rPr>
            </w:pPr>
            <w:r>
              <w:t xml:space="preserve">Agricultural </w:t>
            </w:r>
            <w:r w:rsidR="00023629">
              <w:t>s</w:t>
            </w:r>
            <w:r>
              <w:t>oils</w:t>
            </w:r>
          </w:p>
        </w:tc>
      </w:tr>
      <w:tr w:rsidR="00C25602" w:rsidRPr="00956380" w14:paraId="6137D218" w14:textId="77777777" w:rsidTr="00C808FE">
        <w:trPr>
          <w:trHeight w:val="315"/>
        </w:trPr>
        <w:tc>
          <w:tcPr>
            <w:tcW w:w="2727" w:type="dxa"/>
            <w:tcBorders>
              <w:top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1D3FF94" w14:textId="77777777" w:rsidR="00C25602" w:rsidRDefault="00C25602" w:rsidP="00FD03C3">
            <w:pPr>
              <w:spacing w:after="0" w:line="240" w:lineRule="auto"/>
              <w:rPr>
                <w:rFonts w:eastAsia="Times New Roman" w:cs="Arial"/>
                <w:color w:val="000000"/>
                <w:szCs w:val="20"/>
                <w:lang w:eastAsia="en-AU"/>
              </w:rPr>
            </w:pPr>
            <w:r>
              <w:rPr>
                <w:rFonts w:eastAsia="Times New Roman" w:cs="Arial"/>
                <w:color w:val="000000"/>
                <w:szCs w:val="20"/>
                <w:lang w:eastAsia="en-AU"/>
              </w:rPr>
              <w:t>Other animals - poultry</w:t>
            </w:r>
          </w:p>
        </w:tc>
        <w:tc>
          <w:tcPr>
            <w:tcW w:w="6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4CCAD62" w14:textId="1B84F939" w:rsidR="00C25602" w:rsidRDefault="00C25602" w:rsidP="00C25602">
            <w:pPr>
              <w:spacing w:after="0"/>
            </w:pPr>
            <w:r>
              <w:t xml:space="preserve">Manure </w:t>
            </w:r>
            <w:r w:rsidR="00023629">
              <w:t>m</w:t>
            </w:r>
            <w:r>
              <w:t>anagement</w:t>
            </w:r>
          </w:p>
          <w:p w14:paraId="52EA9103" w14:textId="5759AD90" w:rsidR="00C25602" w:rsidRDefault="00C25602" w:rsidP="00C25602">
            <w:r>
              <w:t xml:space="preserve">Agricultural </w:t>
            </w:r>
            <w:r w:rsidR="00023629">
              <w:t>s</w:t>
            </w:r>
            <w:r>
              <w:t>oils</w:t>
            </w:r>
          </w:p>
        </w:tc>
      </w:tr>
      <w:tr w:rsidR="00C25602" w:rsidRPr="00956380" w14:paraId="51B7F58F" w14:textId="77777777" w:rsidTr="00C808FE">
        <w:trPr>
          <w:trHeight w:val="315"/>
        </w:trPr>
        <w:tc>
          <w:tcPr>
            <w:tcW w:w="2727"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3583C480" w14:textId="77777777" w:rsidR="00C25602" w:rsidRDefault="00C25602" w:rsidP="00FD03C3">
            <w:pPr>
              <w:spacing w:after="0" w:line="240" w:lineRule="auto"/>
              <w:rPr>
                <w:rFonts w:eastAsia="Times New Roman" w:cs="Arial"/>
                <w:color w:val="000000"/>
                <w:szCs w:val="20"/>
                <w:lang w:eastAsia="en-AU"/>
              </w:rPr>
            </w:pPr>
            <w:r>
              <w:rPr>
                <w:rFonts w:eastAsia="Times New Roman" w:cs="Arial"/>
                <w:color w:val="000000"/>
                <w:szCs w:val="20"/>
                <w:lang w:eastAsia="en-AU"/>
              </w:rPr>
              <w:t>Pigs</w:t>
            </w:r>
          </w:p>
        </w:tc>
        <w:tc>
          <w:tcPr>
            <w:tcW w:w="6379"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50D4DEB8" w14:textId="26644D73" w:rsidR="00C25602" w:rsidRDefault="00C25602" w:rsidP="00C25602">
            <w:pPr>
              <w:spacing w:after="0"/>
            </w:pPr>
            <w:r>
              <w:t xml:space="preserve">Enteric </w:t>
            </w:r>
            <w:r w:rsidR="00023629">
              <w:t>f</w:t>
            </w:r>
            <w:r>
              <w:t>ermentation</w:t>
            </w:r>
          </w:p>
          <w:p w14:paraId="1171147C" w14:textId="70FBE9F9" w:rsidR="00C25602" w:rsidRDefault="00C25602" w:rsidP="00C25602">
            <w:pPr>
              <w:spacing w:after="0"/>
            </w:pPr>
            <w:r>
              <w:t xml:space="preserve">Manure </w:t>
            </w:r>
            <w:r w:rsidR="00023629">
              <w:t>m</w:t>
            </w:r>
            <w:r>
              <w:t>anagement</w:t>
            </w:r>
          </w:p>
          <w:p w14:paraId="3F520490" w14:textId="0B4BF450" w:rsidR="00C25602" w:rsidRDefault="00C25602" w:rsidP="00C25602">
            <w:r>
              <w:t xml:space="preserve">Agricultural </w:t>
            </w:r>
            <w:r w:rsidR="00023629">
              <w:t>s</w:t>
            </w:r>
            <w:r>
              <w:t>oils</w:t>
            </w:r>
          </w:p>
        </w:tc>
      </w:tr>
      <w:tr w:rsidR="00C25602" w:rsidRPr="00956380" w14:paraId="69117C96" w14:textId="77777777" w:rsidTr="00C808FE">
        <w:trPr>
          <w:trHeight w:val="315"/>
        </w:trPr>
        <w:tc>
          <w:tcPr>
            <w:tcW w:w="2727"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19543D7A" w14:textId="77777777" w:rsidR="00C25602" w:rsidRDefault="00C25602" w:rsidP="00FD03C3">
            <w:pPr>
              <w:spacing w:after="0" w:line="240" w:lineRule="auto"/>
              <w:rPr>
                <w:rFonts w:eastAsia="Times New Roman" w:cs="Arial"/>
                <w:color w:val="000000"/>
                <w:szCs w:val="20"/>
                <w:lang w:eastAsia="en-AU"/>
              </w:rPr>
            </w:pPr>
            <w:r>
              <w:rPr>
                <w:rFonts w:eastAsia="Times New Roman" w:cs="Arial"/>
                <w:color w:val="000000"/>
                <w:szCs w:val="20"/>
                <w:lang w:eastAsia="en-AU"/>
              </w:rPr>
              <w:t>Crops</w:t>
            </w:r>
          </w:p>
        </w:tc>
        <w:tc>
          <w:tcPr>
            <w:tcW w:w="6379" w:type="dxa"/>
            <w:tcBorders>
              <w:top w:val="nil"/>
              <w:left w:val="nil"/>
              <w:bottom w:val="single" w:sz="4" w:space="0" w:color="FFFFFF" w:themeColor="background1"/>
              <w:right w:val="single" w:sz="8" w:space="0" w:color="FFFFFF"/>
            </w:tcBorders>
            <w:shd w:val="clear" w:color="auto" w:fill="DBE5F1" w:themeFill="accent1" w:themeFillTint="33"/>
            <w:vAlign w:val="center"/>
          </w:tcPr>
          <w:p w14:paraId="4434F9BA" w14:textId="7BE86877" w:rsidR="00D10DC1" w:rsidRDefault="00D10DC1" w:rsidP="00D10DC1">
            <w:pPr>
              <w:spacing w:after="0"/>
            </w:pPr>
            <w:r>
              <w:t xml:space="preserve">Agricultural </w:t>
            </w:r>
            <w:r w:rsidR="00023629">
              <w:t>s</w:t>
            </w:r>
            <w:r>
              <w:t>oils</w:t>
            </w:r>
          </w:p>
          <w:p w14:paraId="3F5D1CF4" w14:textId="56CC083B" w:rsidR="00D10DC1" w:rsidRDefault="00D10DC1" w:rsidP="00D10DC1">
            <w:pPr>
              <w:spacing w:after="0"/>
            </w:pPr>
            <w:r>
              <w:t xml:space="preserve">Field </w:t>
            </w:r>
            <w:r w:rsidR="00023629">
              <w:t>b</w:t>
            </w:r>
            <w:r>
              <w:t xml:space="preserve">urning of </w:t>
            </w:r>
            <w:r w:rsidR="00023629">
              <w:t>a</w:t>
            </w:r>
            <w:r>
              <w:t xml:space="preserve">gricultural </w:t>
            </w:r>
            <w:r w:rsidR="00023629">
              <w:t>r</w:t>
            </w:r>
            <w:r>
              <w:t>esidues</w:t>
            </w:r>
          </w:p>
          <w:p w14:paraId="27EC5FFD" w14:textId="6C64A1AA" w:rsidR="00C25602" w:rsidRDefault="00D10DC1" w:rsidP="00D10DC1">
            <w:r>
              <w:t xml:space="preserve">Rice </w:t>
            </w:r>
            <w:r w:rsidR="00023629">
              <w:t>c</w:t>
            </w:r>
            <w:r>
              <w:t>ultivation</w:t>
            </w:r>
          </w:p>
        </w:tc>
      </w:tr>
      <w:tr w:rsidR="00C25602" w:rsidRPr="00956380" w14:paraId="79C9FB36" w14:textId="77777777" w:rsidTr="00C808FE">
        <w:trPr>
          <w:trHeight w:val="315"/>
        </w:trPr>
        <w:tc>
          <w:tcPr>
            <w:tcW w:w="2727"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5EE56FFD" w14:textId="77777777" w:rsidR="00C25602" w:rsidRDefault="00C25602" w:rsidP="00FD03C3">
            <w:pPr>
              <w:spacing w:after="0" w:line="240" w:lineRule="auto"/>
              <w:rPr>
                <w:rFonts w:eastAsia="Times New Roman" w:cs="Arial"/>
                <w:color w:val="000000"/>
                <w:szCs w:val="20"/>
                <w:lang w:eastAsia="en-AU"/>
              </w:rPr>
            </w:pPr>
            <w:r>
              <w:rPr>
                <w:rFonts w:eastAsia="Times New Roman" w:cs="Arial"/>
                <w:color w:val="000000"/>
                <w:szCs w:val="20"/>
                <w:lang w:eastAsia="en-AU"/>
              </w:rPr>
              <w:t>Sheep</w:t>
            </w:r>
          </w:p>
        </w:tc>
        <w:tc>
          <w:tcPr>
            <w:tcW w:w="6379"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544BFC83" w14:textId="6B9AD59D" w:rsidR="00D10DC1" w:rsidRDefault="00D10DC1" w:rsidP="00D10DC1">
            <w:pPr>
              <w:spacing w:after="0"/>
            </w:pPr>
            <w:r>
              <w:t xml:space="preserve">Enteric </w:t>
            </w:r>
            <w:r w:rsidR="00023629">
              <w:t>f</w:t>
            </w:r>
            <w:r>
              <w:t>ermentation</w:t>
            </w:r>
          </w:p>
          <w:p w14:paraId="0222FFF1" w14:textId="2E01E6BE" w:rsidR="00D10DC1" w:rsidRDefault="00D10DC1" w:rsidP="00D10DC1">
            <w:pPr>
              <w:spacing w:after="0"/>
            </w:pPr>
            <w:r>
              <w:t xml:space="preserve">Manure </w:t>
            </w:r>
            <w:r w:rsidR="00023629">
              <w:t>m</w:t>
            </w:r>
            <w:r>
              <w:t>anagement</w:t>
            </w:r>
          </w:p>
          <w:p w14:paraId="3FF363C3" w14:textId="19FDC07F" w:rsidR="00C25602" w:rsidRDefault="00D10DC1" w:rsidP="00D10DC1">
            <w:r>
              <w:t xml:space="preserve">Agricultural </w:t>
            </w:r>
            <w:r w:rsidR="00023629">
              <w:t>s</w:t>
            </w:r>
            <w:r>
              <w:t>oils</w:t>
            </w:r>
          </w:p>
        </w:tc>
      </w:tr>
      <w:tr w:rsidR="00C25602" w:rsidRPr="00956380" w14:paraId="4F7615D1" w14:textId="77777777" w:rsidTr="00C808FE">
        <w:trPr>
          <w:trHeight w:val="315"/>
        </w:trPr>
        <w:tc>
          <w:tcPr>
            <w:tcW w:w="2727"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54B72F24" w14:textId="77777777" w:rsidR="00C25602" w:rsidRDefault="00C25602" w:rsidP="00FD03C3">
            <w:pPr>
              <w:spacing w:after="0" w:line="240" w:lineRule="auto"/>
              <w:rPr>
                <w:rFonts w:eastAsia="Times New Roman" w:cs="Arial"/>
                <w:color w:val="000000"/>
                <w:szCs w:val="20"/>
                <w:lang w:eastAsia="en-AU"/>
              </w:rPr>
            </w:pPr>
            <w:r>
              <w:rPr>
                <w:rFonts w:eastAsia="Times New Roman" w:cs="Arial"/>
                <w:color w:val="000000"/>
                <w:szCs w:val="20"/>
                <w:lang w:eastAsia="en-AU"/>
              </w:rPr>
              <w:t>Dairy</w:t>
            </w:r>
          </w:p>
        </w:tc>
        <w:tc>
          <w:tcPr>
            <w:tcW w:w="6379"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2A1DAAAF" w14:textId="36CE87D4" w:rsidR="00D10DC1" w:rsidRDefault="00D10DC1" w:rsidP="00D10DC1">
            <w:pPr>
              <w:spacing w:after="0"/>
            </w:pPr>
            <w:r>
              <w:t xml:space="preserve">Enteric </w:t>
            </w:r>
            <w:r w:rsidR="00023629">
              <w:t>f</w:t>
            </w:r>
            <w:r>
              <w:t>ermentation</w:t>
            </w:r>
          </w:p>
          <w:p w14:paraId="4F29C59B" w14:textId="2C3D92A1" w:rsidR="00D10DC1" w:rsidRDefault="00D10DC1" w:rsidP="00D10DC1">
            <w:pPr>
              <w:spacing w:after="0"/>
            </w:pPr>
            <w:r>
              <w:t xml:space="preserve">Manure </w:t>
            </w:r>
            <w:r w:rsidR="00023629">
              <w:t>m</w:t>
            </w:r>
            <w:r>
              <w:t>anagement</w:t>
            </w:r>
          </w:p>
          <w:p w14:paraId="7ACA5C2D" w14:textId="512EF052" w:rsidR="00C25602" w:rsidRDefault="00D10DC1" w:rsidP="00D10DC1">
            <w:r>
              <w:t xml:space="preserve">Agricultural </w:t>
            </w:r>
            <w:r w:rsidR="00023629">
              <w:t>s</w:t>
            </w:r>
            <w:r>
              <w:t>oils</w:t>
            </w:r>
          </w:p>
        </w:tc>
      </w:tr>
      <w:tr w:rsidR="00C25602" w:rsidRPr="00956380" w14:paraId="67C942DB" w14:textId="77777777" w:rsidTr="00C808FE">
        <w:trPr>
          <w:trHeight w:val="315"/>
        </w:trPr>
        <w:tc>
          <w:tcPr>
            <w:tcW w:w="2727"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DBE5F1" w:themeFill="accent1" w:themeFillTint="33"/>
            <w:vAlign w:val="center"/>
          </w:tcPr>
          <w:p w14:paraId="002FDE3A" w14:textId="77777777" w:rsidR="00C25602" w:rsidRDefault="00C25602" w:rsidP="00FD03C3">
            <w:pPr>
              <w:spacing w:after="0" w:line="240" w:lineRule="auto"/>
              <w:rPr>
                <w:rFonts w:eastAsia="Times New Roman" w:cs="Arial"/>
                <w:color w:val="000000"/>
                <w:szCs w:val="20"/>
                <w:lang w:eastAsia="en-AU"/>
              </w:rPr>
            </w:pPr>
            <w:r>
              <w:rPr>
                <w:rFonts w:eastAsia="Times New Roman" w:cs="Arial"/>
                <w:color w:val="000000"/>
                <w:szCs w:val="20"/>
                <w:lang w:eastAsia="en-AU"/>
              </w:rPr>
              <w:t>Grain fed beef</w:t>
            </w:r>
          </w:p>
        </w:tc>
        <w:tc>
          <w:tcPr>
            <w:tcW w:w="6379" w:type="dxa"/>
            <w:tcBorders>
              <w:top w:val="single" w:sz="4" w:space="0" w:color="FFFFFF" w:themeColor="background1"/>
              <w:left w:val="nil"/>
              <w:bottom w:val="single" w:sz="4" w:space="0" w:color="FFFFFF" w:themeColor="background1"/>
              <w:right w:val="single" w:sz="8" w:space="0" w:color="FFFFFF"/>
            </w:tcBorders>
            <w:shd w:val="clear" w:color="auto" w:fill="DBE5F1" w:themeFill="accent1" w:themeFillTint="33"/>
            <w:vAlign w:val="center"/>
          </w:tcPr>
          <w:p w14:paraId="1CEBBB28" w14:textId="10C65EB8" w:rsidR="00D10DC1" w:rsidRDefault="00D10DC1" w:rsidP="00D10DC1">
            <w:pPr>
              <w:spacing w:after="0"/>
            </w:pPr>
            <w:r>
              <w:t xml:space="preserve">Enteric </w:t>
            </w:r>
            <w:r w:rsidR="00023629">
              <w:t>f</w:t>
            </w:r>
            <w:r>
              <w:t>ermentation</w:t>
            </w:r>
          </w:p>
          <w:p w14:paraId="1A77B7A3" w14:textId="252C8606" w:rsidR="00D10DC1" w:rsidRDefault="00D10DC1" w:rsidP="00D10DC1">
            <w:pPr>
              <w:spacing w:after="0"/>
            </w:pPr>
            <w:r>
              <w:t xml:space="preserve">Manure </w:t>
            </w:r>
            <w:r w:rsidR="00023629">
              <w:t>m</w:t>
            </w:r>
            <w:r>
              <w:t>anagement</w:t>
            </w:r>
          </w:p>
          <w:p w14:paraId="3DDB674A" w14:textId="381E4B1A" w:rsidR="00C25602" w:rsidRDefault="00D10DC1" w:rsidP="00D10DC1">
            <w:r>
              <w:t xml:space="preserve">Agricultural </w:t>
            </w:r>
            <w:r w:rsidR="00023629">
              <w:t>s</w:t>
            </w:r>
            <w:r>
              <w:t>oils</w:t>
            </w:r>
          </w:p>
        </w:tc>
      </w:tr>
      <w:tr w:rsidR="00C25602" w:rsidRPr="00956380" w14:paraId="1D12E8CF" w14:textId="77777777" w:rsidTr="00C808FE">
        <w:trPr>
          <w:trHeight w:val="315"/>
        </w:trPr>
        <w:tc>
          <w:tcPr>
            <w:tcW w:w="2727"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2F16C6AB" w14:textId="77777777" w:rsidR="00C25602" w:rsidRDefault="00C25602" w:rsidP="00FD03C3">
            <w:pPr>
              <w:spacing w:after="0" w:line="240" w:lineRule="auto"/>
              <w:rPr>
                <w:rFonts w:eastAsia="Times New Roman" w:cs="Arial"/>
                <w:color w:val="000000"/>
                <w:szCs w:val="20"/>
                <w:lang w:eastAsia="en-AU"/>
              </w:rPr>
            </w:pPr>
            <w:r>
              <w:rPr>
                <w:rFonts w:eastAsia="Times New Roman" w:cs="Arial"/>
                <w:color w:val="000000"/>
                <w:szCs w:val="20"/>
                <w:lang w:eastAsia="en-AU"/>
              </w:rPr>
              <w:t>Grazing beef</w:t>
            </w:r>
          </w:p>
        </w:tc>
        <w:tc>
          <w:tcPr>
            <w:tcW w:w="6379" w:type="dxa"/>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68246BC9" w14:textId="7D3403C0" w:rsidR="00D10DC1" w:rsidRDefault="00D10DC1" w:rsidP="00D10DC1">
            <w:pPr>
              <w:spacing w:after="0"/>
            </w:pPr>
            <w:r>
              <w:t xml:space="preserve">Enteric </w:t>
            </w:r>
            <w:r w:rsidR="00023629">
              <w:t>f</w:t>
            </w:r>
            <w:r>
              <w:t>ermentation</w:t>
            </w:r>
          </w:p>
          <w:p w14:paraId="5847FBDE" w14:textId="4F80DEC0" w:rsidR="00D10DC1" w:rsidRDefault="00D10DC1" w:rsidP="00D10DC1">
            <w:pPr>
              <w:spacing w:after="0"/>
            </w:pPr>
            <w:r>
              <w:t xml:space="preserve">Manure </w:t>
            </w:r>
            <w:r w:rsidR="00023629">
              <w:t>m</w:t>
            </w:r>
            <w:r>
              <w:t>anagement</w:t>
            </w:r>
          </w:p>
          <w:p w14:paraId="2DF25F6A" w14:textId="1DEE4B49" w:rsidR="00C25602" w:rsidRDefault="00D10DC1" w:rsidP="00D10DC1">
            <w:r>
              <w:t xml:space="preserve">Agricultural </w:t>
            </w:r>
            <w:r w:rsidR="00023629">
              <w:t>s</w:t>
            </w:r>
            <w:r>
              <w:t>oils</w:t>
            </w:r>
          </w:p>
        </w:tc>
      </w:tr>
    </w:tbl>
    <w:p w14:paraId="4CAE44D4" w14:textId="4753BC24" w:rsidR="009731E0" w:rsidRDefault="009731E0" w:rsidP="00FB329E">
      <w:pPr>
        <w:spacing w:before="200"/>
        <w:rPr>
          <w:b/>
        </w:rPr>
      </w:pPr>
      <w:r w:rsidRPr="009731E0">
        <w:rPr>
          <w:b/>
        </w:rPr>
        <w:t>Formula</w:t>
      </w:r>
    </w:p>
    <w:p w14:paraId="0B478FDE" w14:textId="6E4AB995" w:rsidR="00473FE4" w:rsidRDefault="00377CAF" w:rsidP="009731E0">
      <w:r>
        <w:t xml:space="preserve">Emissions in the </w:t>
      </w:r>
      <w:r w:rsidR="005B2483" w:rsidRPr="006B1D4B">
        <w:rPr>
          <w:i/>
        </w:rPr>
        <w:t>a</w:t>
      </w:r>
      <w:r w:rsidRPr="006B1D4B">
        <w:rPr>
          <w:i/>
        </w:rPr>
        <w:t>griculture sector</w:t>
      </w:r>
      <w:r>
        <w:t xml:space="preserve"> are driven by activity numbers.</w:t>
      </w:r>
    </w:p>
    <w:p w14:paraId="7927106E" w14:textId="300B22C3" w:rsidR="00D10DC1" w:rsidRDefault="00D10DC1" w:rsidP="00D10DC1">
      <w:pPr>
        <w:rPr>
          <w:b/>
        </w:rPr>
      </w:pPr>
      <w:r w:rsidRPr="00C808FE">
        <w:rPr>
          <w:b/>
        </w:rPr>
        <w:t xml:space="preserve">Table </w:t>
      </w:r>
      <w:r w:rsidR="004D492A">
        <w:rPr>
          <w:b/>
        </w:rPr>
        <w:t>8</w:t>
      </w:r>
      <w:r w:rsidR="00023629">
        <w:rPr>
          <w:b/>
        </w:rPr>
        <w:t>.</w:t>
      </w:r>
      <w:r w:rsidRPr="00C808FE">
        <w:rPr>
          <w:b/>
        </w:rPr>
        <w:tab/>
        <w:t xml:space="preserve">Symbols used in algorithms </w:t>
      </w:r>
    </w:p>
    <w:tbl>
      <w:tblPr>
        <w:tblW w:w="9106" w:type="dxa"/>
        <w:tblInd w:w="108" w:type="dxa"/>
        <w:tblLook w:val="04A0" w:firstRow="1" w:lastRow="0" w:firstColumn="1" w:lastColumn="0" w:noHBand="0" w:noVBand="1"/>
      </w:tblPr>
      <w:tblGrid>
        <w:gridCol w:w="1026"/>
        <w:gridCol w:w="1560"/>
        <w:gridCol w:w="6520"/>
      </w:tblGrid>
      <w:tr w:rsidR="00E5167D" w:rsidRPr="00956380" w14:paraId="297C8EC0" w14:textId="77777777" w:rsidTr="00D24CA7">
        <w:trPr>
          <w:trHeight w:val="855"/>
        </w:trPr>
        <w:tc>
          <w:tcPr>
            <w:tcW w:w="1026" w:type="dxa"/>
            <w:tcBorders>
              <w:top w:val="nil"/>
              <w:left w:val="nil"/>
              <w:right w:val="nil"/>
            </w:tcBorders>
            <w:shd w:val="clear" w:color="000000" w:fill="134F8E"/>
            <w:vAlign w:val="center"/>
            <w:hideMark/>
          </w:tcPr>
          <w:p w14:paraId="581CFC42" w14:textId="42A7FB3B" w:rsidR="00E5167D" w:rsidRPr="00484C3E" w:rsidRDefault="00E5167D">
            <w:pPr>
              <w:spacing w:after="0" w:line="240" w:lineRule="auto"/>
              <w:rPr>
                <w:rFonts w:eastAsia="Times New Roman" w:cs="Arial"/>
                <w:b/>
                <w:color w:val="FFFFFF" w:themeColor="background1"/>
                <w:szCs w:val="24"/>
                <w:lang w:eastAsia="en-AU"/>
              </w:rPr>
            </w:pPr>
            <w:r>
              <w:rPr>
                <w:rFonts w:eastAsia="Times New Roman" w:cs="Arial"/>
                <w:b/>
                <w:color w:val="FFFFFF" w:themeColor="background1"/>
                <w:szCs w:val="24"/>
                <w:lang w:eastAsia="en-AU"/>
              </w:rPr>
              <w:t>Symbol</w:t>
            </w:r>
          </w:p>
        </w:tc>
        <w:tc>
          <w:tcPr>
            <w:tcW w:w="1560" w:type="dxa"/>
            <w:tcBorders>
              <w:top w:val="nil"/>
              <w:left w:val="nil"/>
              <w:right w:val="nil"/>
            </w:tcBorders>
            <w:shd w:val="clear" w:color="000000" w:fill="134F8E"/>
            <w:vAlign w:val="center"/>
          </w:tcPr>
          <w:p w14:paraId="3889C781" w14:textId="33F0E7C9" w:rsidR="00D24CA7" w:rsidRDefault="00D24CA7">
            <w:pPr>
              <w:spacing w:after="0" w:line="240" w:lineRule="auto"/>
              <w:rPr>
                <w:rFonts w:cs="Arial"/>
                <w:b/>
                <w:color w:val="FFFFFF" w:themeColor="background1"/>
                <w:kern w:val="24"/>
                <w:szCs w:val="32"/>
              </w:rPr>
            </w:pPr>
            <w:r>
              <w:rPr>
                <w:rFonts w:cs="Arial"/>
                <w:b/>
                <w:color w:val="FFFFFF" w:themeColor="background1"/>
                <w:kern w:val="24"/>
                <w:szCs w:val="32"/>
              </w:rPr>
              <w:t>Variable</w:t>
            </w:r>
          </w:p>
        </w:tc>
        <w:tc>
          <w:tcPr>
            <w:tcW w:w="6520" w:type="dxa"/>
            <w:tcBorders>
              <w:top w:val="nil"/>
              <w:left w:val="nil"/>
              <w:right w:val="nil"/>
            </w:tcBorders>
            <w:shd w:val="clear" w:color="000000" w:fill="134F8E"/>
            <w:vAlign w:val="center"/>
          </w:tcPr>
          <w:p w14:paraId="6B065F3E" w14:textId="277B1964" w:rsidR="00E5167D" w:rsidRDefault="00D24CA7" w:rsidP="00E34668">
            <w:pPr>
              <w:spacing w:after="0" w:line="240" w:lineRule="auto"/>
              <w:rPr>
                <w:rFonts w:cs="Arial"/>
                <w:b/>
                <w:color w:val="FFFFFF" w:themeColor="background1"/>
                <w:kern w:val="24"/>
                <w:szCs w:val="32"/>
              </w:rPr>
            </w:pPr>
            <w:r>
              <w:rPr>
                <w:rFonts w:cs="Arial"/>
                <w:b/>
                <w:color w:val="FFFFFF" w:themeColor="background1"/>
                <w:kern w:val="24"/>
                <w:szCs w:val="32"/>
              </w:rPr>
              <w:t>Variable categories</w:t>
            </w:r>
          </w:p>
        </w:tc>
      </w:tr>
      <w:tr w:rsidR="00E5167D" w:rsidRPr="00956380" w14:paraId="041F85F5" w14:textId="77777777" w:rsidTr="00D24CA7">
        <w:trPr>
          <w:trHeight w:val="315"/>
        </w:trPr>
        <w:tc>
          <w:tcPr>
            <w:tcW w:w="102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2A7D24BB" w14:textId="1C7B797F" w:rsidR="00E5167D" w:rsidRPr="006B1D4B" w:rsidRDefault="00D24CA7" w:rsidP="00E34668">
            <w:pPr>
              <w:spacing w:after="0" w:line="240" w:lineRule="auto"/>
              <w:rPr>
                <w:rFonts w:eastAsia="Times New Roman" w:cs="Arial"/>
                <w:i/>
                <w:color w:val="000000"/>
                <w:szCs w:val="20"/>
                <w:lang w:eastAsia="en-AU"/>
              </w:rPr>
            </w:pPr>
            <w:r w:rsidRPr="006B1D4B">
              <w:rPr>
                <w:rFonts w:eastAsia="Times New Roman" w:cs="Arial"/>
                <w:b/>
                <w:i/>
                <w:color w:val="000000"/>
                <w:szCs w:val="20"/>
                <w:lang w:eastAsia="en-AU"/>
              </w:rPr>
              <w:t>k</w:t>
            </w:r>
            <w:bookmarkStart w:id="44" w:name="_Ref511222569"/>
            <w:r w:rsidR="00511740">
              <w:rPr>
                <w:rStyle w:val="FootnoteReference"/>
                <w:rFonts w:eastAsia="Times New Roman" w:cs="Arial"/>
                <w:b/>
                <w:i/>
                <w:color w:val="000000"/>
                <w:szCs w:val="20"/>
                <w:lang w:eastAsia="en-AU"/>
              </w:rPr>
              <w:footnoteReference w:id="3"/>
            </w:r>
            <w:bookmarkEnd w:id="44"/>
          </w:p>
        </w:tc>
        <w:tc>
          <w:tcPr>
            <w:tcW w:w="1560" w:type="dxa"/>
            <w:tcBorders>
              <w:top w:val="nil"/>
              <w:left w:val="nil"/>
              <w:bottom w:val="single" w:sz="4" w:space="0" w:color="FFFFFF" w:themeColor="background1"/>
              <w:right w:val="single" w:sz="4" w:space="0" w:color="FFFFFF" w:themeColor="background1"/>
            </w:tcBorders>
            <w:shd w:val="clear" w:color="auto" w:fill="DBE5F1" w:themeFill="accent1" w:themeFillTint="33"/>
            <w:vAlign w:val="center"/>
          </w:tcPr>
          <w:p w14:paraId="765B2629" w14:textId="55758A2A" w:rsidR="00D24CA7" w:rsidRDefault="00D24CA7">
            <w:pPr>
              <w:spacing w:after="0" w:line="240" w:lineRule="auto"/>
              <w:rPr>
                <w:rFonts w:eastAsia="Times New Roman" w:cs="Arial"/>
                <w:color w:val="000000"/>
                <w:szCs w:val="20"/>
                <w:lang w:eastAsia="en-AU"/>
              </w:rPr>
            </w:pPr>
            <w:r>
              <w:rPr>
                <w:rFonts w:eastAsia="Times New Roman" w:cs="Arial"/>
                <w:color w:val="000000"/>
                <w:szCs w:val="20"/>
                <w:lang w:eastAsia="en-AU"/>
              </w:rPr>
              <w:t>State</w:t>
            </w:r>
          </w:p>
        </w:tc>
        <w:tc>
          <w:tcPr>
            <w:tcW w:w="6520" w:type="dxa"/>
            <w:tcBorders>
              <w:top w:val="nil"/>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1DF6F0A1" w14:textId="67244AEC" w:rsidR="00E5167D" w:rsidRPr="00484C3E" w:rsidRDefault="00D24CA7" w:rsidP="006B1D4B">
            <w:pPr>
              <w:spacing w:before="40" w:afterLines="40" w:after="96" w:line="240" w:lineRule="auto"/>
              <w:rPr>
                <w:rFonts w:eastAsia="Times New Roman" w:cs="Arial"/>
                <w:color w:val="000000"/>
                <w:szCs w:val="20"/>
                <w:lang w:eastAsia="en-AU"/>
              </w:rPr>
            </w:pPr>
            <w:r>
              <w:rPr>
                <w:rFonts w:eastAsia="Times New Roman" w:cs="Arial"/>
                <w:color w:val="000000"/>
                <w:szCs w:val="20"/>
                <w:lang w:eastAsia="en-AU"/>
              </w:rPr>
              <w:t>ACT, Northern Territory, Queensland, Tasmania, South Australia, NSW, Victoria, Tasmania</w:t>
            </w:r>
          </w:p>
        </w:tc>
      </w:tr>
      <w:tr w:rsidR="00E5167D" w:rsidRPr="00956380" w14:paraId="5EA17096" w14:textId="77777777" w:rsidTr="00D24CA7">
        <w:trPr>
          <w:trHeight w:val="315"/>
        </w:trPr>
        <w:tc>
          <w:tcPr>
            <w:tcW w:w="1026"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4862A7D9" w14:textId="79DC6820" w:rsidR="00E5167D" w:rsidRPr="006B1D4B" w:rsidRDefault="00D24CA7" w:rsidP="00E34668">
            <w:pPr>
              <w:spacing w:after="0" w:line="240" w:lineRule="auto"/>
              <w:rPr>
                <w:rFonts w:eastAsia="Times New Roman" w:cs="Arial"/>
                <w:i/>
                <w:color w:val="000000"/>
                <w:szCs w:val="20"/>
                <w:lang w:eastAsia="en-AU"/>
              </w:rPr>
            </w:pPr>
            <w:proofErr w:type="spellStart"/>
            <w:r w:rsidRPr="006B1D4B">
              <w:rPr>
                <w:rFonts w:eastAsia="Times New Roman" w:cs="Arial"/>
                <w:b/>
                <w:i/>
                <w:color w:val="000000"/>
                <w:szCs w:val="20"/>
                <w:lang w:eastAsia="en-AU"/>
              </w:rPr>
              <w:t>i</w:t>
            </w:r>
            <w:proofErr w:type="spellEnd"/>
            <w:r w:rsidR="00511740">
              <w:rPr>
                <w:rStyle w:val="FootnoteReference"/>
                <w:rFonts w:eastAsia="Times New Roman" w:cs="Arial"/>
                <w:b/>
                <w:i/>
                <w:color w:val="000000"/>
                <w:szCs w:val="20"/>
                <w:lang w:eastAsia="en-AU"/>
              </w:rPr>
              <w:footnoteReference w:id="4"/>
            </w:r>
          </w:p>
        </w:tc>
        <w:tc>
          <w:tcPr>
            <w:tcW w:w="1560" w:type="dxa"/>
            <w:tcBorders>
              <w:top w:val="single" w:sz="4" w:space="0" w:color="FFFFFF" w:themeColor="background1"/>
              <w:left w:val="nil"/>
              <w:bottom w:val="single" w:sz="8" w:space="0" w:color="FFFFFF"/>
              <w:right w:val="single" w:sz="4" w:space="0" w:color="FFFFFF" w:themeColor="background1"/>
            </w:tcBorders>
            <w:shd w:val="clear" w:color="auto" w:fill="DBE5F1" w:themeFill="accent1" w:themeFillTint="33"/>
            <w:vAlign w:val="center"/>
          </w:tcPr>
          <w:p w14:paraId="61F87E7B" w14:textId="6F80BC12" w:rsidR="00D24CA7" w:rsidRDefault="00D24CA7">
            <w:pPr>
              <w:spacing w:after="0" w:line="240" w:lineRule="auto"/>
              <w:rPr>
                <w:rFonts w:eastAsia="Times New Roman" w:cs="Arial"/>
                <w:color w:val="000000"/>
                <w:szCs w:val="20"/>
                <w:lang w:eastAsia="en-AU"/>
              </w:rPr>
            </w:pPr>
            <w:r>
              <w:rPr>
                <w:rFonts w:eastAsia="Times New Roman" w:cs="Arial"/>
                <w:color w:val="000000"/>
                <w:szCs w:val="20"/>
                <w:lang w:eastAsia="en-AU"/>
              </w:rPr>
              <w:t>Activity type</w:t>
            </w:r>
          </w:p>
        </w:tc>
        <w:tc>
          <w:tcPr>
            <w:tcW w:w="6520" w:type="dxa"/>
            <w:tcBorders>
              <w:top w:val="single" w:sz="4" w:space="0" w:color="FFFFFF" w:themeColor="background1"/>
              <w:left w:val="single" w:sz="4" w:space="0" w:color="FFFFFF" w:themeColor="background1"/>
              <w:bottom w:val="single" w:sz="8" w:space="0" w:color="FFFFFF"/>
              <w:right w:val="single" w:sz="4" w:space="0" w:color="FFFFFF" w:themeColor="background1"/>
            </w:tcBorders>
            <w:shd w:val="clear" w:color="auto" w:fill="DBE5F1" w:themeFill="accent1" w:themeFillTint="33"/>
            <w:vAlign w:val="center"/>
          </w:tcPr>
          <w:p w14:paraId="0BCE113E" w14:textId="7432F546" w:rsidR="00E5167D" w:rsidRPr="00484C3E" w:rsidRDefault="00D24CA7" w:rsidP="006B1D4B">
            <w:pPr>
              <w:spacing w:before="40" w:afterLines="40" w:after="96" w:line="240" w:lineRule="auto"/>
              <w:rPr>
                <w:rFonts w:eastAsia="Times New Roman" w:cs="Arial"/>
                <w:color w:val="000000"/>
                <w:szCs w:val="20"/>
                <w:lang w:eastAsia="en-AU"/>
              </w:rPr>
            </w:pPr>
            <w:r>
              <w:rPr>
                <w:rFonts w:eastAsia="Times New Roman" w:cs="Arial"/>
                <w:color w:val="000000"/>
                <w:szCs w:val="20"/>
                <w:lang w:eastAsia="en-AU"/>
              </w:rPr>
              <w:t>Grazing beef cattle, grain fed beef cattle, dairy cattle, sheep, wheat, rice, etc.</w:t>
            </w:r>
          </w:p>
        </w:tc>
      </w:tr>
      <w:tr w:rsidR="00E5167D" w:rsidRPr="00956380" w14:paraId="7F4D92E0" w14:textId="77777777" w:rsidTr="00D24CA7">
        <w:trPr>
          <w:trHeight w:val="315"/>
        </w:trPr>
        <w:tc>
          <w:tcPr>
            <w:tcW w:w="1026" w:type="dxa"/>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tcPr>
          <w:p w14:paraId="72692020" w14:textId="36416F9A" w:rsidR="00E5167D" w:rsidRPr="006B1D4B" w:rsidRDefault="00D24CA7" w:rsidP="00E34668">
            <w:pPr>
              <w:spacing w:after="0" w:line="240" w:lineRule="auto"/>
              <w:rPr>
                <w:rFonts w:eastAsia="Times New Roman" w:cs="Arial"/>
                <w:i/>
                <w:color w:val="000000"/>
                <w:szCs w:val="20"/>
                <w:lang w:eastAsia="en-AU"/>
              </w:rPr>
            </w:pPr>
            <w:r w:rsidRPr="006B1D4B">
              <w:rPr>
                <w:rFonts w:eastAsia="Times New Roman" w:cs="Arial"/>
                <w:b/>
                <w:i/>
                <w:color w:val="000000"/>
                <w:szCs w:val="20"/>
                <w:lang w:eastAsia="en-AU"/>
              </w:rPr>
              <w:t>j</w:t>
            </w:r>
            <w:r w:rsidR="00511740">
              <w:rPr>
                <w:rFonts w:eastAsia="Times New Roman" w:cs="Arial"/>
                <w:i/>
                <w:color w:val="000000"/>
                <w:szCs w:val="20"/>
                <w:vertAlign w:val="superscript"/>
                <w:lang w:eastAsia="en-AU"/>
              </w:rPr>
              <w:fldChar w:fldCharType="begin"/>
            </w:r>
            <w:r w:rsidR="00511740">
              <w:rPr>
                <w:rFonts w:eastAsia="Times New Roman" w:cs="Arial"/>
                <w:i/>
                <w:color w:val="000000"/>
                <w:szCs w:val="20"/>
                <w:vertAlign w:val="superscript"/>
                <w:lang w:eastAsia="en-AU"/>
              </w:rPr>
              <w:instrText xml:space="preserve"> NOTEREF _Ref511222569 \f \h </w:instrText>
            </w:r>
            <w:r w:rsidR="00511740">
              <w:rPr>
                <w:rFonts w:eastAsia="Times New Roman" w:cs="Arial"/>
                <w:i/>
                <w:color w:val="000000"/>
                <w:szCs w:val="20"/>
                <w:vertAlign w:val="superscript"/>
                <w:lang w:eastAsia="en-AU"/>
              </w:rPr>
            </w:r>
            <w:r w:rsidR="00511740">
              <w:rPr>
                <w:rFonts w:eastAsia="Times New Roman" w:cs="Arial"/>
                <w:i/>
                <w:color w:val="000000"/>
                <w:szCs w:val="20"/>
                <w:vertAlign w:val="superscript"/>
                <w:lang w:eastAsia="en-AU"/>
              </w:rPr>
              <w:fldChar w:fldCharType="separate"/>
            </w:r>
            <w:r w:rsidR="009F4BE3" w:rsidRPr="009F4BE3">
              <w:rPr>
                <w:rStyle w:val="FootnoteReference"/>
              </w:rPr>
              <w:t>2</w:t>
            </w:r>
            <w:r w:rsidR="00511740">
              <w:rPr>
                <w:rFonts w:eastAsia="Times New Roman" w:cs="Arial"/>
                <w:i/>
                <w:color w:val="000000"/>
                <w:szCs w:val="20"/>
                <w:vertAlign w:val="superscript"/>
                <w:lang w:eastAsia="en-AU"/>
              </w:rPr>
              <w:fldChar w:fldCharType="end"/>
            </w:r>
          </w:p>
        </w:tc>
        <w:tc>
          <w:tcPr>
            <w:tcW w:w="1560" w:type="dxa"/>
            <w:tcBorders>
              <w:top w:val="nil"/>
              <w:left w:val="nil"/>
              <w:bottom w:val="single" w:sz="4" w:space="0" w:color="FFFFFF" w:themeColor="background1"/>
              <w:right w:val="single" w:sz="4" w:space="0" w:color="FFFFFF" w:themeColor="background1"/>
            </w:tcBorders>
            <w:shd w:val="clear" w:color="auto" w:fill="DBE5F1" w:themeFill="accent1" w:themeFillTint="33"/>
            <w:vAlign w:val="center"/>
          </w:tcPr>
          <w:p w14:paraId="6271807E" w14:textId="38BBE74A" w:rsidR="00D24CA7" w:rsidRDefault="00D24CA7">
            <w:pPr>
              <w:spacing w:after="0" w:line="240" w:lineRule="auto"/>
              <w:rPr>
                <w:rFonts w:eastAsia="Times New Roman" w:cs="Arial"/>
                <w:color w:val="000000"/>
                <w:szCs w:val="20"/>
                <w:lang w:eastAsia="en-AU"/>
              </w:rPr>
            </w:pPr>
            <w:r>
              <w:rPr>
                <w:rFonts w:eastAsia="Times New Roman" w:cs="Arial"/>
                <w:color w:val="000000"/>
                <w:szCs w:val="20"/>
                <w:lang w:eastAsia="en-AU"/>
              </w:rPr>
              <w:t>Gas type</w:t>
            </w:r>
          </w:p>
        </w:tc>
        <w:tc>
          <w:tcPr>
            <w:tcW w:w="6520" w:type="dxa"/>
            <w:tcBorders>
              <w:top w:val="nil"/>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46027292" w14:textId="79D79BD7" w:rsidR="00E5167D" w:rsidRPr="00484C3E" w:rsidRDefault="00D24CA7" w:rsidP="006B1D4B">
            <w:pPr>
              <w:spacing w:before="40" w:afterLines="40" w:after="96" w:line="240" w:lineRule="auto"/>
              <w:rPr>
                <w:rFonts w:eastAsia="Times New Roman" w:cs="Arial"/>
                <w:color w:val="000000"/>
                <w:szCs w:val="20"/>
                <w:lang w:eastAsia="en-AU"/>
              </w:rPr>
            </w:pPr>
            <w:r>
              <w:rPr>
                <w:rFonts w:eastAsia="Times New Roman" w:cs="Arial"/>
                <w:color w:val="000000"/>
                <w:szCs w:val="20"/>
                <w:lang w:eastAsia="en-AU"/>
              </w:rPr>
              <w:t>Methane, nitrous oxide, carbon dioxide</w:t>
            </w:r>
          </w:p>
        </w:tc>
      </w:tr>
      <w:tr w:rsidR="00E5167D" w:rsidRPr="00956380" w14:paraId="0EE51321" w14:textId="77777777" w:rsidTr="00D24CA7">
        <w:trPr>
          <w:trHeight w:val="315"/>
        </w:trPr>
        <w:tc>
          <w:tcPr>
            <w:tcW w:w="1026" w:type="dxa"/>
            <w:tcBorders>
              <w:top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5E08AA43" w14:textId="07633BD8" w:rsidR="00E5167D" w:rsidRPr="006B1D4B" w:rsidRDefault="00D24CA7" w:rsidP="00E34668">
            <w:pPr>
              <w:spacing w:after="0" w:line="240" w:lineRule="auto"/>
              <w:rPr>
                <w:rFonts w:eastAsia="Times New Roman" w:cs="Arial"/>
                <w:i/>
                <w:color w:val="000000"/>
                <w:szCs w:val="20"/>
                <w:lang w:eastAsia="en-AU"/>
              </w:rPr>
            </w:pPr>
            <w:r w:rsidRPr="006B1D4B">
              <w:rPr>
                <w:rFonts w:eastAsia="Times New Roman" w:cs="Arial"/>
                <w:b/>
                <w:i/>
                <w:color w:val="000000"/>
                <w:szCs w:val="20"/>
                <w:lang w:eastAsia="en-AU"/>
              </w:rPr>
              <w:t>l</w:t>
            </w:r>
            <w:r w:rsidR="00511740">
              <w:rPr>
                <w:rFonts w:eastAsia="Times New Roman" w:cs="Arial"/>
                <w:i/>
                <w:color w:val="000000"/>
                <w:szCs w:val="20"/>
                <w:vertAlign w:val="superscript"/>
                <w:lang w:eastAsia="en-AU"/>
              </w:rPr>
              <w:fldChar w:fldCharType="begin"/>
            </w:r>
            <w:r w:rsidR="00511740">
              <w:rPr>
                <w:rFonts w:eastAsia="Times New Roman" w:cs="Arial"/>
                <w:b/>
                <w:i/>
                <w:color w:val="000000"/>
                <w:szCs w:val="20"/>
                <w:lang w:eastAsia="en-AU"/>
              </w:rPr>
              <w:instrText xml:space="preserve"> NOTEREF _Ref511222569 \f \h </w:instrText>
            </w:r>
            <w:r w:rsidR="00511740">
              <w:rPr>
                <w:rFonts w:eastAsia="Times New Roman" w:cs="Arial"/>
                <w:i/>
                <w:color w:val="000000"/>
                <w:szCs w:val="20"/>
                <w:vertAlign w:val="superscript"/>
                <w:lang w:eastAsia="en-AU"/>
              </w:rPr>
            </w:r>
            <w:r w:rsidR="00511740">
              <w:rPr>
                <w:rFonts w:eastAsia="Times New Roman" w:cs="Arial"/>
                <w:i/>
                <w:color w:val="000000"/>
                <w:szCs w:val="20"/>
                <w:vertAlign w:val="superscript"/>
                <w:lang w:eastAsia="en-AU"/>
              </w:rPr>
              <w:fldChar w:fldCharType="separate"/>
            </w:r>
            <w:r w:rsidR="009F4BE3" w:rsidRPr="009F4BE3">
              <w:rPr>
                <w:rStyle w:val="FootnoteReference"/>
              </w:rPr>
              <w:t>2</w:t>
            </w:r>
            <w:r w:rsidR="00511740">
              <w:rPr>
                <w:rFonts w:eastAsia="Times New Roman" w:cs="Arial"/>
                <w:i/>
                <w:color w:val="000000"/>
                <w:szCs w:val="20"/>
                <w:vertAlign w:val="superscript"/>
                <w:lang w:eastAsia="en-AU"/>
              </w:rPr>
              <w:fldChar w:fldCharType="end"/>
            </w:r>
          </w:p>
        </w:tc>
        <w:tc>
          <w:tcPr>
            <w:tcW w:w="1560" w:type="dxa"/>
            <w:tcBorders>
              <w:top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7B73D100" w14:textId="07FF07BB" w:rsidR="00D24CA7" w:rsidRDefault="00D24CA7">
            <w:r>
              <w:t>Gas source</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tcPr>
          <w:p w14:paraId="0D78B52B" w14:textId="65CC92E2" w:rsidR="00E5167D" w:rsidRDefault="00D24CA7" w:rsidP="006B1D4B">
            <w:pPr>
              <w:spacing w:before="40" w:afterLines="40" w:after="96"/>
            </w:pPr>
            <w:r>
              <w:t>Enteric fermentation, manure management, rice cultivation, agricultural soils, field burning of agricultural residues, lime and urea application</w:t>
            </w:r>
          </w:p>
        </w:tc>
      </w:tr>
    </w:tbl>
    <w:p w14:paraId="0115B8D5" w14:textId="77777777" w:rsidR="006C39A9" w:rsidRDefault="006C39A9" w:rsidP="009731E0"/>
    <w:p w14:paraId="26707537" w14:textId="39607DAD" w:rsidR="00377CAF" w:rsidRPr="00377CAF" w:rsidRDefault="00377CAF" w:rsidP="009731E0">
      <w:r w:rsidRPr="00377CAF">
        <w:t>Emissions f</w:t>
      </w:r>
      <w:r>
        <w:t>rom</w:t>
      </w:r>
      <w:r w:rsidRPr="00377CAF">
        <w:t xml:space="preserve"> agricultural activity is calculated as:</w:t>
      </w:r>
    </w:p>
    <w:p w14:paraId="684B1775" w14:textId="04FB793B" w:rsidR="00102DB6" w:rsidRPr="00102DB6" w:rsidRDefault="00E11E17" w:rsidP="00102DB6">
      <w:pPr>
        <w:rPr>
          <w:rFonts w:cs="Arial"/>
        </w:rPr>
      </w:pPr>
      <m:oMathPara>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nary>
                <m:naryPr>
                  <m:chr m:val="∑"/>
                  <m:limLoc m:val="subSup"/>
                  <m:supHide m:val="1"/>
                  <m:ctrlPr>
                    <w:rPr>
                      <w:rFonts w:ascii="Cambria Math" w:hAnsi="Cambria Math"/>
                      <w:i/>
                    </w:rPr>
                  </m:ctrlPr>
                </m:naryPr>
                <m:sub>
                  <m:r>
                    <w:rPr>
                      <w:rFonts w:ascii="Cambria Math" w:hAnsi="Cambria Math"/>
                    </w:rPr>
                    <m:t>l</m:t>
                  </m:r>
                </m:sub>
                <m:sup/>
                <m:e>
                  <m:nary>
                    <m:naryPr>
                      <m:chr m:val="∑"/>
                      <m:limLoc m:val="subSup"/>
                      <m:supHide m:val="1"/>
                      <m:ctrlPr>
                        <w:rPr>
                          <w:rFonts w:ascii="Cambria Math" w:hAnsi="Cambria Math"/>
                          <w:i/>
                        </w:rPr>
                      </m:ctrlPr>
                    </m:naryPr>
                    <m:sub>
                      <m:r>
                        <w:rPr>
                          <w:rFonts w:ascii="Cambria Math" w:hAnsi="Cambria Math"/>
                        </w:rPr>
                        <m:t>k</m:t>
                      </m:r>
                    </m:sub>
                    <m:sup/>
                    <m:e>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(N</m:t>
                              </m:r>
                            </m:e>
                            <m:sub>
                              <m:r>
                                <w:rPr>
                                  <w:rFonts w:ascii="Cambria Math" w:hAnsi="Cambria Math"/>
                                </w:rPr>
                                <m:t>ki</m:t>
                              </m:r>
                            </m:sub>
                          </m:sSub>
                        </m:e>
                      </m:nary>
                      <m:r>
                        <m:rPr>
                          <m:sty m:val="bi"/>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kjil</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m:e>
              </m:nary>
            </m:e>
          </m:nary>
        </m:oMath>
      </m:oMathPara>
    </w:p>
    <w:p w14:paraId="2FAE5457" w14:textId="77777777" w:rsidR="00BE3F86" w:rsidRDefault="00BE3F86" w:rsidP="00102DB6">
      <w:pPr>
        <w:rPr>
          <w:rFonts w:cs="Arial"/>
        </w:rPr>
      </w:pPr>
    </w:p>
    <w:p w14:paraId="6B40EA2E" w14:textId="3816E7D8" w:rsidR="00102DB6" w:rsidRDefault="00BE3F86" w:rsidP="00102DB6">
      <w:pPr>
        <w:rPr>
          <w:rFonts w:cs="Arial"/>
        </w:rPr>
      </w:pPr>
      <w:r>
        <w:rPr>
          <w:rFonts w:cs="Arial"/>
        </w:rPr>
        <w:t xml:space="preserve">Where </w:t>
      </w:r>
      <w:r>
        <w:rPr>
          <w:rFonts w:cs="Arial"/>
        </w:rPr>
        <w:tab/>
      </w:r>
      <w:r>
        <w:rPr>
          <w:rFonts w:cs="Arial"/>
        </w:rPr>
        <w:tab/>
      </w:r>
      <w:r w:rsidR="00102DB6" w:rsidRPr="00BE3F86">
        <w:rPr>
          <w:rFonts w:cs="Arial"/>
          <w:i/>
        </w:rPr>
        <w:t>E</w:t>
      </w:r>
      <w:r w:rsidR="00102DB6">
        <w:rPr>
          <w:rFonts w:cs="Arial"/>
        </w:rPr>
        <w:t xml:space="preserve"> = </w:t>
      </w:r>
      <w:r w:rsidR="00A4717A">
        <w:rPr>
          <w:rFonts w:cs="Arial"/>
        </w:rPr>
        <w:t>Emissions in year t</w:t>
      </w:r>
      <w:r w:rsidR="00583CC0">
        <w:rPr>
          <w:rFonts w:cs="Arial"/>
        </w:rPr>
        <w:t xml:space="preserve"> </w:t>
      </w:r>
      <w:r w:rsidR="00A4717A">
        <w:rPr>
          <w:rFonts w:cs="Arial"/>
        </w:rPr>
        <w:t>(</w:t>
      </w:r>
      <w:r w:rsidR="00583CC0">
        <w:rPr>
          <w:rFonts w:cs="Arial"/>
        </w:rPr>
        <w:t>Mt CO</w:t>
      </w:r>
      <w:r w:rsidR="00583CC0">
        <w:rPr>
          <w:rFonts w:cs="Arial"/>
          <w:vertAlign w:val="subscript"/>
        </w:rPr>
        <w:t>2</w:t>
      </w:r>
      <w:r w:rsidR="00583CC0">
        <w:rPr>
          <w:rFonts w:cs="Arial"/>
        </w:rPr>
        <w:t>-e</w:t>
      </w:r>
      <w:r w:rsidR="00A4717A">
        <w:rPr>
          <w:rFonts w:cs="Arial"/>
        </w:rPr>
        <w:t>)</w:t>
      </w:r>
    </w:p>
    <w:p w14:paraId="09B9ACBD" w14:textId="1A9B1D92" w:rsidR="00102DB6" w:rsidRDefault="00102DB6" w:rsidP="00BE3F86">
      <w:pPr>
        <w:ind w:left="1440"/>
      </w:pPr>
      <w:proofErr w:type="spellStart"/>
      <w:r w:rsidRPr="00BE3F86">
        <w:rPr>
          <w:i/>
        </w:rPr>
        <w:t>N</w:t>
      </w:r>
      <w:r w:rsidR="00377C83">
        <w:rPr>
          <w:i/>
          <w:vertAlign w:val="subscript"/>
        </w:rPr>
        <w:t>ki</w:t>
      </w:r>
      <w:proofErr w:type="spellEnd"/>
      <w:r>
        <w:rPr>
          <w:vertAlign w:val="superscript"/>
        </w:rPr>
        <w:t xml:space="preserve"> </w:t>
      </w:r>
      <w:r>
        <w:t xml:space="preserve">= </w:t>
      </w:r>
      <w:r w:rsidR="00F814AB">
        <w:t>quantity of activity type</w:t>
      </w:r>
      <w:r>
        <w:t xml:space="preserve"> in each state</w:t>
      </w:r>
      <w:r w:rsidR="00504A8A">
        <w:t xml:space="preserve">, in relevant unit quantity (number of heads, </w:t>
      </w:r>
      <w:proofErr w:type="spellStart"/>
      <w:r w:rsidR="00504A8A">
        <w:t>kilotonnes</w:t>
      </w:r>
      <w:proofErr w:type="spellEnd"/>
      <w:r w:rsidR="00BE7509">
        <w:t>, hectares,</w:t>
      </w:r>
      <w:r w:rsidR="00504A8A">
        <w:t xml:space="preserve"> etc.)</w:t>
      </w:r>
    </w:p>
    <w:p w14:paraId="470BB78D" w14:textId="0F34C4C6" w:rsidR="00583CC0" w:rsidRDefault="00F814AB" w:rsidP="00BE3F86">
      <w:pPr>
        <w:ind w:left="1440"/>
      </w:pPr>
      <w:proofErr w:type="spellStart"/>
      <w:r w:rsidRPr="00BE3F86">
        <w:rPr>
          <w:i/>
        </w:rPr>
        <w:t>EF</w:t>
      </w:r>
      <w:r w:rsidR="00377C83">
        <w:rPr>
          <w:vertAlign w:val="subscript"/>
        </w:rPr>
        <w:t>kjil</w:t>
      </w:r>
      <w:proofErr w:type="spellEnd"/>
      <w:r w:rsidR="00102DB6">
        <w:t xml:space="preserve"> = </w:t>
      </w:r>
      <w:r>
        <w:t xml:space="preserve">emissions factors </w:t>
      </w:r>
      <w:r w:rsidR="00583CC0">
        <w:t>of gas types</w:t>
      </w:r>
      <w:r w:rsidR="006338B9">
        <w:t>,</w:t>
      </w:r>
      <w:r w:rsidR="00583CC0">
        <w:t xml:space="preserve"> by gas source</w:t>
      </w:r>
    </w:p>
    <w:p w14:paraId="389F80FE" w14:textId="74D354B0" w:rsidR="00583CC0" w:rsidRDefault="00583CC0" w:rsidP="006338B9">
      <w:pPr>
        <w:ind w:left="1440" w:firstLine="720"/>
      </w:pPr>
      <w:r>
        <w:t xml:space="preserve">Emissions factors in: </w:t>
      </w:r>
      <w:r>
        <w:tab/>
      </w:r>
      <w:r w:rsidR="00102DB6">
        <w:t>(</w:t>
      </w:r>
      <w:proofErr w:type="spellStart"/>
      <w:r w:rsidR="00102DB6">
        <w:t>kt</w:t>
      </w:r>
      <w:proofErr w:type="spellEnd"/>
      <w:r w:rsidR="00102DB6">
        <w:t xml:space="preserve">/unit of activity/year) </w:t>
      </w:r>
    </w:p>
    <w:p w14:paraId="33247D31" w14:textId="102F60CA" w:rsidR="00102DB6" w:rsidRDefault="00102DB6" w:rsidP="006338B9">
      <w:pPr>
        <w:ind w:left="3600" w:firstLine="720"/>
      </w:pPr>
      <w:r>
        <w:t>(Gg/unit of activity/year for rice cultivation)</w:t>
      </w:r>
      <w:r w:rsidR="00F814AB" w:rsidRPr="00F814AB">
        <w:t xml:space="preserve"> </w:t>
      </w:r>
    </w:p>
    <w:p w14:paraId="5A660916" w14:textId="3E6682E8" w:rsidR="00102DB6" w:rsidRDefault="00473FE4" w:rsidP="00102DB6">
      <w:pPr>
        <w:rPr>
          <w:rFonts w:cs="Arial"/>
        </w:rPr>
      </w:pPr>
      <w:r>
        <w:rPr>
          <w:rFonts w:cs="Arial"/>
        </w:rPr>
        <w:t xml:space="preserve">The </w:t>
      </w:r>
      <w:r w:rsidR="005B2483">
        <w:rPr>
          <w:rFonts w:cs="Arial"/>
        </w:rPr>
        <w:t>a</w:t>
      </w:r>
      <w:r>
        <w:rPr>
          <w:rFonts w:cs="Arial"/>
        </w:rPr>
        <w:t xml:space="preserve">griculture projections </w:t>
      </w:r>
      <w:r w:rsidR="0036028B">
        <w:rPr>
          <w:rFonts w:cs="Arial"/>
        </w:rPr>
        <w:t xml:space="preserve">use emissions factors for activity derived from </w:t>
      </w:r>
      <w:r w:rsidR="00664D73">
        <w:rPr>
          <w:rFonts w:cs="Arial"/>
        </w:rPr>
        <w:t xml:space="preserve">Australia’s </w:t>
      </w:r>
      <w:r w:rsidR="0036028B" w:rsidRPr="00FB329E">
        <w:rPr>
          <w:rFonts w:cs="Arial"/>
          <w:i/>
        </w:rPr>
        <w:t>N</w:t>
      </w:r>
      <w:r w:rsidR="005B2483" w:rsidRPr="00FB329E">
        <w:rPr>
          <w:rFonts w:cs="Arial"/>
          <w:i/>
        </w:rPr>
        <w:t xml:space="preserve">ational </w:t>
      </w:r>
      <w:r w:rsidR="0036028B" w:rsidRPr="00FB329E">
        <w:rPr>
          <w:rFonts w:cs="Arial"/>
          <w:i/>
        </w:rPr>
        <w:t>I</w:t>
      </w:r>
      <w:r w:rsidR="005B2483" w:rsidRPr="00FB329E">
        <w:rPr>
          <w:rFonts w:cs="Arial"/>
          <w:i/>
        </w:rPr>
        <w:t xml:space="preserve">nventory </w:t>
      </w:r>
      <w:r w:rsidR="0036028B" w:rsidRPr="00FB329E">
        <w:rPr>
          <w:rFonts w:cs="Arial"/>
          <w:i/>
        </w:rPr>
        <w:t>R</w:t>
      </w:r>
      <w:r w:rsidR="005B2483" w:rsidRPr="00FB329E">
        <w:rPr>
          <w:rFonts w:cs="Arial"/>
          <w:i/>
        </w:rPr>
        <w:t>eport</w:t>
      </w:r>
      <w:r w:rsidR="00BE691C">
        <w:rPr>
          <w:rFonts w:cs="Arial"/>
        </w:rPr>
        <w:t>.</w:t>
      </w:r>
      <w:r w:rsidR="0036028B">
        <w:rPr>
          <w:rFonts w:cs="Arial"/>
        </w:rPr>
        <w:t xml:space="preserve"> </w:t>
      </w:r>
      <w:r w:rsidR="00BE691C">
        <w:rPr>
          <w:rFonts w:cs="Arial"/>
        </w:rPr>
        <w:t>F</w:t>
      </w:r>
      <w:r w:rsidR="0036028B">
        <w:rPr>
          <w:rFonts w:cs="Arial"/>
        </w:rPr>
        <w:t xml:space="preserve">or formulas on calculating emissions intensity, please see </w:t>
      </w:r>
      <w:r w:rsidR="00664D73">
        <w:rPr>
          <w:rFonts w:cs="Arial"/>
        </w:rPr>
        <w:t xml:space="preserve">Australia’s </w:t>
      </w:r>
      <w:r w:rsidR="0036028B" w:rsidRPr="00FB329E">
        <w:rPr>
          <w:rFonts w:cs="Arial"/>
          <w:i/>
        </w:rPr>
        <w:t>N</w:t>
      </w:r>
      <w:r w:rsidR="005B2483" w:rsidRPr="00FB329E">
        <w:rPr>
          <w:rFonts w:cs="Arial"/>
          <w:i/>
        </w:rPr>
        <w:t xml:space="preserve">ational </w:t>
      </w:r>
      <w:r w:rsidR="0036028B" w:rsidRPr="00FB329E">
        <w:rPr>
          <w:rFonts w:cs="Arial"/>
          <w:i/>
        </w:rPr>
        <w:t>I</w:t>
      </w:r>
      <w:r w:rsidR="005B2483" w:rsidRPr="00FB329E">
        <w:rPr>
          <w:rFonts w:cs="Arial"/>
          <w:i/>
        </w:rPr>
        <w:t xml:space="preserve">nventory </w:t>
      </w:r>
      <w:r w:rsidR="0036028B" w:rsidRPr="00FB329E">
        <w:rPr>
          <w:rFonts w:cs="Arial"/>
          <w:i/>
        </w:rPr>
        <w:t>R</w:t>
      </w:r>
      <w:r w:rsidR="005B2483" w:rsidRPr="00FB329E">
        <w:rPr>
          <w:rFonts w:cs="Arial"/>
          <w:i/>
        </w:rPr>
        <w:t>eport</w:t>
      </w:r>
      <w:r w:rsidR="005B2483">
        <w:rPr>
          <w:rFonts w:cs="Arial"/>
        </w:rPr>
        <w:t xml:space="preserve"> (</w:t>
      </w:r>
      <w:proofErr w:type="spellStart"/>
      <w:r w:rsidR="005B2483">
        <w:rPr>
          <w:rFonts w:cs="Arial"/>
        </w:rPr>
        <w:t>DoEE</w:t>
      </w:r>
      <w:proofErr w:type="spellEnd"/>
      <w:r w:rsidR="005B2483">
        <w:rPr>
          <w:rFonts w:cs="Arial"/>
        </w:rPr>
        <w:t xml:space="preserve"> 2017)</w:t>
      </w:r>
      <w:r w:rsidR="0036028B">
        <w:rPr>
          <w:rFonts w:cs="Arial"/>
        </w:rPr>
        <w:t>.</w:t>
      </w:r>
    </w:p>
    <w:p w14:paraId="72CBBB4E" w14:textId="77777777" w:rsidR="000E7071" w:rsidRDefault="000E7071" w:rsidP="000E7071">
      <w:pPr>
        <w:pStyle w:val="Heading2"/>
      </w:pPr>
      <w:bookmarkStart w:id="45" w:name="_Toc510532008"/>
      <w:bookmarkStart w:id="46" w:name="_Toc510532538"/>
      <w:bookmarkStart w:id="47" w:name="_Toc510534102"/>
      <w:bookmarkStart w:id="48" w:name="_Toc510794631"/>
      <w:bookmarkStart w:id="49" w:name="_Toc511297990"/>
      <w:bookmarkStart w:id="50" w:name="_Toc511304019"/>
      <w:bookmarkStart w:id="51" w:name="_Toc511918023"/>
      <w:r>
        <w:t>Waste</w:t>
      </w:r>
      <w:bookmarkEnd w:id="45"/>
      <w:bookmarkEnd w:id="46"/>
      <w:bookmarkEnd w:id="47"/>
      <w:bookmarkEnd w:id="48"/>
      <w:bookmarkEnd w:id="49"/>
      <w:bookmarkEnd w:id="50"/>
      <w:bookmarkEnd w:id="51"/>
    </w:p>
    <w:p w14:paraId="7F18A884" w14:textId="7DB8DA24" w:rsidR="000E7071" w:rsidRDefault="00972A47" w:rsidP="000E7071">
      <w:r>
        <w:t xml:space="preserve">The </w:t>
      </w:r>
      <w:r w:rsidR="00601472" w:rsidRPr="00133CD8">
        <w:rPr>
          <w:i/>
        </w:rPr>
        <w:t>waste</w:t>
      </w:r>
      <w:r w:rsidR="00246C18">
        <w:rPr>
          <w:i/>
        </w:rPr>
        <w:t xml:space="preserve"> sector</w:t>
      </w:r>
      <w:r w:rsidR="00601472">
        <w:t xml:space="preserve"> emissions are prepared by the Department</w:t>
      </w:r>
      <w:r w:rsidR="00246C18">
        <w:t xml:space="preserve">, </w:t>
      </w:r>
      <w:r w:rsidR="00601472">
        <w:t xml:space="preserve">modelling three </w:t>
      </w:r>
      <w:r w:rsidR="00246C18">
        <w:t xml:space="preserve">waste </w:t>
      </w:r>
      <w:r w:rsidR="00601472">
        <w:t>subsectors: solid waste, domestic and commercial waste wate</w:t>
      </w:r>
      <w:r w:rsidR="00A75E46">
        <w:t xml:space="preserve">r, and industrial wastewater. </w:t>
      </w:r>
      <w:r w:rsidR="00601472">
        <w:t xml:space="preserve">The projections calculate emissions based on population forecasts </w:t>
      </w:r>
      <w:r w:rsidR="0093236C">
        <w:t>from the ABS population projection for moderate growth (ABS 2013</w:t>
      </w:r>
      <w:r w:rsidR="00246C18">
        <w:t xml:space="preserve">, </w:t>
      </w:r>
      <w:r w:rsidR="0093236C">
        <w:t>Series B)</w:t>
      </w:r>
      <w:r w:rsidR="003F333E">
        <w:t>.</w:t>
      </w:r>
      <w:r w:rsidR="00601472">
        <w:t xml:space="preserve"> The rates of waste generation, diversion methane capture and proportion of wastewater anaerobically treated are </w:t>
      </w:r>
      <w:r w:rsidR="0093236C">
        <w:t xml:space="preserve">taken </w:t>
      </w:r>
      <w:r w:rsidR="00601472">
        <w:t xml:space="preserve">from </w:t>
      </w:r>
      <w:proofErr w:type="spellStart"/>
      <w:r w:rsidR="00601472">
        <w:t>Hyder</w:t>
      </w:r>
      <w:proofErr w:type="spellEnd"/>
      <w:r w:rsidR="00601472">
        <w:t xml:space="preserve"> </w:t>
      </w:r>
      <w:r w:rsidR="0093236C">
        <w:t>modelling (</w:t>
      </w:r>
      <w:proofErr w:type="spellStart"/>
      <w:r w:rsidR="0093236C">
        <w:t>Hyder</w:t>
      </w:r>
      <w:proofErr w:type="spellEnd"/>
      <w:r w:rsidR="0093236C">
        <w:t xml:space="preserve"> </w:t>
      </w:r>
      <w:r w:rsidR="00601472">
        <w:t>Consulting</w:t>
      </w:r>
      <w:r w:rsidR="0093236C">
        <w:t xml:space="preserve"> 2014)</w:t>
      </w:r>
      <w:r w:rsidR="00601472">
        <w:t>.</w:t>
      </w:r>
    </w:p>
    <w:p w14:paraId="3B51E81C" w14:textId="7F134B55" w:rsidR="00601472" w:rsidRDefault="00601472" w:rsidP="000E7071">
      <w:r>
        <w:t xml:space="preserve">The projections of wastewater activity </w:t>
      </w:r>
      <w:r w:rsidR="00F60709">
        <w:t>are based on the assumption that the organic content of wastewater, the proportion of wastewater that is treated anaerobically, and the proportion of the population serviced by a sewer will remain at the levels estimated for 2012,</w:t>
      </w:r>
      <w:r w:rsidR="00F60709">
        <w:rPr>
          <w:rStyle w:val="FootnoteReference"/>
        </w:rPr>
        <w:footnoteReference w:id="5"/>
      </w:r>
      <w:r w:rsidR="00F60709">
        <w:t xml:space="preserve"> over the projections period.</w:t>
      </w:r>
    </w:p>
    <w:p w14:paraId="197AA4AA" w14:textId="72FD2F66" w:rsidR="005719DB" w:rsidRDefault="005719DB" w:rsidP="000E7071">
      <w:r>
        <w:t xml:space="preserve">Over the period </w:t>
      </w:r>
      <w:r w:rsidR="003B4D65">
        <w:t xml:space="preserve">2017 to 2025, per capita waste generation is assumed to grow </w:t>
      </w:r>
      <w:r w:rsidR="00A75E46">
        <w:t>at</w:t>
      </w:r>
      <w:r w:rsidR="003B4D65">
        <w:t xml:space="preserve"> the same average rate of increase observed between 2008 and 2011 of </w:t>
      </w:r>
      <w:r w:rsidR="00A75E46">
        <w:t>1.7 per cent per year. Growth in waste generation is assumed to peak in 2025 as the impact of state and national waste policies, recycling and increased waste conscious products converges with expected population growth. Waste generation is capped at 2025 levels from 2025 to 2030.</w:t>
      </w:r>
    </w:p>
    <w:p w14:paraId="32AFCC9C" w14:textId="3FCE59DC" w:rsidR="00CE31C9" w:rsidRDefault="00CE31C9" w:rsidP="000E7071">
      <w:r>
        <w:t>The National Food Waste Strategy</w:t>
      </w:r>
      <w:r w:rsidR="00BE691C">
        <w:t xml:space="preserve"> </w:t>
      </w:r>
      <w:r>
        <w:t>is not included in this projection</w:t>
      </w:r>
      <w:r w:rsidR="00246C18">
        <w:t>.</w:t>
      </w:r>
      <w:r w:rsidR="00BE691C">
        <w:t xml:space="preserve"> </w:t>
      </w:r>
    </w:p>
    <w:p w14:paraId="5C4E4C63" w14:textId="6A5A2C61" w:rsidR="009634F5" w:rsidRPr="00A1201F" w:rsidRDefault="009634F5" w:rsidP="000E7071">
      <w:pPr>
        <w:rPr>
          <w:b/>
        </w:rPr>
      </w:pPr>
      <w:r w:rsidRPr="00A1201F">
        <w:rPr>
          <w:b/>
        </w:rPr>
        <w:t xml:space="preserve">Table </w:t>
      </w:r>
      <w:r w:rsidR="004D492A">
        <w:rPr>
          <w:b/>
        </w:rPr>
        <w:t>9</w:t>
      </w:r>
      <w:r w:rsidR="00023629">
        <w:rPr>
          <w:b/>
        </w:rPr>
        <w:t>.</w:t>
      </w:r>
      <w:r w:rsidRPr="00A1201F">
        <w:rPr>
          <w:b/>
        </w:rPr>
        <w:tab/>
      </w:r>
      <w:r w:rsidR="00C25602" w:rsidRPr="00A1201F">
        <w:rPr>
          <w:b/>
        </w:rPr>
        <w:t>Summary of sources and formulas for each waste subsector</w:t>
      </w:r>
    </w:p>
    <w:tbl>
      <w:tblPr>
        <w:tblW w:w="5000" w:type="pct"/>
        <w:tblLook w:val="04A0" w:firstRow="1" w:lastRow="0" w:firstColumn="1" w:lastColumn="0" w:noHBand="0" w:noVBand="1"/>
      </w:tblPr>
      <w:tblGrid>
        <w:gridCol w:w="2693"/>
        <w:gridCol w:w="2552"/>
        <w:gridCol w:w="3967"/>
      </w:tblGrid>
      <w:tr w:rsidR="00A75E46" w:rsidRPr="00956380" w14:paraId="0FC85027" w14:textId="3A3930A1" w:rsidTr="006C39A9">
        <w:trPr>
          <w:trHeight w:val="855"/>
          <w:tblHeader/>
        </w:trPr>
        <w:tc>
          <w:tcPr>
            <w:tcW w:w="1462" w:type="pct"/>
            <w:tcBorders>
              <w:top w:val="nil"/>
              <w:left w:val="nil"/>
              <w:right w:val="nil"/>
            </w:tcBorders>
            <w:shd w:val="clear" w:color="000000" w:fill="134F8E"/>
            <w:vAlign w:val="center"/>
            <w:hideMark/>
          </w:tcPr>
          <w:p w14:paraId="24827C79" w14:textId="365887F6" w:rsidR="00A75E46" w:rsidRPr="00484C3E" w:rsidRDefault="0093236C" w:rsidP="00484C3E">
            <w:pPr>
              <w:spacing w:after="0" w:line="240" w:lineRule="auto"/>
              <w:rPr>
                <w:rFonts w:eastAsia="Times New Roman" w:cs="Arial"/>
                <w:b/>
                <w:color w:val="FFFFFF" w:themeColor="background1"/>
                <w:szCs w:val="24"/>
                <w:lang w:eastAsia="en-AU"/>
              </w:rPr>
            </w:pPr>
            <w:r>
              <w:rPr>
                <w:rFonts w:eastAsia="Times New Roman" w:cs="Arial"/>
                <w:b/>
                <w:color w:val="FFFFFF" w:themeColor="background1"/>
                <w:szCs w:val="24"/>
                <w:lang w:eastAsia="en-AU"/>
              </w:rPr>
              <w:t xml:space="preserve">Emissions </w:t>
            </w:r>
            <w:r w:rsidR="00E00853">
              <w:rPr>
                <w:rFonts w:eastAsia="Times New Roman" w:cs="Arial"/>
                <w:b/>
                <w:color w:val="FFFFFF" w:themeColor="background1"/>
                <w:szCs w:val="24"/>
                <w:lang w:eastAsia="en-AU"/>
              </w:rPr>
              <w:t>subsector</w:t>
            </w:r>
          </w:p>
        </w:tc>
        <w:tc>
          <w:tcPr>
            <w:tcW w:w="1385" w:type="pct"/>
            <w:tcBorders>
              <w:top w:val="nil"/>
              <w:left w:val="nil"/>
              <w:right w:val="nil"/>
            </w:tcBorders>
            <w:shd w:val="clear" w:color="000000" w:fill="134F8E"/>
            <w:vAlign w:val="center"/>
            <w:hideMark/>
          </w:tcPr>
          <w:p w14:paraId="3CEDF477" w14:textId="50D55775" w:rsidR="00A75E46" w:rsidRPr="00484C3E" w:rsidRDefault="0093236C" w:rsidP="0093236C">
            <w:pPr>
              <w:spacing w:after="0" w:line="240" w:lineRule="auto"/>
              <w:rPr>
                <w:rFonts w:eastAsia="Times New Roman" w:cs="Arial"/>
                <w:b/>
                <w:color w:val="FFFFFF" w:themeColor="background1"/>
                <w:lang w:eastAsia="en-AU"/>
              </w:rPr>
            </w:pPr>
            <w:r>
              <w:rPr>
                <w:rFonts w:cs="Arial"/>
                <w:b/>
                <w:color w:val="FFFFFF" w:themeColor="background1"/>
                <w:kern w:val="24"/>
                <w:szCs w:val="32"/>
              </w:rPr>
              <w:t>Data</w:t>
            </w:r>
            <w:r w:rsidR="00E00853">
              <w:rPr>
                <w:rFonts w:cs="Arial"/>
                <w:b/>
                <w:color w:val="FFFFFF" w:themeColor="background1"/>
                <w:kern w:val="24"/>
                <w:szCs w:val="32"/>
              </w:rPr>
              <w:t xml:space="preserve"> sources</w:t>
            </w:r>
          </w:p>
        </w:tc>
        <w:tc>
          <w:tcPr>
            <w:tcW w:w="2153" w:type="pct"/>
            <w:tcBorders>
              <w:top w:val="nil"/>
              <w:left w:val="nil"/>
              <w:right w:val="nil"/>
            </w:tcBorders>
            <w:shd w:val="clear" w:color="000000" w:fill="134F8E"/>
            <w:vAlign w:val="center"/>
          </w:tcPr>
          <w:p w14:paraId="3F0B6DED" w14:textId="5590801A" w:rsidR="00A75E46" w:rsidRPr="00484C3E" w:rsidRDefault="00484C3E" w:rsidP="00484C3E">
            <w:pPr>
              <w:spacing w:after="0" w:line="240" w:lineRule="auto"/>
              <w:rPr>
                <w:rFonts w:cs="Arial"/>
                <w:b/>
                <w:color w:val="FFFFFF" w:themeColor="background1"/>
                <w:kern w:val="24"/>
                <w:szCs w:val="32"/>
              </w:rPr>
            </w:pPr>
            <w:r>
              <w:rPr>
                <w:rFonts w:cs="Arial"/>
                <w:b/>
                <w:color w:val="FFFFFF" w:themeColor="background1"/>
                <w:kern w:val="24"/>
                <w:szCs w:val="32"/>
              </w:rPr>
              <w:t>Formula</w:t>
            </w:r>
          </w:p>
        </w:tc>
      </w:tr>
      <w:tr w:rsidR="00A75E46" w:rsidRPr="00956380" w14:paraId="7532B30A" w14:textId="3484E3FB" w:rsidTr="006C39A9">
        <w:trPr>
          <w:trHeight w:val="315"/>
        </w:trPr>
        <w:tc>
          <w:tcPr>
            <w:tcW w:w="1462" w:type="pct"/>
            <w:tcBorders>
              <w:top w:val="nil"/>
              <w:left w:val="single" w:sz="8" w:space="0" w:color="FFFFFF"/>
              <w:bottom w:val="single" w:sz="4" w:space="0" w:color="FFFFFF" w:themeColor="background1"/>
              <w:right w:val="single" w:sz="8" w:space="0" w:color="FFFFFF"/>
            </w:tcBorders>
            <w:shd w:val="clear" w:color="auto" w:fill="DBE5F1" w:themeFill="accent1" w:themeFillTint="33"/>
            <w:vAlign w:val="center"/>
            <w:hideMark/>
          </w:tcPr>
          <w:p w14:paraId="12B79042" w14:textId="610932D0" w:rsidR="00A75E46" w:rsidRPr="00484C3E" w:rsidRDefault="00484C3E" w:rsidP="00484C3E">
            <w:pPr>
              <w:spacing w:after="0" w:line="240" w:lineRule="auto"/>
              <w:rPr>
                <w:rFonts w:eastAsia="Times New Roman" w:cs="Arial"/>
                <w:color w:val="000000"/>
                <w:szCs w:val="20"/>
                <w:lang w:eastAsia="en-AU"/>
              </w:rPr>
            </w:pPr>
            <w:r>
              <w:rPr>
                <w:rFonts w:eastAsia="Times New Roman" w:cs="Arial"/>
                <w:color w:val="000000"/>
                <w:szCs w:val="20"/>
                <w:lang w:eastAsia="en-AU"/>
              </w:rPr>
              <w:t>Solid waste</w:t>
            </w:r>
          </w:p>
        </w:tc>
        <w:tc>
          <w:tcPr>
            <w:tcW w:w="1385" w:type="pct"/>
            <w:tcBorders>
              <w:top w:val="nil"/>
              <w:left w:val="nil"/>
              <w:bottom w:val="single" w:sz="4" w:space="0" w:color="FFFFFF" w:themeColor="background1"/>
              <w:right w:val="single" w:sz="8" w:space="0" w:color="FFFFFF"/>
            </w:tcBorders>
            <w:shd w:val="clear" w:color="auto" w:fill="DBE5F1" w:themeFill="accent1" w:themeFillTint="33"/>
            <w:vAlign w:val="center"/>
            <w:hideMark/>
          </w:tcPr>
          <w:p w14:paraId="28622C42" w14:textId="1E1F3746" w:rsidR="00D62F0B" w:rsidRDefault="00D62F0B" w:rsidP="00484C3E">
            <w:pPr>
              <w:spacing w:after="0" w:line="240" w:lineRule="auto"/>
              <w:rPr>
                <w:rFonts w:eastAsia="Times New Roman" w:cs="Arial"/>
                <w:color w:val="000000"/>
                <w:szCs w:val="20"/>
                <w:lang w:eastAsia="en-AU"/>
              </w:rPr>
            </w:pPr>
            <w:r>
              <w:rPr>
                <w:rFonts w:eastAsia="Times New Roman" w:cs="Arial"/>
                <w:color w:val="000000"/>
                <w:szCs w:val="20"/>
                <w:lang w:eastAsia="en-AU"/>
              </w:rPr>
              <w:t xml:space="preserve">ABS </w:t>
            </w:r>
            <w:r w:rsidR="00D939F5">
              <w:rPr>
                <w:rFonts w:eastAsia="Times New Roman" w:cs="Arial"/>
                <w:color w:val="000000"/>
                <w:szCs w:val="20"/>
                <w:lang w:eastAsia="en-AU"/>
              </w:rPr>
              <w:t>2013</w:t>
            </w:r>
          </w:p>
          <w:p w14:paraId="56413336" w14:textId="4CE194DA" w:rsidR="00D939F5" w:rsidRDefault="00D939F5" w:rsidP="00484C3E">
            <w:pPr>
              <w:spacing w:after="0" w:line="240" w:lineRule="auto"/>
              <w:rPr>
                <w:rFonts w:eastAsia="Times New Roman" w:cs="Arial"/>
                <w:color w:val="000000"/>
                <w:szCs w:val="20"/>
                <w:lang w:eastAsia="en-AU"/>
              </w:rPr>
            </w:pPr>
            <w:r>
              <w:rPr>
                <w:rFonts w:eastAsia="Times New Roman" w:cs="Arial"/>
                <w:color w:val="000000"/>
                <w:szCs w:val="20"/>
                <w:lang w:eastAsia="en-AU"/>
              </w:rPr>
              <w:t>ABS 2017</w:t>
            </w:r>
          </w:p>
          <w:p w14:paraId="45996E01" w14:textId="20656ED1" w:rsidR="00D939F5" w:rsidRDefault="00D939F5" w:rsidP="00484C3E">
            <w:pPr>
              <w:spacing w:after="0" w:line="240" w:lineRule="auto"/>
              <w:rPr>
                <w:rFonts w:eastAsia="Times New Roman" w:cs="Arial"/>
                <w:color w:val="000000"/>
                <w:szCs w:val="20"/>
                <w:lang w:eastAsia="en-AU"/>
              </w:rPr>
            </w:pPr>
            <w:proofErr w:type="spellStart"/>
            <w:r>
              <w:rPr>
                <w:rFonts w:eastAsia="Times New Roman" w:cs="Arial"/>
                <w:color w:val="000000"/>
                <w:szCs w:val="20"/>
                <w:lang w:eastAsia="en-AU"/>
              </w:rPr>
              <w:t>DoE</w:t>
            </w:r>
            <w:r w:rsidR="00664D73">
              <w:rPr>
                <w:rFonts w:eastAsia="Times New Roman" w:cs="Arial"/>
                <w:color w:val="000000"/>
                <w:szCs w:val="20"/>
                <w:lang w:eastAsia="en-AU"/>
              </w:rPr>
              <w:t>E</w:t>
            </w:r>
            <w:proofErr w:type="spellEnd"/>
            <w:r>
              <w:rPr>
                <w:rFonts w:eastAsia="Times New Roman" w:cs="Arial"/>
                <w:color w:val="000000"/>
                <w:szCs w:val="20"/>
                <w:lang w:eastAsia="en-AU"/>
              </w:rPr>
              <w:t xml:space="preserve"> 2017</w:t>
            </w:r>
          </w:p>
          <w:p w14:paraId="5BCE2B4D" w14:textId="6E58F8C7" w:rsidR="00D939F5" w:rsidRDefault="00D939F5" w:rsidP="00484C3E">
            <w:pPr>
              <w:spacing w:after="0" w:line="240" w:lineRule="auto"/>
              <w:rPr>
                <w:rFonts w:eastAsia="Times New Roman" w:cs="Arial"/>
                <w:color w:val="000000"/>
                <w:szCs w:val="20"/>
                <w:lang w:eastAsia="en-AU"/>
              </w:rPr>
            </w:pPr>
            <w:proofErr w:type="spellStart"/>
            <w:r w:rsidRPr="00737986">
              <w:rPr>
                <w:rFonts w:eastAsia="Times New Roman" w:cs="Arial"/>
                <w:color w:val="000000"/>
                <w:szCs w:val="20"/>
                <w:lang w:eastAsia="en-AU"/>
              </w:rPr>
              <w:t>DoE</w:t>
            </w:r>
            <w:r w:rsidR="00664D73" w:rsidRPr="00737986">
              <w:rPr>
                <w:rFonts w:eastAsia="Times New Roman" w:cs="Arial"/>
                <w:color w:val="000000"/>
                <w:szCs w:val="20"/>
                <w:lang w:eastAsia="en-AU"/>
              </w:rPr>
              <w:t>E</w:t>
            </w:r>
            <w:proofErr w:type="spellEnd"/>
            <w:r w:rsidR="00E00853" w:rsidRPr="00737986">
              <w:rPr>
                <w:rFonts w:eastAsia="Times New Roman" w:cs="Arial"/>
                <w:color w:val="000000"/>
                <w:szCs w:val="20"/>
                <w:lang w:eastAsia="en-AU"/>
              </w:rPr>
              <w:t xml:space="preserve"> </w:t>
            </w:r>
            <w:r w:rsidR="006231C3">
              <w:rPr>
                <w:rFonts w:eastAsia="Times New Roman" w:cs="Arial"/>
                <w:color w:val="000000"/>
                <w:szCs w:val="20"/>
                <w:lang w:eastAsia="en-AU"/>
              </w:rPr>
              <w:t>2017</w:t>
            </w:r>
            <w:r w:rsidR="008B4AC5">
              <w:rPr>
                <w:rFonts w:eastAsia="Times New Roman" w:cs="Arial"/>
                <w:color w:val="000000"/>
                <w:szCs w:val="20"/>
                <w:lang w:eastAsia="en-AU"/>
              </w:rPr>
              <w:t>b</w:t>
            </w:r>
          </w:p>
          <w:p w14:paraId="2725EE46" w14:textId="03F593C0" w:rsidR="00D939F5" w:rsidRPr="00484C3E" w:rsidRDefault="00D62F0B" w:rsidP="00484C3E">
            <w:pPr>
              <w:spacing w:after="0" w:line="240" w:lineRule="auto"/>
              <w:rPr>
                <w:rFonts w:eastAsia="Times New Roman" w:cs="Arial"/>
                <w:color w:val="000000"/>
                <w:szCs w:val="20"/>
                <w:lang w:eastAsia="en-AU"/>
              </w:rPr>
            </w:pPr>
            <w:proofErr w:type="spellStart"/>
            <w:r>
              <w:rPr>
                <w:rFonts w:eastAsia="Times New Roman" w:cs="Arial"/>
                <w:color w:val="000000"/>
                <w:szCs w:val="20"/>
                <w:lang w:eastAsia="en-AU"/>
              </w:rPr>
              <w:t>Hyder</w:t>
            </w:r>
            <w:proofErr w:type="spellEnd"/>
            <w:r>
              <w:rPr>
                <w:rFonts w:eastAsia="Times New Roman" w:cs="Arial"/>
                <w:color w:val="000000"/>
                <w:szCs w:val="20"/>
                <w:lang w:eastAsia="en-AU"/>
              </w:rPr>
              <w:t xml:space="preserve"> </w:t>
            </w:r>
            <w:r w:rsidR="00D939F5">
              <w:rPr>
                <w:rFonts w:eastAsia="Times New Roman" w:cs="Arial"/>
                <w:color w:val="000000"/>
                <w:szCs w:val="20"/>
                <w:lang w:eastAsia="en-AU"/>
              </w:rPr>
              <w:t xml:space="preserve">Consulting </w:t>
            </w:r>
            <w:r>
              <w:rPr>
                <w:rFonts w:eastAsia="Times New Roman" w:cs="Arial"/>
                <w:color w:val="000000"/>
                <w:szCs w:val="20"/>
                <w:lang w:eastAsia="en-AU"/>
              </w:rPr>
              <w:t>2014</w:t>
            </w:r>
          </w:p>
        </w:tc>
        <w:tc>
          <w:tcPr>
            <w:tcW w:w="2153" w:type="pct"/>
            <w:tcBorders>
              <w:top w:val="nil"/>
              <w:left w:val="nil"/>
              <w:bottom w:val="single" w:sz="4" w:space="0" w:color="FFFFFF" w:themeColor="background1"/>
              <w:right w:val="single" w:sz="8" w:space="0" w:color="FFFFFF"/>
            </w:tcBorders>
            <w:shd w:val="clear" w:color="auto" w:fill="DBE5F1" w:themeFill="accent1" w:themeFillTint="33"/>
            <w:vAlign w:val="center"/>
          </w:tcPr>
          <w:p w14:paraId="5349FECA" w14:textId="77777777" w:rsidR="00F333F9" w:rsidRPr="00F333F9" w:rsidRDefault="00E11E17" w:rsidP="003F333E">
            <w:pPr>
              <w:spacing w:before="120" w:after="0" w:line="240" w:lineRule="auto"/>
              <w:rPr>
                <w:rFonts w:eastAsia="Times New Roman" w:cs="Arial"/>
                <w:color w:val="000000"/>
                <w:szCs w:val="20"/>
                <w:lang w:eastAsia="en-AU"/>
              </w:rPr>
            </w:pPr>
            <m:oMathPara>
              <m:oMath>
                <m:sSub>
                  <m:sSubPr>
                    <m:ctrlPr>
                      <w:rPr>
                        <w:rFonts w:ascii="Cambria Math" w:eastAsia="Times New Roman" w:hAnsi="Cambria Math" w:cs="Arial"/>
                        <w:i/>
                        <w:color w:val="000000"/>
                        <w:szCs w:val="20"/>
                        <w:lang w:eastAsia="en-AU"/>
                      </w:rPr>
                    </m:ctrlPr>
                  </m:sSubPr>
                  <m:e>
                    <m:r>
                      <w:rPr>
                        <w:rFonts w:ascii="Cambria Math" w:eastAsia="Times New Roman" w:hAnsi="Cambria Math" w:cs="Arial"/>
                        <w:color w:val="000000"/>
                        <w:szCs w:val="20"/>
                        <w:lang w:eastAsia="en-AU"/>
                      </w:rPr>
                      <m:t>E</m:t>
                    </m:r>
                  </m:e>
                  <m:sub>
                    <m:r>
                      <w:rPr>
                        <w:rFonts w:ascii="Cambria Math" w:eastAsia="Times New Roman" w:hAnsi="Cambria Math" w:cs="Arial"/>
                        <w:color w:val="000000"/>
                        <w:szCs w:val="20"/>
                        <w:lang w:eastAsia="en-AU"/>
                      </w:rPr>
                      <m:t>SW</m:t>
                    </m:r>
                  </m:sub>
                </m:sSub>
                <m:r>
                  <w:rPr>
                    <w:rFonts w:ascii="Cambria Math" w:eastAsia="Times New Roman" w:hAnsi="Cambria Math" w:cs="Arial"/>
                    <w:color w:val="000000"/>
                    <w:szCs w:val="20"/>
                    <w:lang w:eastAsia="en-AU"/>
                  </w:rPr>
                  <m:t>=i+c+</m:t>
                </m:r>
                <m:d>
                  <m:dPr>
                    <m:ctrlPr>
                      <w:rPr>
                        <w:rFonts w:ascii="Cambria Math" w:eastAsia="Times New Roman" w:hAnsi="Cambria Math" w:cs="Arial"/>
                        <w:i/>
                        <w:color w:val="000000"/>
                        <w:szCs w:val="20"/>
                        <w:lang w:eastAsia="en-AU"/>
                      </w:rPr>
                    </m:ctrlPr>
                  </m:dPr>
                  <m:e>
                    <m:sSubSup>
                      <m:sSubSupPr>
                        <m:ctrlPr>
                          <w:rPr>
                            <w:rFonts w:ascii="Cambria Math" w:eastAsia="Times New Roman" w:hAnsi="Cambria Math" w:cs="Arial"/>
                            <w:i/>
                            <w:color w:val="000000"/>
                            <w:szCs w:val="20"/>
                            <w:lang w:eastAsia="en-AU"/>
                          </w:rPr>
                        </m:ctrlPr>
                      </m:sSubSupPr>
                      <m:e>
                        <m:r>
                          <w:rPr>
                            <w:rFonts w:ascii="Cambria Math" w:eastAsia="Times New Roman" w:hAnsi="Cambria Math" w:cs="Arial"/>
                            <w:color w:val="000000"/>
                            <w:szCs w:val="20"/>
                            <w:lang w:eastAsia="en-AU"/>
                          </w:rPr>
                          <m:t>CH</m:t>
                        </m:r>
                      </m:e>
                      <m:sub>
                        <m:r>
                          <w:rPr>
                            <w:rFonts w:ascii="Cambria Math" w:eastAsia="Times New Roman" w:hAnsi="Cambria Math" w:cs="Arial"/>
                            <w:color w:val="000000"/>
                            <w:szCs w:val="20"/>
                            <w:lang w:eastAsia="en-AU"/>
                          </w:rPr>
                          <m:t>4</m:t>
                        </m:r>
                      </m:sub>
                      <m:sup>
                        <m:r>
                          <w:rPr>
                            <w:rFonts w:ascii="Cambria Math" w:eastAsia="Times New Roman" w:hAnsi="Cambria Math" w:cs="Arial"/>
                            <w:color w:val="000000"/>
                            <w:szCs w:val="20"/>
                            <w:lang w:eastAsia="en-AU"/>
                          </w:rPr>
                          <m:t>g</m:t>
                        </m:r>
                      </m:sup>
                    </m:sSubSup>
                    <m:r>
                      <w:rPr>
                        <w:rFonts w:ascii="Cambria Math" w:eastAsia="Times New Roman" w:hAnsi="Cambria Math" w:cs="Arial"/>
                        <w:color w:val="000000"/>
                        <w:szCs w:val="20"/>
                        <w:lang w:eastAsia="en-AU"/>
                      </w:rPr>
                      <m:t>-</m:t>
                    </m:r>
                    <m:sSubSup>
                      <m:sSubSupPr>
                        <m:ctrlPr>
                          <w:rPr>
                            <w:rFonts w:ascii="Cambria Math" w:eastAsia="Times New Roman" w:hAnsi="Cambria Math" w:cs="Arial"/>
                            <w:i/>
                            <w:color w:val="000000"/>
                            <w:szCs w:val="20"/>
                            <w:lang w:eastAsia="en-AU"/>
                          </w:rPr>
                        </m:ctrlPr>
                      </m:sSubSupPr>
                      <m:e>
                        <m:r>
                          <w:rPr>
                            <w:rFonts w:ascii="Cambria Math" w:eastAsia="Times New Roman" w:hAnsi="Cambria Math" w:cs="Arial"/>
                            <w:color w:val="000000"/>
                            <w:szCs w:val="20"/>
                            <w:lang w:eastAsia="en-AU"/>
                          </w:rPr>
                          <m:t>CH</m:t>
                        </m:r>
                      </m:e>
                      <m:sub>
                        <m:r>
                          <w:rPr>
                            <w:rFonts w:ascii="Cambria Math" w:eastAsia="Times New Roman" w:hAnsi="Cambria Math" w:cs="Arial"/>
                            <w:color w:val="000000"/>
                            <w:szCs w:val="20"/>
                            <w:lang w:eastAsia="en-AU"/>
                          </w:rPr>
                          <m:t>4</m:t>
                        </m:r>
                      </m:sub>
                      <m:sup>
                        <m:r>
                          <w:rPr>
                            <w:rFonts w:ascii="Cambria Math" w:eastAsia="Times New Roman" w:hAnsi="Cambria Math" w:cs="Arial"/>
                            <w:color w:val="000000"/>
                            <w:szCs w:val="20"/>
                            <w:lang w:eastAsia="en-AU"/>
                          </w:rPr>
                          <m:t>c</m:t>
                        </m:r>
                      </m:sup>
                    </m:sSubSup>
                  </m:e>
                </m:d>
              </m:oMath>
            </m:oMathPara>
          </w:p>
          <w:p w14:paraId="0012817D" w14:textId="77777777" w:rsidR="00F333F9" w:rsidRDefault="00F333F9" w:rsidP="00763307">
            <w:pPr>
              <w:spacing w:after="0" w:line="240" w:lineRule="auto"/>
              <w:rPr>
                <w:i/>
                <w:sz w:val="16"/>
                <w:szCs w:val="16"/>
              </w:rPr>
            </w:pPr>
          </w:p>
          <w:p w14:paraId="27ED0DA6" w14:textId="58C067C5" w:rsidR="009A284B" w:rsidRPr="00F333F9" w:rsidRDefault="009A284B" w:rsidP="00763307">
            <w:pPr>
              <w:spacing w:after="0" w:line="240" w:lineRule="auto"/>
              <w:rPr>
                <w:rFonts w:eastAsia="Times New Roman" w:cs="Arial"/>
                <w:sz w:val="16"/>
                <w:szCs w:val="16"/>
              </w:rPr>
            </w:pPr>
            <w:r w:rsidRPr="004510D5">
              <w:rPr>
                <w:i/>
                <w:sz w:val="16"/>
                <w:szCs w:val="16"/>
              </w:rPr>
              <w:t xml:space="preserve">Where: </w:t>
            </w:r>
            <w:r>
              <w:rPr>
                <w:i/>
                <w:sz w:val="16"/>
                <w:szCs w:val="16"/>
              </w:rPr>
              <w:br/>
              <w:t>E</w:t>
            </w:r>
            <w:r w:rsidR="00FD145A" w:rsidRPr="00FD145A">
              <w:rPr>
                <w:i/>
                <w:sz w:val="16"/>
                <w:szCs w:val="16"/>
                <w:vertAlign w:val="subscript"/>
              </w:rPr>
              <w:t>SW</w:t>
            </w:r>
            <w:r w:rsidR="007B2A4A">
              <w:rPr>
                <w:i/>
                <w:sz w:val="16"/>
                <w:szCs w:val="16"/>
                <w:vertAlign w:val="subscript"/>
              </w:rPr>
              <w:t xml:space="preserve"> </w:t>
            </w:r>
            <w:r w:rsidRPr="004510D5">
              <w:rPr>
                <w:i/>
                <w:sz w:val="16"/>
                <w:szCs w:val="16"/>
              </w:rPr>
              <w:t xml:space="preserve">= </w:t>
            </w:r>
            <w:r w:rsidR="00226B59">
              <w:rPr>
                <w:i/>
                <w:sz w:val="16"/>
                <w:szCs w:val="16"/>
              </w:rPr>
              <w:t>s</w:t>
            </w:r>
            <w:r>
              <w:rPr>
                <w:i/>
                <w:sz w:val="16"/>
                <w:szCs w:val="16"/>
              </w:rPr>
              <w:t>olid waste emissions</w:t>
            </w:r>
            <w:r>
              <w:rPr>
                <w:i/>
                <w:sz w:val="16"/>
                <w:szCs w:val="16"/>
              </w:rPr>
              <w:br/>
            </w:r>
            <w:proofErr w:type="spellStart"/>
            <w:r>
              <w:rPr>
                <w:i/>
                <w:sz w:val="16"/>
                <w:szCs w:val="16"/>
              </w:rPr>
              <w:t>i</w:t>
            </w:r>
            <w:proofErr w:type="spellEnd"/>
            <w:r>
              <w:rPr>
                <w:i/>
                <w:sz w:val="16"/>
                <w:szCs w:val="16"/>
              </w:rPr>
              <w:t xml:space="preserve"> = </w:t>
            </w:r>
            <w:r w:rsidR="00226B59">
              <w:rPr>
                <w:i/>
                <w:sz w:val="16"/>
                <w:szCs w:val="16"/>
              </w:rPr>
              <w:t>e</w:t>
            </w:r>
            <w:r>
              <w:rPr>
                <w:i/>
                <w:sz w:val="16"/>
                <w:szCs w:val="16"/>
              </w:rPr>
              <w:t>missions from solid waste incineration</w:t>
            </w:r>
          </w:p>
          <w:p w14:paraId="0F224DF3" w14:textId="77777777" w:rsidR="009A284B" w:rsidRDefault="009A284B" w:rsidP="00763307">
            <w:pPr>
              <w:spacing w:after="0" w:line="240" w:lineRule="auto"/>
              <w:rPr>
                <w:i/>
                <w:sz w:val="16"/>
                <w:szCs w:val="16"/>
              </w:rPr>
            </w:pPr>
            <w:r>
              <w:rPr>
                <w:i/>
                <w:sz w:val="16"/>
                <w:szCs w:val="16"/>
              </w:rPr>
              <w:t>c = emissions from composting</w:t>
            </w:r>
          </w:p>
          <w:p w14:paraId="05A4F8B2" w14:textId="58EF004D" w:rsidR="00763307" w:rsidRPr="00763307" w:rsidRDefault="00E11E17" w:rsidP="00763307">
            <w:pPr>
              <w:spacing w:after="0" w:line="240" w:lineRule="auto"/>
              <w:rPr>
                <w:rFonts w:cs="Arial"/>
                <w:i/>
                <w:color w:val="000000"/>
                <w:sz w:val="16"/>
                <w:szCs w:val="16"/>
                <w:lang w:eastAsia="en-AU"/>
              </w:rPr>
            </w:pPr>
            <m:oMath>
              <m:sSubSup>
                <m:sSubSupPr>
                  <m:ctrlPr>
                    <w:rPr>
                      <w:rFonts w:ascii="Cambria Math" w:eastAsia="Times New Roman" w:hAnsi="Cambria Math" w:cs="Arial"/>
                      <w:i/>
                      <w:color w:val="000000"/>
                      <w:sz w:val="16"/>
                      <w:szCs w:val="16"/>
                      <w:lang w:eastAsia="en-AU"/>
                    </w:rPr>
                  </m:ctrlPr>
                </m:sSubSupPr>
                <m:e>
                  <m:r>
                    <w:rPr>
                      <w:rFonts w:ascii="Cambria Math" w:eastAsia="Times New Roman" w:hAnsi="Cambria Math" w:cs="Arial"/>
                      <w:color w:val="000000"/>
                      <w:sz w:val="16"/>
                      <w:szCs w:val="16"/>
                      <w:lang w:eastAsia="en-AU"/>
                    </w:rPr>
                    <m:t>CH</m:t>
                  </m:r>
                </m:e>
                <m:sub>
                  <m:r>
                    <w:rPr>
                      <w:rFonts w:ascii="Cambria Math" w:eastAsia="Times New Roman" w:hAnsi="Cambria Math" w:cs="Arial"/>
                      <w:color w:val="000000"/>
                      <w:sz w:val="16"/>
                      <w:szCs w:val="16"/>
                      <w:lang w:eastAsia="en-AU"/>
                    </w:rPr>
                    <m:t>4</m:t>
                  </m:r>
                </m:sub>
                <m:sup>
                  <m:r>
                    <w:rPr>
                      <w:rFonts w:ascii="Cambria Math" w:eastAsia="Times New Roman" w:hAnsi="Cambria Math" w:cs="Arial"/>
                      <w:color w:val="000000"/>
                      <w:sz w:val="16"/>
                      <w:szCs w:val="16"/>
                      <w:lang w:eastAsia="en-AU"/>
                    </w:rPr>
                    <m:t>g</m:t>
                  </m:r>
                </m:sup>
              </m:sSubSup>
            </m:oMath>
            <w:r w:rsidR="00763307" w:rsidRPr="00763307">
              <w:rPr>
                <w:rFonts w:cs="Arial"/>
                <w:color w:val="000000"/>
                <w:sz w:val="16"/>
                <w:szCs w:val="16"/>
                <w:lang w:eastAsia="en-AU"/>
              </w:rPr>
              <w:t xml:space="preserve"> </w:t>
            </w:r>
            <w:r w:rsidR="00763307" w:rsidRPr="00763307">
              <w:rPr>
                <w:rFonts w:cs="Arial"/>
                <w:i/>
                <w:color w:val="000000"/>
                <w:sz w:val="16"/>
                <w:szCs w:val="16"/>
                <w:lang w:eastAsia="en-AU"/>
              </w:rPr>
              <w:t xml:space="preserve">= </w:t>
            </w:r>
            <w:r w:rsidR="00F77E04">
              <w:rPr>
                <w:rFonts w:cs="Arial"/>
                <w:i/>
                <w:color w:val="000000"/>
                <w:sz w:val="16"/>
                <w:szCs w:val="16"/>
                <w:lang w:eastAsia="en-AU"/>
              </w:rPr>
              <w:t xml:space="preserve">solid waste </w:t>
            </w:r>
            <w:r w:rsidR="00763307" w:rsidRPr="00763307">
              <w:rPr>
                <w:rFonts w:cs="Arial"/>
                <w:i/>
                <w:color w:val="000000"/>
                <w:sz w:val="16"/>
                <w:szCs w:val="16"/>
                <w:lang w:eastAsia="en-AU"/>
              </w:rPr>
              <w:t>methane generated</w:t>
            </w:r>
          </w:p>
          <w:p w14:paraId="692AE794" w14:textId="03CD32C7" w:rsidR="00A75E46" w:rsidRPr="00763307" w:rsidRDefault="00E11E17" w:rsidP="00F333F9">
            <w:pPr>
              <w:spacing w:after="120" w:line="240" w:lineRule="auto"/>
              <w:rPr>
                <w:rFonts w:eastAsia="Times New Roman" w:cs="Arial"/>
                <w:color w:val="000000"/>
                <w:sz w:val="16"/>
                <w:szCs w:val="16"/>
                <w:lang w:eastAsia="en-AU"/>
              </w:rPr>
            </w:pPr>
            <m:oMath>
              <m:sSubSup>
                <m:sSubSupPr>
                  <m:ctrlPr>
                    <w:rPr>
                      <w:rFonts w:ascii="Cambria Math" w:eastAsia="Times New Roman" w:hAnsi="Cambria Math" w:cs="Arial"/>
                      <w:i/>
                      <w:color w:val="000000"/>
                      <w:sz w:val="16"/>
                      <w:szCs w:val="16"/>
                      <w:lang w:eastAsia="en-AU"/>
                    </w:rPr>
                  </m:ctrlPr>
                </m:sSubSupPr>
                <m:e>
                  <m:r>
                    <w:rPr>
                      <w:rFonts w:ascii="Cambria Math" w:eastAsia="Times New Roman" w:hAnsi="Cambria Math" w:cs="Arial"/>
                      <w:color w:val="000000"/>
                      <w:sz w:val="16"/>
                      <w:szCs w:val="16"/>
                      <w:lang w:eastAsia="en-AU"/>
                    </w:rPr>
                    <m:t>CH</m:t>
                  </m:r>
                </m:e>
                <m:sub>
                  <m:r>
                    <w:rPr>
                      <w:rFonts w:ascii="Cambria Math" w:eastAsia="Times New Roman" w:hAnsi="Cambria Math" w:cs="Arial"/>
                      <w:color w:val="000000"/>
                      <w:sz w:val="16"/>
                      <w:szCs w:val="16"/>
                      <w:lang w:eastAsia="en-AU"/>
                    </w:rPr>
                    <m:t>4</m:t>
                  </m:r>
                </m:sub>
                <m:sup>
                  <m:r>
                    <w:rPr>
                      <w:rFonts w:ascii="Cambria Math" w:eastAsia="Times New Roman" w:hAnsi="Cambria Math" w:cs="Arial"/>
                      <w:color w:val="000000"/>
                      <w:sz w:val="16"/>
                      <w:szCs w:val="16"/>
                      <w:lang w:eastAsia="en-AU"/>
                    </w:rPr>
                    <m:t>c</m:t>
                  </m:r>
                </m:sup>
              </m:sSubSup>
            </m:oMath>
            <w:r w:rsidR="00763307" w:rsidRPr="00763307">
              <w:rPr>
                <w:rFonts w:cs="Arial"/>
                <w:color w:val="000000"/>
                <w:sz w:val="16"/>
                <w:szCs w:val="16"/>
                <w:lang w:eastAsia="en-AU"/>
              </w:rPr>
              <w:t xml:space="preserve"> </w:t>
            </w:r>
            <w:r w:rsidR="00763307" w:rsidRPr="00763307">
              <w:rPr>
                <w:rFonts w:cs="Arial"/>
                <w:i/>
                <w:color w:val="000000"/>
                <w:sz w:val="16"/>
                <w:szCs w:val="16"/>
                <w:lang w:eastAsia="en-AU"/>
              </w:rPr>
              <w:t xml:space="preserve">= </w:t>
            </w:r>
            <w:r w:rsidR="00F77E04">
              <w:rPr>
                <w:rFonts w:cs="Arial"/>
                <w:i/>
                <w:color w:val="000000"/>
                <w:sz w:val="16"/>
                <w:szCs w:val="16"/>
                <w:lang w:eastAsia="en-AU"/>
              </w:rPr>
              <w:t xml:space="preserve">solid waste </w:t>
            </w:r>
            <w:r w:rsidR="00763307" w:rsidRPr="00763307">
              <w:rPr>
                <w:rFonts w:cs="Arial"/>
                <w:i/>
                <w:color w:val="000000"/>
                <w:sz w:val="16"/>
                <w:szCs w:val="16"/>
                <w:lang w:eastAsia="en-AU"/>
              </w:rPr>
              <w:t>methane captured</w:t>
            </w:r>
          </w:p>
        </w:tc>
      </w:tr>
      <w:tr w:rsidR="00484C3E" w:rsidRPr="00956380" w14:paraId="70E374EA" w14:textId="77777777" w:rsidTr="006C39A9">
        <w:trPr>
          <w:trHeight w:val="315"/>
        </w:trPr>
        <w:tc>
          <w:tcPr>
            <w:tcW w:w="1462" w:type="pct"/>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14:paraId="4E7AF3D3" w14:textId="4C3166EE" w:rsidR="00484C3E" w:rsidRPr="00484C3E" w:rsidRDefault="00484C3E" w:rsidP="00484C3E">
            <w:pPr>
              <w:spacing w:after="0" w:line="240" w:lineRule="auto"/>
              <w:rPr>
                <w:rFonts w:eastAsia="Times New Roman" w:cs="Arial"/>
                <w:color w:val="000000"/>
                <w:szCs w:val="20"/>
                <w:lang w:eastAsia="en-AU"/>
              </w:rPr>
            </w:pPr>
            <w:r>
              <w:rPr>
                <w:rFonts w:eastAsia="Times New Roman" w:cs="Arial"/>
                <w:color w:val="000000"/>
                <w:szCs w:val="20"/>
                <w:lang w:eastAsia="en-AU"/>
              </w:rPr>
              <w:t>Domestic and commercial wastewater</w:t>
            </w:r>
          </w:p>
        </w:tc>
        <w:tc>
          <w:tcPr>
            <w:tcW w:w="1385" w:type="pct"/>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5544A53A" w14:textId="77777777" w:rsidR="0014596D" w:rsidRDefault="0014596D" w:rsidP="0014596D">
            <w:pPr>
              <w:spacing w:after="0" w:line="240" w:lineRule="auto"/>
              <w:rPr>
                <w:rFonts w:eastAsia="Times New Roman" w:cs="Arial"/>
                <w:color w:val="000000"/>
                <w:szCs w:val="20"/>
                <w:lang w:eastAsia="en-AU"/>
              </w:rPr>
            </w:pPr>
            <w:r>
              <w:rPr>
                <w:rFonts w:eastAsia="Times New Roman" w:cs="Arial"/>
                <w:color w:val="000000"/>
                <w:szCs w:val="20"/>
                <w:lang w:eastAsia="en-AU"/>
              </w:rPr>
              <w:t>ABS 2013</w:t>
            </w:r>
          </w:p>
          <w:p w14:paraId="45837D55" w14:textId="77777777" w:rsidR="0014596D" w:rsidRDefault="0014596D" w:rsidP="0014596D">
            <w:pPr>
              <w:spacing w:after="0" w:line="240" w:lineRule="auto"/>
              <w:rPr>
                <w:rFonts w:eastAsia="Times New Roman" w:cs="Arial"/>
                <w:color w:val="000000"/>
                <w:szCs w:val="20"/>
                <w:lang w:eastAsia="en-AU"/>
              </w:rPr>
            </w:pPr>
            <w:r>
              <w:rPr>
                <w:rFonts w:eastAsia="Times New Roman" w:cs="Arial"/>
                <w:color w:val="000000"/>
                <w:szCs w:val="20"/>
                <w:lang w:eastAsia="en-AU"/>
              </w:rPr>
              <w:t>ABS 2017</w:t>
            </w:r>
          </w:p>
          <w:p w14:paraId="606C08DC" w14:textId="664CD49D" w:rsidR="0014596D" w:rsidRDefault="0014596D" w:rsidP="0014596D">
            <w:pPr>
              <w:spacing w:after="0" w:line="240" w:lineRule="auto"/>
              <w:rPr>
                <w:rFonts w:eastAsia="Times New Roman" w:cs="Arial"/>
                <w:color w:val="000000"/>
                <w:szCs w:val="20"/>
                <w:lang w:eastAsia="en-AU"/>
              </w:rPr>
            </w:pPr>
            <w:proofErr w:type="spellStart"/>
            <w:r>
              <w:rPr>
                <w:rFonts w:eastAsia="Times New Roman" w:cs="Arial"/>
                <w:color w:val="000000"/>
                <w:szCs w:val="20"/>
                <w:lang w:eastAsia="en-AU"/>
              </w:rPr>
              <w:t>DoE</w:t>
            </w:r>
            <w:r w:rsidR="00664D73">
              <w:rPr>
                <w:rFonts w:eastAsia="Times New Roman" w:cs="Arial"/>
                <w:color w:val="000000"/>
                <w:szCs w:val="20"/>
                <w:lang w:eastAsia="en-AU"/>
              </w:rPr>
              <w:t>E</w:t>
            </w:r>
            <w:proofErr w:type="spellEnd"/>
            <w:r>
              <w:rPr>
                <w:rFonts w:eastAsia="Times New Roman" w:cs="Arial"/>
                <w:color w:val="000000"/>
                <w:szCs w:val="20"/>
                <w:lang w:eastAsia="en-AU"/>
              </w:rPr>
              <w:t xml:space="preserve"> 2017</w:t>
            </w:r>
          </w:p>
          <w:p w14:paraId="2B9CB7BD" w14:textId="2C8581A6" w:rsidR="0014596D" w:rsidRPr="00737986" w:rsidRDefault="0014596D" w:rsidP="0014596D">
            <w:pPr>
              <w:spacing w:after="0" w:line="240" w:lineRule="auto"/>
              <w:rPr>
                <w:rFonts w:eastAsia="Times New Roman" w:cs="Arial"/>
                <w:color w:val="000000"/>
                <w:szCs w:val="20"/>
                <w:lang w:eastAsia="en-AU"/>
              </w:rPr>
            </w:pPr>
            <w:proofErr w:type="spellStart"/>
            <w:r w:rsidRPr="00737986">
              <w:rPr>
                <w:rFonts w:eastAsia="Times New Roman" w:cs="Arial"/>
                <w:color w:val="000000"/>
                <w:szCs w:val="20"/>
                <w:lang w:eastAsia="en-AU"/>
              </w:rPr>
              <w:t>DoE</w:t>
            </w:r>
            <w:r w:rsidR="00664D73" w:rsidRPr="00737986">
              <w:rPr>
                <w:rFonts w:eastAsia="Times New Roman" w:cs="Arial"/>
                <w:color w:val="000000"/>
                <w:szCs w:val="20"/>
                <w:lang w:eastAsia="en-AU"/>
              </w:rPr>
              <w:t>E</w:t>
            </w:r>
            <w:proofErr w:type="spellEnd"/>
            <w:r w:rsidR="006231C3">
              <w:rPr>
                <w:rFonts w:eastAsia="Times New Roman" w:cs="Arial"/>
                <w:color w:val="000000"/>
                <w:szCs w:val="20"/>
                <w:lang w:eastAsia="en-AU"/>
              </w:rPr>
              <w:t xml:space="preserve"> 2017</w:t>
            </w:r>
            <w:r w:rsidR="00634C2A">
              <w:rPr>
                <w:rFonts w:eastAsia="Times New Roman" w:cs="Arial"/>
                <w:color w:val="000000"/>
                <w:szCs w:val="20"/>
                <w:lang w:eastAsia="en-AU"/>
              </w:rPr>
              <w:t>b</w:t>
            </w:r>
          </w:p>
          <w:p w14:paraId="02D72939" w14:textId="6BE2998A" w:rsidR="00F94DC9" w:rsidRDefault="00F94DC9" w:rsidP="0014596D">
            <w:pPr>
              <w:spacing w:after="0" w:line="240" w:lineRule="auto"/>
              <w:rPr>
                <w:rFonts w:eastAsia="Times New Roman" w:cs="Arial"/>
                <w:color w:val="000000"/>
                <w:szCs w:val="20"/>
                <w:lang w:eastAsia="en-AU"/>
              </w:rPr>
            </w:pPr>
            <w:proofErr w:type="spellStart"/>
            <w:r w:rsidRPr="00737986">
              <w:rPr>
                <w:rFonts w:eastAsia="Times New Roman" w:cs="Arial"/>
                <w:color w:val="000000"/>
                <w:szCs w:val="20"/>
                <w:lang w:eastAsia="en-AU"/>
              </w:rPr>
              <w:t>DoE</w:t>
            </w:r>
            <w:r w:rsidR="00664D73" w:rsidRPr="00737986">
              <w:rPr>
                <w:rFonts w:eastAsia="Times New Roman" w:cs="Arial"/>
                <w:color w:val="000000"/>
                <w:szCs w:val="20"/>
                <w:lang w:eastAsia="en-AU"/>
              </w:rPr>
              <w:t>E</w:t>
            </w:r>
            <w:proofErr w:type="spellEnd"/>
            <w:r w:rsidR="006231C3">
              <w:rPr>
                <w:rFonts w:eastAsia="Times New Roman" w:cs="Arial"/>
                <w:color w:val="000000"/>
                <w:szCs w:val="20"/>
                <w:lang w:eastAsia="en-AU"/>
              </w:rPr>
              <w:t xml:space="preserve"> 2017</w:t>
            </w:r>
            <w:r w:rsidR="00634C2A">
              <w:rPr>
                <w:rFonts w:eastAsia="Times New Roman" w:cs="Arial"/>
                <w:color w:val="000000"/>
                <w:szCs w:val="20"/>
                <w:lang w:eastAsia="en-AU"/>
              </w:rPr>
              <w:t>c</w:t>
            </w:r>
            <w:r w:rsidRPr="00737986">
              <w:rPr>
                <w:rFonts w:eastAsia="Times New Roman" w:cs="Arial"/>
                <w:color w:val="000000"/>
                <w:szCs w:val="20"/>
                <w:vertAlign w:val="superscript"/>
                <w:lang w:eastAsia="en-AU"/>
              </w:rPr>
              <w:t>a</w:t>
            </w:r>
          </w:p>
          <w:p w14:paraId="5DE8C901" w14:textId="749A7909" w:rsidR="00484C3E" w:rsidRPr="00484C3E" w:rsidRDefault="0014596D" w:rsidP="0014596D">
            <w:pPr>
              <w:spacing w:after="0" w:line="240" w:lineRule="auto"/>
              <w:rPr>
                <w:rFonts w:eastAsia="Times New Roman" w:cs="Arial"/>
                <w:color w:val="000000"/>
                <w:szCs w:val="20"/>
                <w:lang w:eastAsia="en-AU"/>
              </w:rPr>
            </w:pPr>
            <w:proofErr w:type="spellStart"/>
            <w:r>
              <w:rPr>
                <w:rFonts w:eastAsia="Times New Roman" w:cs="Arial"/>
                <w:color w:val="000000"/>
                <w:szCs w:val="20"/>
                <w:lang w:eastAsia="en-AU"/>
              </w:rPr>
              <w:t>Hyder</w:t>
            </w:r>
            <w:proofErr w:type="spellEnd"/>
            <w:r>
              <w:rPr>
                <w:rFonts w:eastAsia="Times New Roman" w:cs="Arial"/>
                <w:color w:val="000000"/>
                <w:szCs w:val="20"/>
                <w:lang w:eastAsia="en-AU"/>
              </w:rPr>
              <w:t xml:space="preserve"> Consulting 2014</w:t>
            </w:r>
          </w:p>
        </w:tc>
        <w:tc>
          <w:tcPr>
            <w:tcW w:w="2153" w:type="pct"/>
            <w:tcBorders>
              <w:top w:val="single" w:sz="4" w:space="0" w:color="FFFFFF" w:themeColor="background1"/>
              <w:left w:val="nil"/>
              <w:bottom w:val="single" w:sz="8" w:space="0" w:color="FFFFFF"/>
              <w:right w:val="single" w:sz="8" w:space="0" w:color="FFFFFF"/>
            </w:tcBorders>
            <w:shd w:val="clear" w:color="auto" w:fill="DBE5F1" w:themeFill="accent1" w:themeFillTint="33"/>
            <w:vAlign w:val="center"/>
          </w:tcPr>
          <w:p w14:paraId="3E353A60" w14:textId="7FB7446C" w:rsidR="007B2A4A" w:rsidRDefault="00E11E17" w:rsidP="003F333E">
            <w:pPr>
              <w:spacing w:before="120" w:after="0" w:line="240" w:lineRule="auto"/>
              <w:rPr>
                <w:rFonts w:eastAsia="Times New Roman" w:cs="Arial"/>
                <w:color w:val="000000"/>
                <w:szCs w:val="20"/>
                <w:lang w:eastAsia="en-AU"/>
              </w:rPr>
            </w:pPr>
            <m:oMathPara>
              <m:oMath>
                <m:sSub>
                  <m:sSubPr>
                    <m:ctrlPr>
                      <w:rPr>
                        <w:rFonts w:ascii="Cambria Math" w:eastAsia="Times New Roman" w:hAnsi="Cambria Math" w:cs="Arial"/>
                        <w:i/>
                        <w:color w:val="000000"/>
                        <w:szCs w:val="20"/>
                        <w:lang w:eastAsia="en-AU"/>
                      </w:rPr>
                    </m:ctrlPr>
                  </m:sSubPr>
                  <m:e>
                    <m:r>
                      <w:rPr>
                        <w:rFonts w:ascii="Cambria Math" w:eastAsia="Times New Roman" w:hAnsi="Cambria Math" w:cs="Arial"/>
                        <w:color w:val="000000"/>
                        <w:szCs w:val="20"/>
                        <w:lang w:eastAsia="en-AU"/>
                      </w:rPr>
                      <m:t>E</m:t>
                    </m:r>
                  </m:e>
                  <m:sub>
                    <m:r>
                      <w:rPr>
                        <w:rFonts w:ascii="Cambria Math" w:eastAsia="Times New Roman" w:hAnsi="Cambria Math" w:cs="Arial"/>
                        <w:color w:val="000000"/>
                        <w:szCs w:val="20"/>
                        <w:lang w:eastAsia="en-AU"/>
                      </w:rPr>
                      <m:t>DC</m:t>
                    </m:r>
                  </m:sub>
                </m:sSub>
                <m:r>
                  <w:rPr>
                    <w:rFonts w:ascii="Cambria Math" w:eastAsia="Times New Roman" w:hAnsi="Cambria Math" w:cs="Arial"/>
                    <w:color w:val="000000"/>
                    <w:szCs w:val="20"/>
                    <w:lang w:eastAsia="en-AU"/>
                  </w:rPr>
                  <m:t>=(</m:t>
                </m:r>
                <m:sSubSup>
                  <m:sSubSupPr>
                    <m:ctrlPr>
                      <w:rPr>
                        <w:rFonts w:ascii="Cambria Math" w:eastAsia="Times New Roman" w:hAnsi="Cambria Math" w:cs="Arial"/>
                        <w:i/>
                        <w:color w:val="000000"/>
                        <w:szCs w:val="20"/>
                        <w:lang w:eastAsia="en-AU"/>
                      </w:rPr>
                    </m:ctrlPr>
                  </m:sSubSupPr>
                  <m:e>
                    <m:r>
                      <w:rPr>
                        <w:rFonts w:ascii="Cambria Math" w:eastAsia="Times New Roman" w:hAnsi="Cambria Math" w:cs="Arial"/>
                        <w:color w:val="000000"/>
                        <w:szCs w:val="20"/>
                        <w:lang w:eastAsia="en-AU"/>
                      </w:rPr>
                      <m:t>CH</m:t>
                    </m:r>
                  </m:e>
                  <m:sub>
                    <m:r>
                      <w:rPr>
                        <w:rFonts w:ascii="Cambria Math" w:eastAsia="Times New Roman" w:hAnsi="Cambria Math" w:cs="Arial"/>
                        <w:color w:val="000000"/>
                        <w:szCs w:val="20"/>
                        <w:lang w:eastAsia="en-AU"/>
                      </w:rPr>
                      <m:t>4</m:t>
                    </m:r>
                  </m:sub>
                  <m:sup>
                    <m:r>
                      <w:rPr>
                        <w:rFonts w:ascii="Cambria Math" w:eastAsia="Times New Roman" w:hAnsi="Cambria Math" w:cs="Arial"/>
                        <w:color w:val="000000"/>
                        <w:szCs w:val="20"/>
                        <w:lang w:eastAsia="en-AU"/>
                      </w:rPr>
                      <m:t>t</m:t>
                    </m:r>
                  </m:sup>
                </m:sSubSup>
                <m:r>
                  <w:rPr>
                    <w:rFonts w:ascii="Cambria Math" w:eastAsia="Times New Roman" w:hAnsi="Cambria Math" w:cs="Arial"/>
                    <w:color w:val="000000"/>
                    <w:szCs w:val="20"/>
                    <w:lang w:eastAsia="en-AU"/>
                  </w:rPr>
                  <m:t>-</m:t>
                </m:r>
                <m:sSubSup>
                  <m:sSubSupPr>
                    <m:ctrlPr>
                      <w:rPr>
                        <w:rFonts w:ascii="Cambria Math" w:eastAsia="Times New Roman" w:hAnsi="Cambria Math" w:cs="Arial"/>
                        <w:i/>
                        <w:color w:val="000000"/>
                        <w:szCs w:val="20"/>
                        <w:lang w:eastAsia="en-AU"/>
                      </w:rPr>
                    </m:ctrlPr>
                  </m:sSubSupPr>
                  <m:e>
                    <m:r>
                      <w:rPr>
                        <w:rFonts w:ascii="Cambria Math" w:eastAsia="Times New Roman" w:hAnsi="Cambria Math" w:cs="Arial"/>
                        <w:color w:val="000000"/>
                        <w:szCs w:val="20"/>
                        <w:lang w:eastAsia="en-AU"/>
                      </w:rPr>
                      <m:t>CH</m:t>
                    </m:r>
                  </m:e>
                  <m:sub>
                    <m:r>
                      <w:rPr>
                        <w:rFonts w:ascii="Cambria Math" w:eastAsia="Times New Roman" w:hAnsi="Cambria Math" w:cs="Arial"/>
                        <w:color w:val="000000"/>
                        <w:szCs w:val="20"/>
                        <w:lang w:eastAsia="en-AU"/>
                      </w:rPr>
                      <m:t>4</m:t>
                    </m:r>
                  </m:sub>
                  <m:sup>
                    <m:r>
                      <w:rPr>
                        <w:rFonts w:ascii="Cambria Math" w:eastAsia="Times New Roman" w:hAnsi="Cambria Math" w:cs="Arial"/>
                        <w:color w:val="000000"/>
                        <w:szCs w:val="20"/>
                        <w:lang w:eastAsia="en-AU"/>
                      </w:rPr>
                      <m:t>r</m:t>
                    </m:r>
                  </m:sup>
                </m:sSubSup>
                <m:r>
                  <w:rPr>
                    <w:rFonts w:ascii="Cambria Math" w:eastAsia="Times New Roman" w:hAnsi="Cambria Math" w:cs="Arial"/>
                    <w:color w:val="000000"/>
                    <w:szCs w:val="20"/>
                    <w:lang w:eastAsia="en-AU"/>
                  </w:rPr>
                  <m:t>)+(</m:t>
                </m:r>
                <m:sSubSup>
                  <m:sSubSupPr>
                    <m:ctrlPr>
                      <w:rPr>
                        <w:rFonts w:ascii="Cambria Math" w:eastAsia="Times New Roman" w:hAnsi="Cambria Math" w:cs="Arial"/>
                        <w:i/>
                        <w:color w:val="000000"/>
                        <w:szCs w:val="20"/>
                        <w:lang w:eastAsia="en-AU"/>
                      </w:rPr>
                    </m:ctrlPr>
                  </m:sSubSupPr>
                  <m:e>
                    <m:sSub>
                      <m:sSubPr>
                        <m:ctrlPr>
                          <w:rPr>
                            <w:rFonts w:ascii="Cambria Math" w:eastAsia="Times New Roman" w:hAnsi="Cambria Math" w:cs="Arial"/>
                            <w:i/>
                            <w:color w:val="000000"/>
                            <w:szCs w:val="20"/>
                            <w:lang w:eastAsia="en-AU"/>
                          </w:rPr>
                        </m:ctrlPr>
                      </m:sSubPr>
                      <m:e>
                        <m:r>
                          <w:rPr>
                            <w:rFonts w:ascii="Cambria Math" w:eastAsia="Times New Roman" w:hAnsi="Cambria Math" w:cs="Arial"/>
                            <w:color w:val="000000"/>
                            <w:szCs w:val="20"/>
                            <w:lang w:eastAsia="en-AU"/>
                          </w:rPr>
                          <m:t>N</m:t>
                        </m:r>
                      </m:e>
                      <m:sub>
                        <m:r>
                          <w:rPr>
                            <w:rFonts w:ascii="Cambria Math" w:eastAsia="Times New Roman" w:hAnsi="Cambria Math" w:cs="Arial"/>
                            <w:color w:val="000000"/>
                            <w:szCs w:val="20"/>
                            <w:lang w:eastAsia="en-AU"/>
                          </w:rPr>
                          <m:t>2</m:t>
                        </m:r>
                      </m:sub>
                    </m:sSub>
                    <m:r>
                      <w:rPr>
                        <w:rFonts w:ascii="Cambria Math" w:eastAsia="Times New Roman" w:hAnsi="Cambria Math" w:cs="Arial"/>
                        <w:color w:val="000000"/>
                        <w:szCs w:val="20"/>
                        <w:lang w:eastAsia="en-AU"/>
                      </w:rPr>
                      <m:t>0</m:t>
                    </m:r>
                  </m:e>
                  <m:sub/>
                  <m:sup>
                    <m:r>
                      <w:rPr>
                        <w:rFonts w:ascii="Cambria Math" w:eastAsia="Times New Roman" w:hAnsi="Cambria Math" w:cs="Arial"/>
                        <w:color w:val="000000"/>
                        <w:szCs w:val="20"/>
                        <w:lang w:eastAsia="en-AU"/>
                      </w:rPr>
                      <m:t>t</m:t>
                    </m:r>
                  </m:sup>
                </m:sSubSup>
                <m:r>
                  <w:rPr>
                    <w:rFonts w:ascii="Cambria Math" w:eastAsia="Times New Roman" w:hAnsi="Cambria Math" w:cs="Arial"/>
                    <w:color w:val="000000"/>
                    <w:szCs w:val="20"/>
                    <w:lang w:eastAsia="en-AU"/>
                  </w:rPr>
                  <m:t>+</m:t>
                </m:r>
                <m:sSubSup>
                  <m:sSubSupPr>
                    <m:ctrlPr>
                      <w:rPr>
                        <w:rFonts w:ascii="Cambria Math" w:eastAsia="Times New Roman" w:hAnsi="Cambria Math" w:cs="Arial"/>
                        <w:i/>
                        <w:color w:val="000000"/>
                        <w:szCs w:val="20"/>
                        <w:lang w:eastAsia="en-AU"/>
                      </w:rPr>
                    </m:ctrlPr>
                  </m:sSubSupPr>
                  <m:e>
                    <m:sSub>
                      <m:sSubPr>
                        <m:ctrlPr>
                          <w:rPr>
                            <w:rFonts w:ascii="Cambria Math" w:eastAsia="Times New Roman" w:hAnsi="Cambria Math" w:cs="Arial"/>
                            <w:i/>
                            <w:color w:val="000000"/>
                            <w:szCs w:val="20"/>
                            <w:lang w:eastAsia="en-AU"/>
                          </w:rPr>
                        </m:ctrlPr>
                      </m:sSubPr>
                      <m:e>
                        <m:r>
                          <w:rPr>
                            <w:rFonts w:ascii="Cambria Math" w:eastAsia="Times New Roman" w:hAnsi="Cambria Math" w:cs="Arial"/>
                            <w:color w:val="000000"/>
                            <w:szCs w:val="20"/>
                            <w:lang w:eastAsia="en-AU"/>
                          </w:rPr>
                          <m:t>N</m:t>
                        </m:r>
                      </m:e>
                      <m:sub>
                        <m:r>
                          <w:rPr>
                            <w:rFonts w:ascii="Cambria Math" w:eastAsia="Times New Roman" w:hAnsi="Cambria Math" w:cs="Arial"/>
                            <w:color w:val="000000"/>
                            <w:szCs w:val="20"/>
                            <w:lang w:eastAsia="en-AU"/>
                          </w:rPr>
                          <m:t>2</m:t>
                        </m:r>
                      </m:sub>
                    </m:sSub>
                    <m:r>
                      <w:rPr>
                        <w:rFonts w:ascii="Cambria Math" w:eastAsia="Times New Roman" w:hAnsi="Cambria Math" w:cs="Arial"/>
                        <w:color w:val="000000"/>
                        <w:szCs w:val="20"/>
                        <w:lang w:eastAsia="en-AU"/>
                      </w:rPr>
                      <m:t>0</m:t>
                    </m:r>
                  </m:e>
                  <m:sub/>
                  <m:sup>
                    <m:r>
                      <w:rPr>
                        <w:rFonts w:ascii="Cambria Math" w:eastAsia="Times New Roman" w:hAnsi="Cambria Math" w:cs="Arial"/>
                        <w:color w:val="000000"/>
                        <w:szCs w:val="20"/>
                        <w:lang w:eastAsia="en-AU"/>
                      </w:rPr>
                      <m:t>l</m:t>
                    </m:r>
                  </m:sup>
                </m:sSubSup>
                <m:r>
                  <w:rPr>
                    <w:rFonts w:ascii="Cambria Math" w:eastAsia="Times New Roman" w:hAnsi="Cambria Math" w:cs="Arial"/>
                    <w:color w:val="000000"/>
                    <w:szCs w:val="20"/>
                    <w:lang w:eastAsia="en-AU"/>
                  </w:rPr>
                  <m:t>)</m:t>
                </m:r>
              </m:oMath>
            </m:oMathPara>
          </w:p>
          <w:p w14:paraId="1B0D45BA" w14:textId="77777777" w:rsidR="007B2A4A" w:rsidRDefault="007B2A4A" w:rsidP="007B2A4A">
            <w:pPr>
              <w:spacing w:after="0" w:line="240" w:lineRule="auto"/>
              <w:rPr>
                <w:i/>
                <w:sz w:val="16"/>
                <w:szCs w:val="16"/>
              </w:rPr>
            </w:pPr>
          </w:p>
          <w:p w14:paraId="2BFE24D8" w14:textId="0DB57E10" w:rsidR="007B2A4A" w:rsidRPr="00763307" w:rsidRDefault="007B2A4A" w:rsidP="007B2A4A">
            <w:pPr>
              <w:spacing w:after="0" w:line="240" w:lineRule="auto"/>
              <w:rPr>
                <w:rFonts w:cs="Arial"/>
                <w:i/>
                <w:color w:val="000000"/>
                <w:sz w:val="16"/>
                <w:szCs w:val="16"/>
                <w:lang w:eastAsia="en-AU"/>
              </w:rPr>
            </w:pPr>
            <w:r w:rsidRPr="004510D5">
              <w:rPr>
                <w:i/>
                <w:sz w:val="16"/>
                <w:szCs w:val="16"/>
              </w:rPr>
              <w:t xml:space="preserve">Where: </w:t>
            </w:r>
            <w:r>
              <w:rPr>
                <w:i/>
                <w:sz w:val="16"/>
                <w:szCs w:val="16"/>
              </w:rPr>
              <w:br/>
              <w:t>E</w:t>
            </w:r>
            <w:r w:rsidR="00F333F9">
              <w:rPr>
                <w:i/>
                <w:sz w:val="16"/>
                <w:szCs w:val="16"/>
                <w:vertAlign w:val="subscript"/>
              </w:rPr>
              <w:t>DC</w:t>
            </w:r>
            <w:r w:rsidRPr="004510D5">
              <w:rPr>
                <w:i/>
                <w:sz w:val="16"/>
                <w:szCs w:val="16"/>
              </w:rPr>
              <w:t xml:space="preserve"> = </w:t>
            </w:r>
            <w:r w:rsidR="00F333F9">
              <w:rPr>
                <w:i/>
                <w:sz w:val="16"/>
                <w:szCs w:val="16"/>
              </w:rPr>
              <w:t xml:space="preserve">domestic and commercial </w:t>
            </w:r>
            <w:r>
              <w:rPr>
                <w:i/>
                <w:sz w:val="16"/>
                <w:szCs w:val="16"/>
              </w:rPr>
              <w:t>wastewater emissions</w:t>
            </w:r>
            <w:r>
              <w:rPr>
                <w:i/>
                <w:sz w:val="16"/>
                <w:szCs w:val="16"/>
              </w:rPr>
              <w:br/>
            </w:r>
            <m:oMath>
              <m:sSubSup>
                <m:sSubSupPr>
                  <m:ctrlPr>
                    <w:rPr>
                      <w:rFonts w:ascii="Cambria Math" w:eastAsia="Times New Roman" w:hAnsi="Cambria Math" w:cs="Arial"/>
                      <w:i/>
                      <w:color w:val="000000"/>
                      <w:sz w:val="16"/>
                      <w:szCs w:val="16"/>
                      <w:lang w:eastAsia="en-AU"/>
                    </w:rPr>
                  </m:ctrlPr>
                </m:sSubSupPr>
                <m:e>
                  <m:r>
                    <w:rPr>
                      <w:rFonts w:ascii="Cambria Math" w:eastAsia="Times New Roman" w:hAnsi="Cambria Math" w:cs="Arial"/>
                      <w:color w:val="000000"/>
                      <w:sz w:val="16"/>
                      <w:szCs w:val="16"/>
                      <w:lang w:eastAsia="en-AU"/>
                    </w:rPr>
                    <m:t>CH</m:t>
                  </m:r>
                </m:e>
                <m:sub>
                  <m:r>
                    <w:rPr>
                      <w:rFonts w:ascii="Cambria Math" w:eastAsia="Times New Roman" w:hAnsi="Cambria Math" w:cs="Arial"/>
                      <w:color w:val="000000"/>
                      <w:sz w:val="16"/>
                      <w:szCs w:val="16"/>
                      <w:lang w:eastAsia="en-AU"/>
                    </w:rPr>
                    <m:t>4</m:t>
                  </m:r>
                </m:sub>
                <m:sup>
                  <m:r>
                    <w:rPr>
                      <w:rFonts w:ascii="Cambria Math" w:eastAsia="Times New Roman" w:hAnsi="Cambria Math" w:cs="Arial"/>
                      <w:color w:val="000000"/>
                      <w:sz w:val="16"/>
                      <w:szCs w:val="16"/>
                      <w:lang w:eastAsia="en-AU"/>
                    </w:rPr>
                    <m:t>t</m:t>
                  </m:r>
                </m:sup>
              </m:sSubSup>
            </m:oMath>
            <w:r w:rsidRPr="00763307">
              <w:rPr>
                <w:rFonts w:cs="Arial"/>
                <w:color w:val="000000"/>
                <w:sz w:val="16"/>
                <w:szCs w:val="16"/>
                <w:lang w:eastAsia="en-AU"/>
              </w:rPr>
              <w:t xml:space="preserve"> </w:t>
            </w:r>
            <w:r w:rsidRPr="00763307">
              <w:rPr>
                <w:rFonts w:cs="Arial"/>
                <w:i/>
                <w:color w:val="000000"/>
                <w:sz w:val="16"/>
                <w:szCs w:val="16"/>
                <w:lang w:eastAsia="en-AU"/>
              </w:rPr>
              <w:t xml:space="preserve">= </w:t>
            </w:r>
            <w:r>
              <w:rPr>
                <w:rFonts w:cs="Arial"/>
                <w:i/>
                <w:color w:val="000000"/>
                <w:sz w:val="16"/>
                <w:szCs w:val="16"/>
                <w:lang w:eastAsia="en-AU"/>
              </w:rPr>
              <w:t xml:space="preserve">total </w:t>
            </w:r>
            <w:r w:rsidR="00F333F9">
              <w:rPr>
                <w:rFonts w:cs="Arial"/>
                <w:i/>
                <w:color w:val="000000"/>
                <w:sz w:val="16"/>
                <w:szCs w:val="16"/>
                <w:lang w:eastAsia="en-AU"/>
              </w:rPr>
              <w:t xml:space="preserve">domestic and commercial </w:t>
            </w:r>
            <w:r>
              <w:rPr>
                <w:rFonts w:cs="Arial"/>
                <w:i/>
                <w:color w:val="000000"/>
                <w:sz w:val="16"/>
                <w:szCs w:val="16"/>
                <w:lang w:eastAsia="en-AU"/>
              </w:rPr>
              <w:t xml:space="preserve">wastewater </w:t>
            </w:r>
            <w:r w:rsidRPr="00763307">
              <w:rPr>
                <w:rFonts w:cs="Arial"/>
                <w:i/>
                <w:color w:val="000000"/>
                <w:sz w:val="16"/>
                <w:szCs w:val="16"/>
                <w:lang w:eastAsia="en-AU"/>
              </w:rPr>
              <w:t xml:space="preserve">methane </w:t>
            </w:r>
            <w:r w:rsidR="0020551B">
              <w:rPr>
                <w:rFonts w:cs="Arial"/>
                <w:i/>
                <w:color w:val="000000"/>
                <w:sz w:val="16"/>
                <w:szCs w:val="16"/>
                <w:lang w:eastAsia="en-AU"/>
              </w:rPr>
              <w:t>emissions</w:t>
            </w:r>
          </w:p>
          <w:p w14:paraId="330CB12F" w14:textId="7C7C3848" w:rsidR="0020551B" w:rsidRDefault="00E11E17" w:rsidP="0020551B">
            <w:pPr>
              <w:spacing w:after="0" w:line="240" w:lineRule="auto"/>
              <w:rPr>
                <w:rFonts w:cs="Arial"/>
                <w:i/>
                <w:color w:val="000000"/>
                <w:sz w:val="16"/>
                <w:szCs w:val="16"/>
                <w:lang w:eastAsia="en-AU"/>
              </w:rPr>
            </w:pPr>
            <m:oMath>
              <m:sSubSup>
                <m:sSubSupPr>
                  <m:ctrlPr>
                    <w:rPr>
                      <w:rFonts w:ascii="Cambria Math" w:eastAsia="Times New Roman" w:hAnsi="Cambria Math" w:cs="Arial"/>
                      <w:i/>
                      <w:color w:val="000000"/>
                      <w:sz w:val="16"/>
                      <w:szCs w:val="16"/>
                      <w:lang w:eastAsia="en-AU"/>
                    </w:rPr>
                  </m:ctrlPr>
                </m:sSubSupPr>
                <m:e>
                  <m:r>
                    <w:rPr>
                      <w:rFonts w:ascii="Cambria Math" w:eastAsia="Times New Roman" w:hAnsi="Cambria Math" w:cs="Arial"/>
                      <w:color w:val="000000"/>
                      <w:sz w:val="16"/>
                      <w:szCs w:val="16"/>
                      <w:lang w:eastAsia="en-AU"/>
                    </w:rPr>
                    <m:t>CH</m:t>
                  </m:r>
                </m:e>
                <m:sub>
                  <m:r>
                    <w:rPr>
                      <w:rFonts w:ascii="Cambria Math" w:eastAsia="Times New Roman" w:hAnsi="Cambria Math" w:cs="Arial"/>
                      <w:color w:val="000000"/>
                      <w:sz w:val="16"/>
                      <w:szCs w:val="16"/>
                      <w:lang w:eastAsia="en-AU"/>
                    </w:rPr>
                    <m:t>4</m:t>
                  </m:r>
                </m:sub>
                <m:sup>
                  <m:r>
                    <w:rPr>
                      <w:rFonts w:ascii="Cambria Math" w:eastAsia="Times New Roman" w:hAnsi="Cambria Math" w:cs="Arial"/>
                      <w:color w:val="000000"/>
                      <w:sz w:val="16"/>
                      <w:szCs w:val="16"/>
                      <w:lang w:eastAsia="en-AU"/>
                    </w:rPr>
                    <m:t>r</m:t>
                  </m:r>
                </m:sup>
              </m:sSubSup>
            </m:oMath>
            <w:r w:rsidR="007B2A4A" w:rsidRPr="00763307">
              <w:rPr>
                <w:rFonts w:cs="Arial"/>
                <w:color w:val="000000"/>
                <w:sz w:val="16"/>
                <w:szCs w:val="16"/>
                <w:lang w:eastAsia="en-AU"/>
              </w:rPr>
              <w:t xml:space="preserve"> </w:t>
            </w:r>
            <w:r w:rsidR="007B2A4A" w:rsidRPr="00763307">
              <w:rPr>
                <w:rFonts w:cs="Arial"/>
                <w:i/>
                <w:color w:val="000000"/>
                <w:sz w:val="16"/>
                <w:szCs w:val="16"/>
                <w:lang w:eastAsia="en-AU"/>
              </w:rPr>
              <w:t xml:space="preserve">= </w:t>
            </w:r>
            <w:r w:rsidR="00F333F9">
              <w:rPr>
                <w:rFonts w:cs="Arial"/>
                <w:i/>
                <w:color w:val="000000"/>
                <w:sz w:val="16"/>
                <w:szCs w:val="16"/>
                <w:lang w:eastAsia="en-AU"/>
              </w:rPr>
              <w:t xml:space="preserve">domestic and commercial </w:t>
            </w:r>
            <w:r w:rsidR="0020551B">
              <w:rPr>
                <w:rFonts w:cs="Arial"/>
                <w:i/>
                <w:color w:val="000000"/>
                <w:sz w:val="16"/>
                <w:szCs w:val="16"/>
                <w:lang w:eastAsia="en-AU"/>
              </w:rPr>
              <w:t>wastewater</w:t>
            </w:r>
            <w:r w:rsidR="007B2A4A">
              <w:rPr>
                <w:rFonts w:cs="Arial"/>
                <w:i/>
                <w:color w:val="000000"/>
                <w:sz w:val="16"/>
                <w:szCs w:val="16"/>
                <w:lang w:eastAsia="en-AU"/>
              </w:rPr>
              <w:t xml:space="preserve"> </w:t>
            </w:r>
            <w:r w:rsidR="007B2A4A" w:rsidRPr="00763307">
              <w:rPr>
                <w:rFonts w:cs="Arial"/>
                <w:i/>
                <w:color w:val="000000"/>
                <w:sz w:val="16"/>
                <w:szCs w:val="16"/>
                <w:lang w:eastAsia="en-AU"/>
              </w:rPr>
              <w:t xml:space="preserve">methane </w:t>
            </w:r>
            <w:r w:rsidR="0020551B">
              <w:rPr>
                <w:rFonts w:cs="Arial"/>
                <w:i/>
                <w:color w:val="000000"/>
                <w:sz w:val="16"/>
                <w:szCs w:val="16"/>
                <w:lang w:eastAsia="en-AU"/>
              </w:rPr>
              <w:t>recovered</w:t>
            </w:r>
          </w:p>
          <w:p w14:paraId="540A2B47" w14:textId="59BE7557" w:rsidR="0020551B" w:rsidRPr="00763307" w:rsidRDefault="00E11E17" w:rsidP="0020551B">
            <w:pPr>
              <w:spacing w:after="0" w:line="240" w:lineRule="auto"/>
              <w:rPr>
                <w:rFonts w:cs="Arial"/>
                <w:i/>
                <w:color w:val="000000"/>
                <w:sz w:val="16"/>
                <w:szCs w:val="16"/>
                <w:lang w:eastAsia="en-AU"/>
              </w:rPr>
            </w:pPr>
            <m:oMath>
              <m:sSubSup>
                <m:sSubSupPr>
                  <m:ctrlPr>
                    <w:rPr>
                      <w:rFonts w:ascii="Cambria Math" w:eastAsia="Times New Roman" w:hAnsi="Cambria Math" w:cs="Arial"/>
                      <w:i/>
                      <w:color w:val="000000"/>
                      <w:sz w:val="16"/>
                      <w:szCs w:val="16"/>
                      <w:lang w:eastAsia="en-AU"/>
                    </w:rPr>
                  </m:ctrlPr>
                </m:sSubSupPr>
                <m:e>
                  <m:sSub>
                    <m:sSubPr>
                      <m:ctrlPr>
                        <w:rPr>
                          <w:rFonts w:ascii="Cambria Math" w:eastAsia="Times New Roman" w:hAnsi="Cambria Math" w:cs="Arial"/>
                          <w:i/>
                          <w:color w:val="000000"/>
                          <w:sz w:val="16"/>
                          <w:szCs w:val="16"/>
                          <w:lang w:eastAsia="en-AU"/>
                        </w:rPr>
                      </m:ctrlPr>
                    </m:sSubPr>
                    <m:e>
                      <m:r>
                        <w:rPr>
                          <w:rFonts w:ascii="Cambria Math" w:eastAsia="Times New Roman" w:hAnsi="Cambria Math" w:cs="Arial"/>
                          <w:color w:val="000000"/>
                          <w:sz w:val="16"/>
                          <w:szCs w:val="16"/>
                          <w:lang w:eastAsia="en-AU"/>
                        </w:rPr>
                        <m:t>N</m:t>
                      </m:r>
                    </m:e>
                    <m:sub>
                      <m:r>
                        <w:rPr>
                          <w:rFonts w:ascii="Cambria Math" w:eastAsia="Times New Roman" w:hAnsi="Cambria Math" w:cs="Arial"/>
                          <w:color w:val="000000"/>
                          <w:sz w:val="16"/>
                          <w:szCs w:val="16"/>
                          <w:lang w:eastAsia="en-AU"/>
                        </w:rPr>
                        <m:t>2</m:t>
                      </m:r>
                    </m:sub>
                  </m:sSub>
                  <m:r>
                    <w:rPr>
                      <w:rFonts w:ascii="Cambria Math" w:eastAsia="Times New Roman" w:hAnsi="Cambria Math" w:cs="Arial"/>
                      <w:color w:val="000000"/>
                      <w:sz w:val="16"/>
                      <w:szCs w:val="16"/>
                      <w:lang w:eastAsia="en-AU"/>
                    </w:rPr>
                    <m:t>0</m:t>
                  </m:r>
                </m:e>
                <m:sub/>
                <m:sup>
                  <m:r>
                    <w:rPr>
                      <w:rFonts w:ascii="Cambria Math" w:eastAsia="Times New Roman" w:hAnsi="Cambria Math" w:cs="Arial"/>
                      <w:color w:val="000000"/>
                      <w:sz w:val="16"/>
                      <w:szCs w:val="16"/>
                      <w:lang w:eastAsia="en-AU"/>
                    </w:rPr>
                    <m:t>t</m:t>
                  </m:r>
                </m:sup>
              </m:sSubSup>
            </m:oMath>
            <w:r w:rsidR="0020551B" w:rsidRPr="00763307">
              <w:rPr>
                <w:rFonts w:cs="Arial"/>
                <w:color w:val="000000"/>
                <w:sz w:val="16"/>
                <w:szCs w:val="16"/>
                <w:lang w:eastAsia="en-AU"/>
              </w:rPr>
              <w:t xml:space="preserve"> </w:t>
            </w:r>
            <w:r w:rsidR="0020551B" w:rsidRPr="00763307">
              <w:rPr>
                <w:rFonts w:cs="Arial"/>
                <w:i/>
                <w:color w:val="000000"/>
                <w:sz w:val="16"/>
                <w:szCs w:val="16"/>
                <w:lang w:eastAsia="en-AU"/>
              </w:rPr>
              <w:t xml:space="preserve">= </w:t>
            </w:r>
            <w:r w:rsidR="0020551B">
              <w:rPr>
                <w:rFonts w:cs="Arial"/>
                <w:i/>
                <w:color w:val="000000"/>
                <w:sz w:val="16"/>
                <w:szCs w:val="16"/>
                <w:lang w:eastAsia="en-AU"/>
              </w:rPr>
              <w:t xml:space="preserve">total </w:t>
            </w:r>
            <w:r w:rsidR="00F333F9">
              <w:rPr>
                <w:rFonts w:cs="Arial"/>
                <w:i/>
                <w:color w:val="000000"/>
                <w:sz w:val="16"/>
                <w:szCs w:val="16"/>
                <w:lang w:eastAsia="en-AU"/>
              </w:rPr>
              <w:t xml:space="preserve">domestic and commercial </w:t>
            </w:r>
            <w:r w:rsidR="0020551B">
              <w:rPr>
                <w:rFonts w:cs="Arial"/>
                <w:i/>
                <w:color w:val="000000"/>
                <w:sz w:val="16"/>
                <w:szCs w:val="16"/>
                <w:lang w:eastAsia="en-AU"/>
              </w:rPr>
              <w:t xml:space="preserve">wastewater </w:t>
            </w:r>
            <w:r w:rsidR="00F33E9B">
              <w:rPr>
                <w:rFonts w:cs="Arial"/>
                <w:i/>
                <w:color w:val="000000"/>
                <w:sz w:val="16"/>
                <w:szCs w:val="16"/>
                <w:lang w:eastAsia="en-AU"/>
              </w:rPr>
              <w:t>nitrous oxide</w:t>
            </w:r>
            <w:r w:rsidR="0020551B" w:rsidRPr="00763307">
              <w:rPr>
                <w:rFonts w:cs="Arial"/>
                <w:i/>
                <w:color w:val="000000"/>
                <w:sz w:val="16"/>
                <w:szCs w:val="16"/>
                <w:lang w:eastAsia="en-AU"/>
              </w:rPr>
              <w:t xml:space="preserve"> </w:t>
            </w:r>
            <w:r w:rsidR="0020551B">
              <w:rPr>
                <w:rFonts w:cs="Arial"/>
                <w:i/>
                <w:color w:val="000000"/>
                <w:sz w:val="16"/>
                <w:szCs w:val="16"/>
                <w:lang w:eastAsia="en-AU"/>
              </w:rPr>
              <w:t>emissions</w:t>
            </w:r>
          </w:p>
          <w:p w14:paraId="46742605" w14:textId="1E9ED120" w:rsidR="00484C3E" w:rsidRPr="00F33E9B" w:rsidRDefault="00E11E17" w:rsidP="00F333F9">
            <w:pPr>
              <w:spacing w:after="120" w:line="240" w:lineRule="auto"/>
              <w:rPr>
                <w:rFonts w:cs="Arial"/>
                <w:i/>
                <w:color w:val="000000"/>
                <w:sz w:val="16"/>
                <w:szCs w:val="16"/>
                <w:lang w:eastAsia="en-AU"/>
              </w:rPr>
            </w:pPr>
            <m:oMath>
              <m:sSubSup>
                <m:sSubSupPr>
                  <m:ctrlPr>
                    <w:rPr>
                      <w:rFonts w:ascii="Cambria Math" w:eastAsia="Times New Roman" w:hAnsi="Cambria Math" w:cs="Arial"/>
                      <w:i/>
                      <w:color w:val="000000"/>
                      <w:sz w:val="16"/>
                      <w:szCs w:val="16"/>
                      <w:lang w:eastAsia="en-AU"/>
                    </w:rPr>
                  </m:ctrlPr>
                </m:sSubSupPr>
                <m:e>
                  <m:sSub>
                    <m:sSubPr>
                      <m:ctrlPr>
                        <w:rPr>
                          <w:rFonts w:ascii="Cambria Math" w:eastAsia="Times New Roman" w:hAnsi="Cambria Math" w:cs="Arial"/>
                          <w:i/>
                          <w:color w:val="000000"/>
                          <w:sz w:val="16"/>
                          <w:szCs w:val="16"/>
                          <w:lang w:eastAsia="en-AU"/>
                        </w:rPr>
                      </m:ctrlPr>
                    </m:sSubPr>
                    <m:e>
                      <m:r>
                        <w:rPr>
                          <w:rFonts w:ascii="Cambria Math" w:eastAsia="Times New Roman" w:hAnsi="Cambria Math" w:cs="Arial"/>
                          <w:color w:val="000000"/>
                          <w:sz w:val="16"/>
                          <w:szCs w:val="16"/>
                          <w:lang w:eastAsia="en-AU"/>
                        </w:rPr>
                        <m:t>N</m:t>
                      </m:r>
                    </m:e>
                    <m:sub>
                      <m:r>
                        <w:rPr>
                          <w:rFonts w:ascii="Cambria Math" w:eastAsia="Times New Roman" w:hAnsi="Cambria Math" w:cs="Arial"/>
                          <w:color w:val="000000"/>
                          <w:sz w:val="16"/>
                          <w:szCs w:val="16"/>
                          <w:lang w:eastAsia="en-AU"/>
                        </w:rPr>
                        <m:t>2</m:t>
                      </m:r>
                    </m:sub>
                  </m:sSub>
                  <m:r>
                    <w:rPr>
                      <w:rFonts w:ascii="Cambria Math" w:eastAsia="Times New Roman" w:hAnsi="Cambria Math" w:cs="Arial"/>
                      <w:color w:val="000000"/>
                      <w:sz w:val="16"/>
                      <w:szCs w:val="16"/>
                      <w:lang w:eastAsia="en-AU"/>
                    </w:rPr>
                    <m:t>0</m:t>
                  </m:r>
                </m:e>
                <m:sub/>
                <m:sup>
                  <m:r>
                    <w:rPr>
                      <w:rFonts w:ascii="Cambria Math" w:eastAsia="Times New Roman" w:hAnsi="Cambria Math" w:cs="Arial"/>
                      <w:color w:val="000000"/>
                      <w:sz w:val="16"/>
                      <w:szCs w:val="16"/>
                      <w:lang w:eastAsia="en-AU"/>
                    </w:rPr>
                    <m:t>l</m:t>
                  </m:r>
                </m:sup>
              </m:sSubSup>
            </m:oMath>
            <w:r w:rsidR="0020551B" w:rsidRPr="00763307">
              <w:rPr>
                <w:rFonts w:cs="Arial"/>
                <w:color w:val="000000"/>
                <w:sz w:val="16"/>
                <w:szCs w:val="16"/>
                <w:lang w:eastAsia="en-AU"/>
              </w:rPr>
              <w:t xml:space="preserve"> </w:t>
            </w:r>
            <w:r w:rsidR="0020551B" w:rsidRPr="00763307">
              <w:rPr>
                <w:rFonts w:cs="Arial"/>
                <w:i/>
                <w:color w:val="000000"/>
                <w:sz w:val="16"/>
                <w:szCs w:val="16"/>
                <w:lang w:eastAsia="en-AU"/>
              </w:rPr>
              <w:t xml:space="preserve">= </w:t>
            </w:r>
            <w:r w:rsidR="00F33E9B">
              <w:rPr>
                <w:rFonts w:cs="Arial"/>
                <w:i/>
                <w:color w:val="000000"/>
                <w:sz w:val="16"/>
                <w:szCs w:val="16"/>
                <w:lang w:eastAsia="en-AU"/>
              </w:rPr>
              <w:t>land application</w:t>
            </w:r>
            <w:r w:rsidR="0020551B" w:rsidRPr="00763307">
              <w:rPr>
                <w:rFonts w:cs="Arial"/>
                <w:i/>
                <w:color w:val="000000"/>
                <w:sz w:val="16"/>
                <w:szCs w:val="16"/>
                <w:lang w:eastAsia="en-AU"/>
              </w:rPr>
              <w:t xml:space="preserve"> </w:t>
            </w:r>
            <w:r w:rsidR="00F33E9B">
              <w:rPr>
                <w:rFonts w:cs="Arial"/>
                <w:i/>
                <w:color w:val="000000"/>
                <w:sz w:val="16"/>
                <w:szCs w:val="16"/>
                <w:lang w:eastAsia="en-AU"/>
              </w:rPr>
              <w:t xml:space="preserve">nitrous oxide </w:t>
            </w:r>
            <w:r w:rsidR="0020551B">
              <w:rPr>
                <w:rFonts w:cs="Arial"/>
                <w:i/>
                <w:color w:val="000000"/>
                <w:sz w:val="16"/>
                <w:szCs w:val="16"/>
                <w:lang w:eastAsia="en-AU"/>
              </w:rPr>
              <w:t>emissions</w:t>
            </w:r>
          </w:p>
        </w:tc>
      </w:tr>
      <w:tr w:rsidR="00484C3E" w:rsidRPr="00956380" w14:paraId="5BA2C099" w14:textId="77777777" w:rsidTr="006C39A9">
        <w:trPr>
          <w:cantSplit/>
          <w:trHeight w:val="315"/>
        </w:trPr>
        <w:tc>
          <w:tcPr>
            <w:tcW w:w="1462" w:type="pct"/>
            <w:tcBorders>
              <w:top w:val="nil"/>
              <w:left w:val="single" w:sz="8" w:space="0" w:color="FFFFFF"/>
              <w:bottom w:val="single" w:sz="8" w:space="0" w:color="FFFFFF"/>
              <w:right w:val="single" w:sz="8" w:space="0" w:color="FFFFFF"/>
            </w:tcBorders>
            <w:shd w:val="clear" w:color="auto" w:fill="DBE5F1" w:themeFill="accent1" w:themeFillTint="33"/>
            <w:vAlign w:val="center"/>
          </w:tcPr>
          <w:p w14:paraId="1C2BF4CF" w14:textId="77777777" w:rsidR="006C39A9" w:rsidRDefault="006C39A9" w:rsidP="00484C3E">
            <w:pPr>
              <w:spacing w:after="0" w:line="240" w:lineRule="auto"/>
              <w:rPr>
                <w:rFonts w:eastAsia="Times New Roman" w:cs="Arial"/>
                <w:color w:val="000000"/>
                <w:szCs w:val="20"/>
                <w:lang w:eastAsia="en-AU"/>
              </w:rPr>
            </w:pPr>
          </w:p>
          <w:p w14:paraId="5EAB4C44" w14:textId="08F61871" w:rsidR="00484C3E" w:rsidRPr="00484C3E" w:rsidRDefault="00484C3E" w:rsidP="00484C3E">
            <w:pPr>
              <w:spacing w:after="0" w:line="240" w:lineRule="auto"/>
              <w:rPr>
                <w:rFonts w:eastAsia="Times New Roman" w:cs="Arial"/>
                <w:color w:val="000000"/>
                <w:szCs w:val="20"/>
                <w:lang w:eastAsia="en-AU"/>
              </w:rPr>
            </w:pPr>
            <w:r>
              <w:rPr>
                <w:rFonts w:eastAsia="Times New Roman" w:cs="Arial"/>
                <w:color w:val="000000"/>
                <w:szCs w:val="20"/>
                <w:lang w:eastAsia="en-AU"/>
              </w:rPr>
              <w:t>Industrial wastewater</w:t>
            </w:r>
          </w:p>
        </w:tc>
        <w:tc>
          <w:tcPr>
            <w:tcW w:w="1385" w:type="pct"/>
            <w:tcBorders>
              <w:top w:val="nil"/>
              <w:left w:val="nil"/>
              <w:bottom w:val="single" w:sz="8" w:space="0" w:color="FFFFFF"/>
              <w:right w:val="single" w:sz="8" w:space="0" w:color="FFFFFF"/>
            </w:tcBorders>
            <w:shd w:val="clear" w:color="auto" w:fill="DBE5F1" w:themeFill="accent1" w:themeFillTint="33"/>
            <w:vAlign w:val="center"/>
          </w:tcPr>
          <w:p w14:paraId="67CB13CF" w14:textId="18CB8563" w:rsidR="00FD145A" w:rsidRDefault="00FD145A" w:rsidP="00FD145A">
            <w:pPr>
              <w:spacing w:after="0" w:line="240" w:lineRule="auto"/>
              <w:rPr>
                <w:rFonts w:eastAsia="Times New Roman" w:cs="Arial"/>
                <w:color w:val="000000"/>
                <w:szCs w:val="20"/>
                <w:lang w:eastAsia="en-AU"/>
              </w:rPr>
            </w:pPr>
            <w:proofErr w:type="spellStart"/>
            <w:r>
              <w:rPr>
                <w:rFonts w:eastAsia="Times New Roman" w:cs="Arial"/>
                <w:color w:val="000000"/>
                <w:szCs w:val="20"/>
                <w:lang w:eastAsia="en-AU"/>
              </w:rPr>
              <w:t>DoE</w:t>
            </w:r>
            <w:r w:rsidR="00664D73">
              <w:rPr>
                <w:rFonts w:eastAsia="Times New Roman" w:cs="Arial"/>
                <w:color w:val="000000"/>
                <w:szCs w:val="20"/>
                <w:lang w:eastAsia="en-AU"/>
              </w:rPr>
              <w:t>E</w:t>
            </w:r>
            <w:proofErr w:type="spellEnd"/>
            <w:r>
              <w:rPr>
                <w:rFonts w:eastAsia="Times New Roman" w:cs="Arial"/>
                <w:color w:val="000000"/>
                <w:szCs w:val="20"/>
                <w:lang w:eastAsia="en-AU"/>
              </w:rPr>
              <w:t xml:space="preserve"> 2017</w:t>
            </w:r>
          </w:p>
          <w:p w14:paraId="6C99AB09" w14:textId="52C8F6C3" w:rsidR="00484C3E" w:rsidRPr="00484C3E" w:rsidRDefault="00FD145A" w:rsidP="00634C2A">
            <w:pPr>
              <w:spacing w:after="0" w:line="240" w:lineRule="auto"/>
              <w:rPr>
                <w:rFonts w:eastAsia="Times New Roman" w:cs="Arial"/>
                <w:color w:val="000000"/>
                <w:szCs w:val="20"/>
                <w:lang w:eastAsia="en-AU"/>
              </w:rPr>
            </w:pPr>
            <w:proofErr w:type="spellStart"/>
            <w:r w:rsidRPr="00737986">
              <w:rPr>
                <w:rFonts w:eastAsia="Times New Roman" w:cs="Arial"/>
                <w:color w:val="000000"/>
                <w:szCs w:val="20"/>
                <w:lang w:eastAsia="en-AU"/>
              </w:rPr>
              <w:t>DoE</w:t>
            </w:r>
            <w:r w:rsidR="00664D73" w:rsidRPr="00737986">
              <w:rPr>
                <w:rFonts w:eastAsia="Times New Roman" w:cs="Arial"/>
                <w:color w:val="000000"/>
                <w:szCs w:val="20"/>
                <w:lang w:eastAsia="en-AU"/>
              </w:rPr>
              <w:t>E</w:t>
            </w:r>
            <w:proofErr w:type="spellEnd"/>
            <w:r w:rsidR="006231C3">
              <w:rPr>
                <w:rFonts w:eastAsia="Times New Roman" w:cs="Arial"/>
                <w:color w:val="000000"/>
                <w:szCs w:val="20"/>
                <w:lang w:eastAsia="en-AU"/>
              </w:rPr>
              <w:t xml:space="preserve"> 2017</w:t>
            </w:r>
            <w:r w:rsidR="00634C2A">
              <w:rPr>
                <w:rFonts w:eastAsia="Times New Roman" w:cs="Arial"/>
                <w:color w:val="000000"/>
                <w:szCs w:val="20"/>
                <w:lang w:eastAsia="en-AU"/>
              </w:rPr>
              <w:t>b</w:t>
            </w:r>
          </w:p>
        </w:tc>
        <w:tc>
          <w:tcPr>
            <w:tcW w:w="2153" w:type="pct"/>
            <w:tcBorders>
              <w:top w:val="nil"/>
              <w:left w:val="nil"/>
              <w:bottom w:val="single" w:sz="8" w:space="0" w:color="FFFFFF"/>
              <w:right w:val="single" w:sz="8" w:space="0" w:color="FFFFFF"/>
            </w:tcBorders>
            <w:shd w:val="clear" w:color="auto" w:fill="DBE5F1" w:themeFill="accent1" w:themeFillTint="33"/>
            <w:vAlign w:val="center"/>
          </w:tcPr>
          <w:p w14:paraId="56DBFC6A" w14:textId="4C826C2B" w:rsidR="00F333F9" w:rsidRDefault="00E11E17" w:rsidP="003F333E">
            <w:pPr>
              <w:spacing w:before="120" w:after="0" w:line="240" w:lineRule="auto"/>
              <w:rPr>
                <w:i/>
                <w:color w:val="000000"/>
                <w:szCs w:val="20"/>
                <w:lang w:eastAsia="en-AU"/>
              </w:rPr>
            </w:pPr>
            <m:oMathPara>
              <m:oMath>
                <m:sSub>
                  <m:sSubPr>
                    <m:ctrlPr>
                      <w:rPr>
                        <w:rFonts w:ascii="Cambria Math" w:eastAsia="Times New Roman" w:hAnsi="Cambria Math" w:cs="Arial"/>
                        <w:i/>
                        <w:color w:val="000000"/>
                        <w:szCs w:val="20"/>
                        <w:lang w:eastAsia="en-AU"/>
                      </w:rPr>
                    </m:ctrlPr>
                  </m:sSubPr>
                  <m:e>
                    <m:r>
                      <w:rPr>
                        <w:rFonts w:ascii="Cambria Math" w:eastAsia="Times New Roman" w:hAnsi="Cambria Math" w:cs="Arial"/>
                        <w:color w:val="000000"/>
                        <w:szCs w:val="20"/>
                        <w:lang w:eastAsia="en-AU"/>
                      </w:rPr>
                      <m:t>E</m:t>
                    </m:r>
                  </m:e>
                  <m:sub>
                    <m:r>
                      <w:rPr>
                        <w:rFonts w:ascii="Cambria Math" w:eastAsia="Times New Roman" w:hAnsi="Cambria Math" w:cs="Arial"/>
                        <w:color w:val="000000"/>
                        <w:szCs w:val="20"/>
                        <w:lang w:eastAsia="en-AU"/>
                      </w:rPr>
                      <m:t>i</m:t>
                    </m:r>
                  </m:sub>
                </m:sSub>
                <m:r>
                  <w:rPr>
                    <w:rFonts w:ascii="Cambria Math" w:eastAsia="Times New Roman" w:hAnsi="Cambria Math" w:cs="Arial"/>
                    <w:color w:val="000000"/>
                    <w:szCs w:val="20"/>
                    <w:lang w:eastAsia="en-AU"/>
                  </w:rPr>
                  <m:t>=(</m:t>
                </m:r>
                <m:sSubSup>
                  <m:sSubSupPr>
                    <m:ctrlPr>
                      <w:rPr>
                        <w:rFonts w:ascii="Cambria Math" w:eastAsia="Times New Roman" w:hAnsi="Cambria Math" w:cs="Arial"/>
                        <w:i/>
                        <w:color w:val="000000"/>
                        <w:szCs w:val="20"/>
                        <w:lang w:eastAsia="en-AU"/>
                      </w:rPr>
                    </m:ctrlPr>
                  </m:sSubSupPr>
                  <m:e>
                    <m:r>
                      <w:rPr>
                        <w:rFonts w:ascii="Cambria Math" w:eastAsia="Times New Roman" w:hAnsi="Cambria Math" w:cs="Arial"/>
                        <w:color w:val="000000"/>
                        <w:szCs w:val="20"/>
                        <w:lang w:eastAsia="en-AU"/>
                      </w:rPr>
                      <m:t>CH</m:t>
                    </m:r>
                  </m:e>
                  <m:sub>
                    <m:r>
                      <w:rPr>
                        <w:rFonts w:ascii="Cambria Math" w:eastAsia="Times New Roman" w:hAnsi="Cambria Math" w:cs="Arial"/>
                        <w:color w:val="000000"/>
                        <w:szCs w:val="20"/>
                        <w:lang w:eastAsia="en-AU"/>
                      </w:rPr>
                      <m:t>4</m:t>
                    </m:r>
                  </m:sub>
                  <m:sup>
                    <m:r>
                      <w:rPr>
                        <w:rFonts w:ascii="Cambria Math" w:eastAsia="Times New Roman" w:hAnsi="Cambria Math" w:cs="Arial"/>
                        <w:color w:val="000000"/>
                        <w:szCs w:val="20"/>
                        <w:lang w:eastAsia="en-AU"/>
                      </w:rPr>
                      <m:t>t</m:t>
                    </m:r>
                  </m:sup>
                </m:sSubSup>
                <m:r>
                  <w:rPr>
                    <w:rFonts w:ascii="Cambria Math" w:eastAsia="Times New Roman" w:hAnsi="Cambria Math" w:cs="Arial"/>
                    <w:color w:val="000000"/>
                    <w:szCs w:val="20"/>
                    <w:lang w:eastAsia="en-AU"/>
                  </w:rPr>
                  <m:t>-</m:t>
                </m:r>
                <m:sSubSup>
                  <m:sSubSupPr>
                    <m:ctrlPr>
                      <w:rPr>
                        <w:rFonts w:ascii="Cambria Math" w:eastAsia="Times New Roman" w:hAnsi="Cambria Math" w:cs="Arial"/>
                        <w:i/>
                        <w:color w:val="000000"/>
                        <w:szCs w:val="20"/>
                        <w:lang w:eastAsia="en-AU"/>
                      </w:rPr>
                    </m:ctrlPr>
                  </m:sSubSupPr>
                  <m:e>
                    <m:r>
                      <w:rPr>
                        <w:rFonts w:ascii="Cambria Math" w:eastAsia="Times New Roman" w:hAnsi="Cambria Math" w:cs="Arial"/>
                        <w:color w:val="000000"/>
                        <w:szCs w:val="20"/>
                        <w:lang w:eastAsia="en-AU"/>
                      </w:rPr>
                      <m:t>CH</m:t>
                    </m:r>
                  </m:e>
                  <m:sub>
                    <m:r>
                      <w:rPr>
                        <w:rFonts w:ascii="Cambria Math" w:eastAsia="Times New Roman" w:hAnsi="Cambria Math" w:cs="Arial"/>
                        <w:color w:val="000000"/>
                        <w:szCs w:val="20"/>
                        <w:lang w:eastAsia="en-AU"/>
                      </w:rPr>
                      <m:t>4</m:t>
                    </m:r>
                  </m:sub>
                  <m:sup>
                    <m:r>
                      <w:rPr>
                        <w:rFonts w:ascii="Cambria Math" w:eastAsia="Times New Roman" w:hAnsi="Cambria Math" w:cs="Arial"/>
                        <w:color w:val="000000"/>
                        <w:szCs w:val="20"/>
                        <w:lang w:eastAsia="en-AU"/>
                      </w:rPr>
                      <m:t>r</m:t>
                    </m:r>
                  </m:sup>
                </m:sSubSup>
                <m:r>
                  <w:rPr>
                    <w:rFonts w:ascii="Cambria Math" w:eastAsia="Times New Roman" w:hAnsi="Cambria Math" w:cs="Arial"/>
                    <w:color w:val="000000"/>
                    <w:szCs w:val="20"/>
                    <w:lang w:eastAsia="en-AU"/>
                  </w:rPr>
                  <m:t>)</m:t>
                </m:r>
              </m:oMath>
            </m:oMathPara>
          </w:p>
          <w:p w14:paraId="60FE49A3" w14:textId="77777777" w:rsidR="00F333F9" w:rsidRDefault="00F333F9" w:rsidP="00F333F9">
            <w:pPr>
              <w:spacing w:after="0" w:line="240" w:lineRule="auto"/>
              <w:rPr>
                <w:i/>
                <w:sz w:val="16"/>
                <w:szCs w:val="16"/>
              </w:rPr>
            </w:pPr>
          </w:p>
          <w:p w14:paraId="1768906D" w14:textId="65385305" w:rsidR="00F333F9" w:rsidRPr="00763307" w:rsidRDefault="00F333F9" w:rsidP="00F333F9">
            <w:pPr>
              <w:spacing w:after="0" w:line="240" w:lineRule="auto"/>
              <w:rPr>
                <w:rFonts w:cs="Arial"/>
                <w:i/>
                <w:color w:val="000000"/>
                <w:sz w:val="16"/>
                <w:szCs w:val="16"/>
                <w:lang w:eastAsia="en-AU"/>
              </w:rPr>
            </w:pPr>
            <w:r w:rsidRPr="004510D5">
              <w:rPr>
                <w:i/>
                <w:sz w:val="16"/>
                <w:szCs w:val="16"/>
              </w:rPr>
              <w:t xml:space="preserve">Where: </w:t>
            </w:r>
            <w:r>
              <w:rPr>
                <w:i/>
                <w:sz w:val="16"/>
                <w:szCs w:val="16"/>
              </w:rPr>
              <w:br/>
            </w:r>
            <w:proofErr w:type="spellStart"/>
            <w:r>
              <w:rPr>
                <w:i/>
                <w:sz w:val="16"/>
                <w:szCs w:val="16"/>
              </w:rPr>
              <w:t>E</w:t>
            </w:r>
            <w:r>
              <w:rPr>
                <w:i/>
                <w:sz w:val="16"/>
                <w:szCs w:val="16"/>
                <w:vertAlign w:val="subscript"/>
              </w:rPr>
              <w:t>i</w:t>
            </w:r>
            <w:proofErr w:type="spellEnd"/>
            <w:r w:rsidRPr="004510D5">
              <w:rPr>
                <w:i/>
                <w:sz w:val="16"/>
                <w:szCs w:val="16"/>
              </w:rPr>
              <w:t xml:space="preserve"> = </w:t>
            </w:r>
            <w:r>
              <w:rPr>
                <w:i/>
                <w:sz w:val="16"/>
                <w:szCs w:val="16"/>
              </w:rPr>
              <w:t>industrial wastewater emissions</w:t>
            </w:r>
            <w:r>
              <w:rPr>
                <w:i/>
                <w:sz w:val="16"/>
                <w:szCs w:val="16"/>
              </w:rPr>
              <w:br/>
            </w:r>
            <m:oMath>
              <m:sSubSup>
                <m:sSubSupPr>
                  <m:ctrlPr>
                    <w:rPr>
                      <w:rFonts w:ascii="Cambria Math" w:eastAsia="Times New Roman" w:hAnsi="Cambria Math" w:cs="Arial"/>
                      <w:i/>
                      <w:color w:val="000000"/>
                      <w:sz w:val="16"/>
                      <w:szCs w:val="16"/>
                      <w:lang w:eastAsia="en-AU"/>
                    </w:rPr>
                  </m:ctrlPr>
                </m:sSubSupPr>
                <m:e>
                  <m:r>
                    <w:rPr>
                      <w:rFonts w:ascii="Cambria Math" w:eastAsia="Times New Roman" w:hAnsi="Cambria Math" w:cs="Arial"/>
                      <w:color w:val="000000"/>
                      <w:sz w:val="16"/>
                      <w:szCs w:val="16"/>
                      <w:lang w:eastAsia="en-AU"/>
                    </w:rPr>
                    <m:t>CH</m:t>
                  </m:r>
                </m:e>
                <m:sub>
                  <m:r>
                    <w:rPr>
                      <w:rFonts w:ascii="Cambria Math" w:eastAsia="Times New Roman" w:hAnsi="Cambria Math" w:cs="Arial"/>
                      <w:color w:val="000000"/>
                      <w:sz w:val="16"/>
                      <w:szCs w:val="16"/>
                      <w:lang w:eastAsia="en-AU"/>
                    </w:rPr>
                    <m:t>4</m:t>
                  </m:r>
                </m:sub>
                <m:sup>
                  <m:r>
                    <w:rPr>
                      <w:rFonts w:ascii="Cambria Math" w:eastAsia="Times New Roman" w:hAnsi="Cambria Math" w:cs="Arial"/>
                      <w:color w:val="000000"/>
                      <w:sz w:val="16"/>
                      <w:szCs w:val="16"/>
                      <w:lang w:eastAsia="en-AU"/>
                    </w:rPr>
                    <m:t>t</m:t>
                  </m:r>
                </m:sup>
              </m:sSubSup>
            </m:oMath>
            <w:r w:rsidRPr="00763307">
              <w:rPr>
                <w:rFonts w:cs="Arial"/>
                <w:color w:val="000000"/>
                <w:sz w:val="16"/>
                <w:szCs w:val="16"/>
                <w:lang w:eastAsia="en-AU"/>
              </w:rPr>
              <w:t xml:space="preserve"> </w:t>
            </w:r>
            <w:r w:rsidRPr="00763307">
              <w:rPr>
                <w:rFonts w:cs="Arial"/>
                <w:i/>
                <w:color w:val="000000"/>
                <w:sz w:val="16"/>
                <w:szCs w:val="16"/>
                <w:lang w:eastAsia="en-AU"/>
              </w:rPr>
              <w:t xml:space="preserve">= </w:t>
            </w:r>
            <w:r>
              <w:rPr>
                <w:rFonts w:cs="Arial"/>
                <w:i/>
                <w:color w:val="000000"/>
                <w:sz w:val="16"/>
                <w:szCs w:val="16"/>
                <w:lang w:eastAsia="en-AU"/>
              </w:rPr>
              <w:t xml:space="preserve">total industrial wastewater </w:t>
            </w:r>
            <w:r w:rsidRPr="00763307">
              <w:rPr>
                <w:rFonts w:cs="Arial"/>
                <w:i/>
                <w:color w:val="000000"/>
                <w:sz w:val="16"/>
                <w:szCs w:val="16"/>
                <w:lang w:eastAsia="en-AU"/>
              </w:rPr>
              <w:t xml:space="preserve">methane </w:t>
            </w:r>
            <w:r>
              <w:rPr>
                <w:rFonts w:cs="Arial"/>
                <w:i/>
                <w:color w:val="000000"/>
                <w:sz w:val="16"/>
                <w:szCs w:val="16"/>
                <w:lang w:eastAsia="en-AU"/>
              </w:rPr>
              <w:t>emissions</w:t>
            </w:r>
          </w:p>
          <w:p w14:paraId="5E436C68" w14:textId="4F0BDCC0" w:rsidR="00484C3E" w:rsidRPr="00F333F9" w:rsidRDefault="00E11E17" w:rsidP="00F333F9">
            <w:pPr>
              <w:spacing w:after="120" w:line="240" w:lineRule="auto"/>
              <w:rPr>
                <w:rFonts w:cs="Arial"/>
                <w:i/>
                <w:color w:val="000000"/>
                <w:sz w:val="16"/>
                <w:szCs w:val="16"/>
                <w:lang w:eastAsia="en-AU"/>
              </w:rPr>
            </w:pPr>
            <m:oMath>
              <m:sSubSup>
                <m:sSubSupPr>
                  <m:ctrlPr>
                    <w:rPr>
                      <w:rFonts w:ascii="Cambria Math" w:eastAsia="Times New Roman" w:hAnsi="Cambria Math" w:cs="Arial"/>
                      <w:i/>
                      <w:color w:val="000000"/>
                      <w:sz w:val="16"/>
                      <w:szCs w:val="16"/>
                      <w:lang w:eastAsia="en-AU"/>
                    </w:rPr>
                  </m:ctrlPr>
                </m:sSubSupPr>
                <m:e>
                  <m:r>
                    <w:rPr>
                      <w:rFonts w:ascii="Cambria Math" w:eastAsia="Times New Roman" w:hAnsi="Cambria Math" w:cs="Arial"/>
                      <w:color w:val="000000"/>
                      <w:sz w:val="16"/>
                      <w:szCs w:val="16"/>
                      <w:lang w:eastAsia="en-AU"/>
                    </w:rPr>
                    <m:t>CH</m:t>
                  </m:r>
                </m:e>
                <m:sub>
                  <m:r>
                    <w:rPr>
                      <w:rFonts w:ascii="Cambria Math" w:eastAsia="Times New Roman" w:hAnsi="Cambria Math" w:cs="Arial"/>
                      <w:color w:val="000000"/>
                      <w:sz w:val="16"/>
                      <w:szCs w:val="16"/>
                      <w:lang w:eastAsia="en-AU"/>
                    </w:rPr>
                    <m:t>4</m:t>
                  </m:r>
                </m:sub>
                <m:sup>
                  <m:r>
                    <w:rPr>
                      <w:rFonts w:ascii="Cambria Math" w:eastAsia="Times New Roman" w:hAnsi="Cambria Math" w:cs="Arial"/>
                      <w:color w:val="000000"/>
                      <w:sz w:val="16"/>
                      <w:szCs w:val="16"/>
                      <w:lang w:eastAsia="en-AU"/>
                    </w:rPr>
                    <m:t>r</m:t>
                  </m:r>
                </m:sup>
              </m:sSubSup>
            </m:oMath>
            <w:r w:rsidR="00F333F9" w:rsidRPr="00763307">
              <w:rPr>
                <w:rFonts w:cs="Arial"/>
                <w:color w:val="000000"/>
                <w:sz w:val="16"/>
                <w:szCs w:val="16"/>
                <w:lang w:eastAsia="en-AU"/>
              </w:rPr>
              <w:t xml:space="preserve"> </w:t>
            </w:r>
            <w:r w:rsidR="00F333F9" w:rsidRPr="00763307">
              <w:rPr>
                <w:rFonts w:cs="Arial"/>
                <w:i/>
                <w:color w:val="000000"/>
                <w:sz w:val="16"/>
                <w:szCs w:val="16"/>
                <w:lang w:eastAsia="en-AU"/>
              </w:rPr>
              <w:t xml:space="preserve">= </w:t>
            </w:r>
            <w:r w:rsidR="00F333F9">
              <w:rPr>
                <w:rFonts w:cs="Arial"/>
                <w:i/>
                <w:color w:val="000000"/>
                <w:sz w:val="16"/>
                <w:szCs w:val="16"/>
                <w:lang w:eastAsia="en-AU"/>
              </w:rPr>
              <w:t xml:space="preserve">industrial wastewater </w:t>
            </w:r>
            <w:r w:rsidR="00F333F9" w:rsidRPr="00763307">
              <w:rPr>
                <w:rFonts w:cs="Arial"/>
                <w:i/>
                <w:color w:val="000000"/>
                <w:sz w:val="16"/>
                <w:szCs w:val="16"/>
                <w:lang w:eastAsia="en-AU"/>
              </w:rPr>
              <w:t xml:space="preserve">methane </w:t>
            </w:r>
            <w:r w:rsidR="00F333F9">
              <w:rPr>
                <w:rFonts w:cs="Arial"/>
                <w:i/>
                <w:color w:val="000000"/>
                <w:sz w:val="16"/>
                <w:szCs w:val="16"/>
                <w:lang w:eastAsia="en-AU"/>
              </w:rPr>
              <w:t>recovered</w:t>
            </w:r>
          </w:p>
        </w:tc>
      </w:tr>
    </w:tbl>
    <w:p w14:paraId="7E8DA2DC" w14:textId="7372CEAE" w:rsidR="00F94DC9" w:rsidRPr="00F94DC9" w:rsidRDefault="00F94DC9" w:rsidP="00F94DC9">
      <w:pPr>
        <w:ind w:left="720" w:hanging="578"/>
        <w:rPr>
          <w:sz w:val="16"/>
          <w:szCs w:val="16"/>
        </w:rPr>
      </w:pPr>
      <w:proofErr w:type="spellStart"/>
      <w:proofErr w:type="gramStart"/>
      <w:r w:rsidRPr="00F94DC9">
        <w:rPr>
          <w:sz w:val="16"/>
          <w:szCs w:val="16"/>
        </w:rPr>
        <w:t>a</w:t>
      </w:r>
      <w:proofErr w:type="spellEnd"/>
      <w:proofErr w:type="gramEnd"/>
      <w:r w:rsidRPr="00F94DC9">
        <w:rPr>
          <w:sz w:val="16"/>
          <w:szCs w:val="16"/>
        </w:rPr>
        <w:tab/>
      </w:r>
      <w:r w:rsidR="005330D9">
        <w:rPr>
          <w:sz w:val="16"/>
          <w:szCs w:val="16"/>
        </w:rPr>
        <w:t>Industrial</w:t>
      </w:r>
      <w:r w:rsidRPr="00F94DC9">
        <w:rPr>
          <w:sz w:val="16"/>
          <w:szCs w:val="16"/>
        </w:rPr>
        <w:t xml:space="preserve"> wastewater modelling </w:t>
      </w:r>
      <w:r>
        <w:rPr>
          <w:sz w:val="16"/>
          <w:szCs w:val="16"/>
        </w:rPr>
        <w:t>incorporates annual growth rates</w:t>
      </w:r>
      <w:r w:rsidRPr="00F94DC9">
        <w:rPr>
          <w:sz w:val="16"/>
          <w:szCs w:val="16"/>
        </w:rPr>
        <w:t xml:space="preserve"> from the </w:t>
      </w:r>
      <w:r w:rsidRPr="00774171">
        <w:rPr>
          <w:i/>
          <w:sz w:val="16"/>
          <w:szCs w:val="16"/>
        </w:rPr>
        <w:t xml:space="preserve">agriculture </w:t>
      </w:r>
      <w:r w:rsidR="00664D73" w:rsidRPr="000034C2">
        <w:rPr>
          <w:i/>
          <w:sz w:val="16"/>
          <w:szCs w:val="16"/>
        </w:rPr>
        <w:t>sector</w:t>
      </w:r>
      <w:r w:rsidR="00664D73">
        <w:rPr>
          <w:sz w:val="16"/>
          <w:szCs w:val="16"/>
        </w:rPr>
        <w:t xml:space="preserve"> </w:t>
      </w:r>
      <w:r w:rsidRPr="00F94DC9">
        <w:rPr>
          <w:sz w:val="16"/>
          <w:szCs w:val="16"/>
        </w:rPr>
        <w:t xml:space="preserve">and </w:t>
      </w:r>
      <w:r w:rsidRPr="00774171">
        <w:rPr>
          <w:i/>
          <w:sz w:val="16"/>
          <w:szCs w:val="16"/>
        </w:rPr>
        <w:t xml:space="preserve">direct combustion </w:t>
      </w:r>
      <w:r w:rsidR="00664D73" w:rsidRPr="000034C2">
        <w:rPr>
          <w:i/>
          <w:sz w:val="16"/>
          <w:szCs w:val="16"/>
        </w:rPr>
        <w:t>sector</w:t>
      </w:r>
      <w:r w:rsidR="00664D73">
        <w:rPr>
          <w:sz w:val="16"/>
          <w:szCs w:val="16"/>
        </w:rPr>
        <w:t xml:space="preserve"> </w:t>
      </w:r>
      <w:r w:rsidRPr="00F94DC9">
        <w:rPr>
          <w:sz w:val="16"/>
          <w:szCs w:val="16"/>
        </w:rPr>
        <w:t>emissions projections.</w:t>
      </w:r>
    </w:p>
    <w:p w14:paraId="29DFE9AE" w14:textId="0970EC43" w:rsidR="000E7071" w:rsidRDefault="000E7071" w:rsidP="00CE31C9">
      <w:pPr>
        <w:pStyle w:val="Heading2"/>
      </w:pPr>
      <w:bookmarkStart w:id="52" w:name="_Toc510532009"/>
      <w:bookmarkStart w:id="53" w:name="_Toc510532539"/>
      <w:bookmarkStart w:id="54" w:name="_Toc510534103"/>
      <w:bookmarkStart w:id="55" w:name="_Toc510794632"/>
      <w:bookmarkStart w:id="56" w:name="_Toc511297991"/>
      <w:bookmarkStart w:id="57" w:name="_Toc511304020"/>
      <w:bookmarkStart w:id="58" w:name="_Toc511918024"/>
      <w:r>
        <w:t>Land use, land use change and forestry</w:t>
      </w:r>
      <w:bookmarkEnd w:id="52"/>
      <w:bookmarkEnd w:id="53"/>
      <w:bookmarkEnd w:id="54"/>
      <w:bookmarkEnd w:id="55"/>
      <w:bookmarkEnd w:id="56"/>
      <w:bookmarkEnd w:id="57"/>
      <w:bookmarkEnd w:id="58"/>
    </w:p>
    <w:p w14:paraId="52113256" w14:textId="2214D745" w:rsidR="00687509" w:rsidRDefault="00687509" w:rsidP="007835F3">
      <w:r>
        <w:t>The Full Carbon Accounting Model (</w:t>
      </w:r>
      <w:proofErr w:type="spellStart"/>
      <w:r>
        <w:t>FullCAM</w:t>
      </w:r>
      <w:proofErr w:type="spellEnd"/>
      <w:r>
        <w:t>) provides the modelling framework for estimating land sector emissions in the nat</w:t>
      </w:r>
      <w:r w:rsidR="00DC7214">
        <w:t>ion</w:t>
      </w:r>
      <w:r>
        <w:t xml:space="preserve">al </w:t>
      </w:r>
      <w:r w:rsidR="00023629">
        <w:t xml:space="preserve">greenhouse gas </w:t>
      </w:r>
      <w:r>
        <w:t>inventory</w:t>
      </w:r>
      <w:r w:rsidR="001F6E1C">
        <w:t xml:space="preserve"> and the emissions projections</w:t>
      </w:r>
      <w:r>
        <w:t xml:space="preserve">. </w:t>
      </w:r>
      <w:proofErr w:type="spellStart"/>
      <w:r>
        <w:t>FullCAM</w:t>
      </w:r>
      <w:proofErr w:type="spellEnd"/>
      <w:r>
        <w:t xml:space="preserve"> models the exchange of carbon between the terrestrial biological system and the atmosphere in a full/ closed cycle mass balance model which includes all biomass, litter</w:t>
      </w:r>
      <w:r w:rsidR="00DC7214">
        <w:t>/debris</w:t>
      </w:r>
      <w:r>
        <w:t xml:space="preserve"> and soil pools. The model uses data on climate, soils and management practices, as well as land use changes observed from satellite imagery to produce estimates of emissions and removals across the Australian landscape.</w:t>
      </w:r>
      <w:r w:rsidR="001F6E1C">
        <w:t xml:space="preserve"> For more information, a detailed description of the model is provided in </w:t>
      </w:r>
      <w:r w:rsidR="006231C3">
        <w:t>the</w:t>
      </w:r>
      <w:r w:rsidR="00664D73">
        <w:t xml:space="preserve"> </w:t>
      </w:r>
      <w:r w:rsidR="001F6E1C" w:rsidRPr="006231C3">
        <w:rPr>
          <w:i/>
        </w:rPr>
        <w:t>National Inventory Report</w:t>
      </w:r>
      <w:r w:rsidR="00664D73">
        <w:rPr>
          <w:i/>
        </w:rPr>
        <w:t xml:space="preserve"> </w:t>
      </w:r>
      <w:r w:rsidR="001F6E1C">
        <w:t>(</w:t>
      </w:r>
      <w:proofErr w:type="spellStart"/>
      <w:r w:rsidR="001F6E1C">
        <w:t>DoEE</w:t>
      </w:r>
      <w:proofErr w:type="spellEnd"/>
      <w:r w:rsidR="001F6E1C">
        <w:t xml:space="preserve"> 20</w:t>
      </w:r>
      <w:r w:rsidR="00E259F8">
        <w:t>17</w:t>
      </w:r>
      <w:r w:rsidR="00023629">
        <w:t>,</w:t>
      </w:r>
      <w:r w:rsidR="001F6E1C">
        <w:t xml:space="preserve"> Appendix 6.B</w:t>
      </w:r>
      <w:r w:rsidR="00023629">
        <w:t>)</w:t>
      </w:r>
      <w:r w:rsidR="001F6E1C">
        <w:t>.</w:t>
      </w:r>
    </w:p>
    <w:p w14:paraId="282F76F7" w14:textId="0371A347" w:rsidR="00687509" w:rsidRDefault="00687509" w:rsidP="007835F3">
      <w:r>
        <w:t>Key assumptions include:</w:t>
      </w:r>
    </w:p>
    <w:p w14:paraId="4DE75846" w14:textId="15F86E8D" w:rsidR="00687509" w:rsidRDefault="00687509" w:rsidP="00C808FE">
      <w:pPr>
        <w:pStyle w:val="ListBullet"/>
      </w:pPr>
      <w:r>
        <w:t>The forecast land clearing rates on forest lands converted to croplands and grasslands are assumed to return to historical levels before following the relationship between land clearing activity and the farmers’ terms of trade</w:t>
      </w:r>
      <w:r w:rsidR="00B75399">
        <w:t>, as</w:t>
      </w:r>
      <w:r>
        <w:t xml:space="preserve"> described in </w:t>
      </w:r>
      <w:r w:rsidR="006231C3">
        <w:t xml:space="preserve">the </w:t>
      </w:r>
      <w:r w:rsidR="006231C3" w:rsidRPr="006231C3">
        <w:rPr>
          <w:i/>
        </w:rPr>
        <w:t>National Inventory Report</w:t>
      </w:r>
      <w:r w:rsidR="006231C3">
        <w:rPr>
          <w:i/>
        </w:rPr>
        <w:t xml:space="preserve"> </w:t>
      </w:r>
      <w:r w:rsidR="006231C3">
        <w:t>(</w:t>
      </w:r>
      <w:proofErr w:type="spellStart"/>
      <w:r w:rsidR="006231C3">
        <w:t>DoEE</w:t>
      </w:r>
      <w:proofErr w:type="spellEnd"/>
      <w:r w:rsidR="006231C3">
        <w:t xml:space="preserve"> 2017</w:t>
      </w:r>
      <w:r w:rsidR="00023629">
        <w:t xml:space="preserve">, </w:t>
      </w:r>
      <w:r w:rsidR="00B75399">
        <w:t>Appendix 6.A.6 and 6.H)</w:t>
      </w:r>
      <w:r>
        <w:t>.</w:t>
      </w:r>
    </w:p>
    <w:p w14:paraId="3A218910" w14:textId="5E34D604" w:rsidR="00687509" w:rsidRDefault="00687509" w:rsidP="00C808FE">
      <w:pPr>
        <w:pStyle w:val="ListBullet"/>
      </w:pPr>
      <w:r>
        <w:t xml:space="preserve">For projections of net emissions from forest lands, log harvest forecasts were adopted from the ‘business as usual’ scenario published in the </w:t>
      </w:r>
      <w:r w:rsidRPr="00C808FE">
        <w:rPr>
          <w:i/>
        </w:rPr>
        <w:t>Outlook Scenarios for Australia’s Forestry Sector: Key Drivers and Opportunities</w:t>
      </w:r>
      <w:r>
        <w:t xml:space="preserve"> (</w:t>
      </w:r>
      <w:r w:rsidRPr="00774171">
        <w:t>ABARES 2015</w:t>
      </w:r>
      <w:r>
        <w:t>)</w:t>
      </w:r>
      <w:r w:rsidR="004D725E">
        <w:t xml:space="preserve">. The projections utilised the </w:t>
      </w:r>
      <w:proofErr w:type="spellStart"/>
      <w:r w:rsidR="004D725E">
        <w:t>FullCAM</w:t>
      </w:r>
      <w:proofErr w:type="spellEnd"/>
      <w:r w:rsidR="004D725E">
        <w:t xml:space="preserve"> modelling framework to estimate emissions, in conjunction with the harvested wood products model as described in section 2.1 of </w:t>
      </w:r>
      <w:r w:rsidR="004D725E" w:rsidRPr="00C808FE">
        <w:rPr>
          <w:i/>
        </w:rPr>
        <w:t>Australia</w:t>
      </w:r>
      <w:r w:rsidR="004D725E">
        <w:rPr>
          <w:i/>
        </w:rPr>
        <w:t>n</w:t>
      </w:r>
      <w:r w:rsidR="004D725E" w:rsidRPr="00C808FE">
        <w:rPr>
          <w:i/>
        </w:rPr>
        <w:t xml:space="preserve"> Land Use, Land Use-Change and Forestry emissions projections to 2035 </w:t>
      </w:r>
      <w:r w:rsidR="004D725E">
        <w:t>(DoE 2015).</w:t>
      </w:r>
    </w:p>
    <w:p w14:paraId="0E0AFA3E" w14:textId="76B5E42C" w:rsidR="004D725E" w:rsidRDefault="004D725E" w:rsidP="00C808FE">
      <w:pPr>
        <w:pStyle w:val="ListBullet"/>
        <w:numPr>
          <w:ilvl w:val="0"/>
          <w:numId w:val="0"/>
        </w:numPr>
      </w:pPr>
      <w:r>
        <w:t xml:space="preserve">The projections include abatement from vegetation, soil carbon and savanna burning projects under the </w:t>
      </w:r>
      <w:r w:rsidR="00023629">
        <w:rPr>
          <w:rFonts w:cs="Arial"/>
        </w:rPr>
        <w:t>ERF</w:t>
      </w:r>
      <w:r>
        <w:t>.</w:t>
      </w:r>
    </w:p>
    <w:p w14:paraId="120D556F" w14:textId="2D764CBF" w:rsidR="004D725E" w:rsidRDefault="004D725E" w:rsidP="00C808FE">
      <w:pPr>
        <w:pStyle w:val="ListBullet"/>
        <w:numPr>
          <w:ilvl w:val="0"/>
          <w:numId w:val="0"/>
        </w:numPr>
      </w:pPr>
      <w:r>
        <w:t xml:space="preserve">For cropland and grassland emissions projections, management practices are assumed to remain unchanged over the projection period, and emissions to gradually return to long-run average </w:t>
      </w:r>
      <w:r w:rsidR="00BE691C">
        <w:t>levels</w:t>
      </w:r>
      <w:r>
        <w:t>.</w:t>
      </w:r>
    </w:p>
    <w:p w14:paraId="2CCD0C73" w14:textId="77777777" w:rsidR="000E7071" w:rsidRDefault="000E7071">
      <w:pPr>
        <w:spacing w:after="0" w:line="240" w:lineRule="auto"/>
      </w:pPr>
      <w:r>
        <w:br w:type="page"/>
      </w:r>
    </w:p>
    <w:p w14:paraId="084EEFCC" w14:textId="357FDCF2" w:rsidR="001B19FF" w:rsidRDefault="001B19FF" w:rsidP="001B19FF">
      <w:pPr>
        <w:pStyle w:val="Heading1"/>
      </w:pPr>
      <w:bookmarkStart w:id="59" w:name="_Toc510532016"/>
      <w:bookmarkStart w:id="60" w:name="_Toc510532546"/>
      <w:bookmarkStart w:id="61" w:name="_Toc510534110"/>
      <w:bookmarkStart w:id="62" w:name="_Toc510794638"/>
      <w:bookmarkStart w:id="63" w:name="_Toc511297996"/>
      <w:bookmarkStart w:id="64" w:name="_Toc511304025"/>
      <w:bookmarkStart w:id="65" w:name="_Toc511918029"/>
      <w:r>
        <w:t>References</w:t>
      </w:r>
      <w:bookmarkEnd w:id="59"/>
      <w:bookmarkEnd w:id="60"/>
      <w:bookmarkEnd w:id="61"/>
      <w:bookmarkEnd w:id="62"/>
      <w:bookmarkEnd w:id="63"/>
      <w:bookmarkEnd w:id="64"/>
      <w:bookmarkEnd w:id="65"/>
    </w:p>
    <w:p w14:paraId="1D6C5AF3" w14:textId="77777777" w:rsidR="0015110F" w:rsidRPr="00713A44" w:rsidRDefault="0015110F" w:rsidP="0015110F">
      <w:r w:rsidRPr="00713A44">
        <w:t xml:space="preserve">ABARES 2015, </w:t>
      </w:r>
      <w:r w:rsidRPr="00713A44">
        <w:rPr>
          <w:i/>
        </w:rPr>
        <w:t>Outlook scenarios for Australia’s forestry sector, key drivers and opportunities</w:t>
      </w:r>
      <w:r w:rsidRPr="00713A44">
        <w:t>, Australian Bureau of Agricultural and Resource Economics and Sciences, Canberra.</w:t>
      </w:r>
    </w:p>
    <w:p w14:paraId="60E9DB97" w14:textId="77777777" w:rsidR="0015110F" w:rsidRPr="00713A44" w:rsidRDefault="0015110F" w:rsidP="0015110F">
      <w:r w:rsidRPr="00713A44">
        <w:t xml:space="preserve">ABARES 2017, </w:t>
      </w:r>
      <w:r w:rsidRPr="00713A44">
        <w:rPr>
          <w:i/>
        </w:rPr>
        <w:t>Agricultural commodities, March quarter 2017</w:t>
      </w:r>
      <w:r w:rsidRPr="00713A44">
        <w:t xml:space="preserve">, Australian Bureau of Agricultural and Resource Economics, Canberra, ACT. </w:t>
      </w:r>
    </w:p>
    <w:p w14:paraId="069A1C5B" w14:textId="77777777" w:rsidR="0015110F" w:rsidRPr="00AA4CB1" w:rsidRDefault="0015110F" w:rsidP="0015110F">
      <w:r w:rsidRPr="00713A44">
        <w:t xml:space="preserve">ABARES 2017a, </w:t>
      </w:r>
      <w:r w:rsidRPr="00713A44">
        <w:rPr>
          <w:i/>
        </w:rPr>
        <w:t>Agricultural commodities, September quarter 2017</w:t>
      </w:r>
      <w:r w:rsidRPr="00713A44">
        <w:t>, Australian Bureau of Agricultural and Resource Economics, Canberra, ACT.</w:t>
      </w:r>
      <w:r w:rsidRPr="00AA4CB1">
        <w:t xml:space="preserve"> </w:t>
      </w:r>
    </w:p>
    <w:p w14:paraId="613E8322" w14:textId="77777777" w:rsidR="0015110F" w:rsidRDefault="0015110F" w:rsidP="0015110F">
      <w:r w:rsidRPr="00504B2A">
        <w:t xml:space="preserve">ABMARC 2016, </w:t>
      </w:r>
      <w:r w:rsidRPr="000034C2">
        <w:rPr>
          <w:i/>
        </w:rPr>
        <w:t>Australian Transport Technology Forecast and Activity Report</w:t>
      </w:r>
      <w:r w:rsidRPr="00504B2A">
        <w:t>, ABMARC, Woori Yallock, Victoria.</w:t>
      </w:r>
    </w:p>
    <w:p w14:paraId="36399268" w14:textId="77777777" w:rsidR="0015110F" w:rsidRPr="00604DF9" w:rsidRDefault="0015110F" w:rsidP="0015110F">
      <w:r w:rsidRPr="00604DF9">
        <w:t>ABS 2013, Population Projections [Series A, Series B, Series C], Australia, 2012 (base) to 2101 (cat. no. 3222.0), Australian Bureau of Statistics, ACT, Canberra.</w:t>
      </w:r>
    </w:p>
    <w:p w14:paraId="2FAE51E6" w14:textId="77777777" w:rsidR="0015110F" w:rsidRDefault="0015110F" w:rsidP="0015110F">
      <w:r w:rsidRPr="00604DF9">
        <w:t xml:space="preserve">ACIF 2017, </w:t>
      </w:r>
      <w:r w:rsidRPr="00604DF9">
        <w:rPr>
          <w:i/>
        </w:rPr>
        <w:t xml:space="preserve">Australian Construction Market Report May 2017, </w:t>
      </w:r>
      <w:r w:rsidRPr="00604DF9">
        <w:t xml:space="preserve">Australian Construction Industry Forum, available at </w:t>
      </w:r>
      <w:hyperlink r:id="rId9" w:history="1">
        <w:r w:rsidRPr="00604DF9">
          <w:rPr>
            <w:rStyle w:val="Hyperlink"/>
          </w:rPr>
          <w:t>https://www.acif.com.au/</w:t>
        </w:r>
      </w:hyperlink>
    </w:p>
    <w:p w14:paraId="11678117" w14:textId="77777777" w:rsidR="0015110F" w:rsidRPr="00604DF9" w:rsidRDefault="0015110F" w:rsidP="0015110F">
      <w:pPr>
        <w:rPr>
          <w:i/>
        </w:rPr>
      </w:pPr>
      <w:r w:rsidRPr="00604DF9">
        <w:t xml:space="preserve">AEMO 2016, </w:t>
      </w:r>
      <w:r w:rsidRPr="00604DF9">
        <w:rPr>
          <w:i/>
        </w:rPr>
        <w:t>National Gas Forecasting Report,</w:t>
      </w:r>
      <w:r w:rsidRPr="00604DF9">
        <w:t xml:space="preserve"> Australian Energy Market Operator, available at</w:t>
      </w:r>
      <w:r w:rsidRPr="00604DF9">
        <w:rPr>
          <w:i/>
        </w:rPr>
        <w:t xml:space="preserve"> </w:t>
      </w:r>
      <w:hyperlink r:id="rId10" w:history="1">
        <w:r w:rsidRPr="00604DF9">
          <w:rPr>
            <w:rStyle w:val="Hyperlink"/>
            <w:i/>
          </w:rPr>
          <w:t>https://www.aemo.com.au/-/media/Files/Gas/National_Planning_and_Forecasting/NGFR/2016/2016-National-Gas-Forecasting-Report-NGFR-Final.pdf</w:t>
        </w:r>
      </w:hyperlink>
    </w:p>
    <w:p w14:paraId="4AD018DC" w14:textId="77777777" w:rsidR="0015110F" w:rsidRDefault="0015110F" w:rsidP="0015110F">
      <w:pPr>
        <w:rPr>
          <w:i/>
        </w:rPr>
      </w:pPr>
      <w:r w:rsidRPr="00604DF9">
        <w:t xml:space="preserve">AEMO 2016a, </w:t>
      </w:r>
      <w:r w:rsidRPr="00604DF9">
        <w:rPr>
          <w:i/>
        </w:rPr>
        <w:t>Gas Statement of Opportunities for Western Australia,</w:t>
      </w:r>
      <w:r w:rsidRPr="00604DF9">
        <w:t xml:space="preserve"> Australian Energy Market Operator, available at</w:t>
      </w:r>
      <w:r w:rsidRPr="00604DF9">
        <w:rPr>
          <w:i/>
        </w:rPr>
        <w:t xml:space="preserve"> </w:t>
      </w:r>
      <w:hyperlink r:id="rId11" w:history="1">
        <w:r w:rsidRPr="00604DF9">
          <w:rPr>
            <w:rStyle w:val="Hyperlink"/>
            <w:i/>
          </w:rPr>
          <w:t>https://www.aemo.com.au/-/media/Files/Gas/National_Planning_and_Forecasting/WA_GSOO/2016/2016-WA-Gas-Statement-of-Opportunities.pdf</w:t>
        </w:r>
      </w:hyperlink>
    </w:p>
    <w:p w14:paraId="1006A2F8" w14:textId="77777777" w:rsidR="0015110F" w:rsidRPr="00604DF9" w:rsidRDefault="0015110F" w:rsidP="0015110F">
      <w:r w:rsidRPr="00604DF9">
        <w:t xml:space="preserve">AEMO 2017, </w:t>
      </w:r>
      <w:r w:rsidRPr="00604DF9">
        <w:rPr>
          <w:i/>
        </w:rPr>
        <w:t xml:space="preserve">Electricity Statement of Opportunities, </w:t>
      </w:r>
      <w:r w:rsidRPr="00604DF9">
        <w:t xml:space="preserve">Australian Energy Market Operator, available at </w:t>
      </w:r>
      <w:hyperlink r:id="rId12" w:history="1">
        <w:r w:rsidRPr="00604DF9">
          <w:rPr>
            <w:rStyle w:val="Hyperlink"/>
          </w:rPr>
          <w:t>https://www.aemo.com.au/Electricity/National-Electricity-Market-NEM/Planning-and-forecasting/NEM-Electricity-Statement-of-Opportunities</w:t>
        </w:r>
      </w:hyperlink>
    </w:p>
    <w:p w14:paraId="69A6CD5F" w14:textId="77777777" w:rsidR="0015110F" w:rsidRDefault="0015110F" w:rsidP="0015110F">
      <w:r w:rsidRPr="00604DF9">
        <w:t xml:space="preserve">AEMO 2017a, </w:t>
      </w:r>
      <w:r w:rsidRPr="00604DF9">
        <w:rPr>
          <w:i/>
        </w:rPr>
        <w:t xml:space="preserve">2017 Electricity Statement of Opportunities for the WEM, </w:t>
      </w:r>
      <w:r w:rsidRPr="00604DF9">
        <w:t xml:space="preserve">Australian Energy Market Operator, available at </w:t>
      </w:r>
      <w:hyperlink r:id="rId13" w:history="1">
        <w:r w:rsidRPr="00604DF9">
          <w:rPr>
            <w:rStyle w:val="Hyperlink"/>
          </w:rPr>
          <w:t>https://www.aemo.com.au/Electricity/Wholesale-Electricity-Market-WEM/Planning-and-forecasting/WEM-Electricity-Statement-of-Opportunities</w:t>
        </w:r>
      </w:hyperlink>
    </w:p>
    <w:p w14:paraId="3F21A814" w14:textId="77777777" w:rsidR="0015110F" w:rsidRDefault="0015110F" w:rsidP="0015110F">
      <w:r w:rsidRPr="00604DF9">
        <w:t xml:space="preserve">Australian Government 2016, </w:t>
      </w:r>
      <w:r w:rsidRPr="00604DF9">
        <w:rPr>
          <w:i/>
        </w:rPr>
        <w:t>Budget 2016–17</w:t>
      </w:r>
      <w:r w:rsidRPr="00604DF9">
        <w:t>, Australian Government, Canberra, ACT.</w:t>
      </w:r>
    </w:p>
    <w:p w14:paraId="7514DB01" w14:textId="6841098C" w:rsidR="0015110F" w:rsidRPr="00B36702" w:rsidRDefault="0015110F" w:rsidP="0015110F">
      <w:r w:rsidRPr="00B36702">
        <w:t xml:space="preserve">BNEF 2017, </w:t>
      </w:r>
      <w:r w:rsidRPr="00B36702">
        <w:rPr>
          <w:i/>
        </w:rPr>
        <w:t>2017 Global LNG Outlook</w:t>
      </w:r>
      <w:r w:rsidRPr="00B36702">
        <w:t xml:space="preserve">, Bloomberg New Energy Finance. </w:t>
      </w:r>
    </w:p>
    <w:p w14:paraId="3C229E6A" w14:textId="22183F64" w:rsidR="0015110F" w:rsidRDefault="0015110F" w:rsidP="0015110F">
      <w:r w:rsidRPr="00B36702">
        <w:t xml:space="preserve">BREE 2014, </w:t>
      </w:r>
      <w:r w:rsidRPr="00B36702">
        <w:rPr>
          <w:i/>
          <w:iCs/>
        </w:rPr>
        <w:t xml:space="preserve">Australian Energy Projections to 2049-50, </w:t>
      </w:r>
      <w:r w:rsidRPr="00B36702">
        <w:t xml:space="preserve">Bureau of Resources and Energy Economics, Canberra, ACT, available at </w:t>
      </w:r>
      <w:hyperlink r:id="rId14" w:history="1">
        <w:r w:rsidRPr="00B36702">
          <w:rPr>
            <w:rStyle w:val="Hyperlink"/>
          </w:rPr>
          <w:t>https://industry.gov.au/Office-of-the-Chief-Economist/Publications/Documents/aep/aep-2014-v2.pdf</w:t>
        </w:r>
      </w:hyperlink>
    </w:p>
    <w:p w14:paraId="17241576" w14:textId="77777777" w:rsidR="0015110F" w:rsidRDefault="0015110F" w:rsidP="0015110F">
      <w:proofErr w:type="spellStart"/>
      <w:r w:rsidRPr="00604DF9">
        <w:t>ClimateWorks</w:t>
      </w:r>
      <w:proofErr w:type="spellEnd"/>
      <w:r w:rsidRPr="00604DF9">
        <w:t xml:space="preserve"> Australia 2016, </w:t>
      </w:r>
      <w:r w:rsidRPr="00604DF9">
        <w:rPr>
          <w:i/>
        </w:rPr>
        <w:t xml:space="preserve">Gas-Electricity Substitution Projections to 2050, </w:t>
      </w:r>
      <w:proofErr w:type="spellStart"/>
      <w:r w:rsidRPr="00604DF9">
        <w:t>ClimateWorks</w:t>
      </w:r>
      <w:proofErr w:type="spellEnd"/>
      <w:r w:rsidRPr="00604DF9">
        <w:t xml:space="preserve"> </w:t>
      </w:r>
      <w:proofErr w:type="gramStart"/>
      <w:r w:rsidRPr="00604DF9">
        <w:t>Australia ,</w:t>
      </w:r>
      <w:proofErr w:type="gramEnd"/>
      <w:r w:rsidRPr="00604DF9">
        <w:t xml:space="preserve"> available at </w:t>
      </w:r>
      <w:hyperlink r:id="rId15" w:history="1">
        <w:r w:rsidRPr="00604DF9">
          <w:rPr>
            <w:rStyle w:val="Hyperlink"/>
          </w:rPr>
          <w:t>http://www.energynetworks.com.au/sites/default/files/climateworks_australia_gas-electricity_substitution_projections_to_2050_september_2016.pdf</w:t>
        </w:r>
      </w:hyperlink>
    </w:p>
    <w:p w14:paraId="5E58183F" w14:textId="77777777" w:rsidR="0015110F" w:rsidRDefault="0015110F" w:rsidP="0015110F">
      <w:r w:rsidRPr="00B36702">
        <w:t xml:space="preserve">CSIRO 2015, </w:t>
      </w:r>
      <w:r w:rsidRPr="00B36702">
        <w:rPr>
          <w:i/>
        </w:rPr>
        <w:t>Australia’s National Outlook 2015: Living standards, resource use, environmental performance and economic activity, 1970-2050</w:t>
      </w:r>
      <w:r w:rsidRPr="00B36702">
        <w:t>, CSIRO, Canberra.</w:t>
      </w:r>
    </w:p>
    <w:p w14:paraId="48CC8C76" w14:textId="77777777" w:rsidR="0015110F" w:rsidRPr="00B36702" w:rsidRDefault="0015110F" w:rsidP="0015110F">
      <w:r w:rsidRPr="00B36702">
        <w:t xml:space="preserve">DIIS 2016, </w:t>
      </w:r>
      <w:r w:rsidRPr="00B36702">
        <w:rPr>
          <w:i/>
        </w:rPr>
        <w:t>Australian Energy Update</w:t>
      </w:r>
      <w:r w:rsidRPr="00B36702">
        <w:t>, Department of Industry, Innovation and Science, Canberra ACT.</w:t>
      </w:r>
    </w:p>
    <w:p w14:paraId="6A3574E3" w14:textId="77777777" w:rsidR="0015110F" w:rsidRPr="00B36702" w:rsidRDefault="0015110F" w:rsidP="0015110F">
      <w:r w:rsidRPr="00B36702">
        <w:t xml:space="preserve">DoE 2014, </w:t>
      </w:r>
      <w:r w:rsidRPr="00B36702">
        <w:rPr>
          <w:i/>
        </w:rPr>
        <w:t>Australian National Greenhouse Accounts: National Inventory Report 2012</w:t>
      </w:r>
      <w:r w:rsidRPr="00B36702">
        <w:t xml:space="preserve">, Commonwealth of Australia, Canberra, </w:t>
      </w:r>
      <w:proofErr w:type="gramStart"/>
      <w:r w:rsidRPr="00B36702">
        <w:t>ACT</w:t>
      </w:r>
      <w:proofErr w:type="gramEnd"/>
      <w:r w:rsidRPr="00B36702">
        <w:t>.</w:t>
      </w:r>
    </w:p>
    <w:p w14:paraId="1FD2297E" w14:textId="77777777" w:rsidR="0015110F" w:rsidRPr="00B36702" w:rsidRDefault="0015110F" w:rsidP="0015110F">
      <w:r w:rsidRPr="00B36702">
        <w:t xml:space="preserve">DoE 2015, </w:t>
      </w:r>
      <w:r w:rsidRPr="00B36702">
        <w:rPr>
          <w:i/>
        </w:rPr>
        <w:t>Australian Land Use, Land Use-Change and Forestry emissions projections to 2035</w:t>
      </w:r>
      <w:r w:rsidRPr="00B36702">
        <w:t>, Department of the Environment, Canberra, ACT.</w:t>
      </w:r>
    </w:p>
    <w:p w14:paraId="54680F48" w14:textId="140AB2B2" w:rsidR="0015110F" w:rsidRPr="00B36702" w:rsidRDefault="0015110F" w:rsidP="0015110F">
      <w:proofErr w:type="spellStart"/>
      <w:r w:rsidRPr="00B36702">
        <w:t>DoEE</w:t>
      </w:r>
      <w:proofErr w:type="spellEnd"/>
      <w:r w:rsidRPr="00B36702">
        <w:t xml:space="preserve"> 2017, </w:t>
      </w:r>
      <w:r w:rsidRPr="00B36702">
        <w:rPr>
          <w:i/>
        </w:rPr>
        <w:t>National Inventory Report 2015</w:t>
      </w:r>
      <w:r w:rsidRPr="00B36702">
        <w:t>, Commonwealth of Australia 2017.</w:t>
      </w:r>
    </w:p>
    <w:p w14:paraId="227CB18A" w14:textId="6096B3BB" w:rsidR="00B36702" w:rsidRPr="00B36702" w:rsidRDefault="00B36702" w:rsidP="00B36702">
      <w:proofErr w:type="spellStart"/>
      <w:r w:rsidRPr="00B36702">
        <w:t>DoEE</w:t>
      </w:r>
      <w:proofErr w:type="spellEnd"/>
      <w:r w:rsidRPr="00B36702">
        <w:t xml:space="preserve"> 2017</w:t>
      </w:r>
      <w:r w:rsidR="008B4AC5">
        <w:t>a</w:t>
      </w:r>
      <w:r w:rsidRPr="00B36702">
        <w:t xml:space="preserve">, </w:t>
      </w:r>
      <w:r w:rsidRPr="00B36702">
        <w:rPr>
          <w:i/>
        </w:rPr>
        <w:t>Australian Energy Update 2017</w:t>
      </w:r>
      <w:r w:rsidRPr="00B36702">
        <w:t>, Canberra, August.</w:t>
      </w:r>
    </w:p>
    <w:p w14:paraId="371F32A5" w14:textId="107A0918" w:rsidR="0015110F" w:rsidRDefault="0015110F" w:rsidP="0015110F">
      <w:proofErr w:type="spellStart"/>
      <w:r w:rsidRPr="00B36702">
        <w:t>DoEE</w:t>
      </w:r>
      <w:proofErr w:type="spellEnd"/>
      <w:r w:rsidRPr="00B36702">
        <w:t xml:space="preserve"> 2017</w:t>
      </w:r>
      <w:r w:rsidR="00634C2A">
        <w:t>b</w:t>
      </w:r>
      <w:r w:rsidRPr="00B36702">
        <w:t xml:space="preserve">, </w:t>
      </w:r>
      <w:r w:rsidRPr="00B36702">
        <w:rPr>
          <w:i/>
        </w:rPr>
        <w:t>Quarterly Update of Australia’s National Greenhouse Gas Inventory: June 2017</w:t>
      </w:r>
      <w:r w:rsidRPr="00B36702">
        <w:t>, Commonwealth of Australia 2017.</w:t>
      </w:r>
    </w:p>
    <w:p w14:paraId="0D6683B8" w14:textId="5EA4757D" w:rsidR="00887187" w:rsidRPr="00B36702" w:rsidRDefault="00887187" w:rsidP="00887187">
      <w:proofErr w:type="spellStart"/>
      <w:r w:rsidRPr="00B36702">
        <w:t>DoEE</w:t>
      </w:r>
      <w:proofErr w:type="spellEnd"/>
      <w:r w:rsidRPr="00B36702">
        <w:t xml:space="preserve"> 2017</w:t>
      </w:r>
      <w:r w:rsidR="00634C2A">
        <w:t>c</w:t>
      </w:r>
      <w:r w:rsidRPr="00B36702">
        <w:t xml:space="preserve">, </w:t>
      </w:r>
      <w:r w:rsidRPr="00B36702">
        <w:rPr>
          <w:i/>
        </w:rPr>
        <w:t>Australia’s emissions projections 2017</w:t>
      </w:r>
      <w:r w:rsidRPr="00B36702">
        <w:t>, Commonwealth of Australia 2017.</w:t>
      </w:r>
    </w:p>
    <w:p w14:paraId="5CEC8166" w14:textId="77777777" w:rsidR="0015110F" w:rsidRPr="00B36702" w:rsidRDefault="0015110F" w:rsidP="0015110F">
      <w:r w:rsidRPr="00B36702">
        <w:t xml:space="preserve">EIA 2016, </w:t>
      </w:r>
      <w:r w:rsidRPr="00B36702">
        <w:rPr>
          <w:i/>
        </w:rPr>
        <w:t>International Energy Outlook 2016</w:t>
      </w:r>
      <w:r w:rsidRPr="00B36702">
        <w:t>, U.S. Energy Information Administration, Washington, USA.</w:t>
      </w:r>
    </w:p>
    <w:p w14:paraId="782D1D0A" w14:textId="77777777" w:rsidR="0015110F" w:rsidRPr="00B36702" w:rsidRDefault="0015110F" w:rsidP="0015110F">
      <w:proofErr w:type="spellStart"/>
      <w:r w:rsidRPr="00B36702">
        <w:t>Hyder</w:t>
      </w:r>
      <w:proofErr w:type="spellEnd"/>
      <w:r w:rsidRPr="00B36702">
        <w:t xml:space="preserve"> Consulting 2014, </w:t>
      </w:r>
      <w:r w:rsidRPr="00B36702">
        <w:rPr>
          <w:i/>
        </w:rPr>
        <w:t>Waste Sector Modelling and Analysis</w:t>
      </w:r>
      <w:r w:rsidRPr="00B36702">
        <w:t xml:space="preserve">, </w:t>
      </w:r>
      <w:proofErr w:type="spellStart"/>
      <w:r w:rsidRPr="00B36702">
        <w:t>Hyder</w:t>
      </w:r>
      <w:proofErr w:type="spellEnd"/>
      <w:r w:rsidRPr="00B36702">
        <w:t xml:space="preserve"> Consulting, North Sydney, NSW.</w:t>
      </w:r>
    </w:p>
    <w:p w14:paraId="75BFF38D" w14:textId="77777777" w:rsidR="0015110F" w:rsidRPr="00B36702" w:rsidRDefault="0015110F" w:rsidP="0015110F">
      <w:r w:rsidRPr="00B36702">
        <w:t xml:space="preserve">IEA 2017, </w:t>
      </w:r>
      <w:r w:rsidRPr="00B36702">
        <w:rPr>
          <w:i/>
        </w:rPr>
        <w:t>World Energy Outlook 2017</w:t>
      </w:r>
      <w:r w:rsidRPr="00B36702">
        <w:t xml:space="preserve">, International Energy Agency, available at </w:t>
      </w:r>
      <w:hyperlink r:id="rId16" w:history="1">
        <w:r w:rsidRPr="00B36702">
          <w:rPr>
            <w:rStyle w:val="Hyperlink"/>
          </w:rPr>
          <w:t>https://www.iea.org/weo2017/</w:t>
        </w:r>
      </w:hyperlink>
    </w:p>
    <w:p w14:paraId="5FEF7037" w14:textId="77777777" w:rsidR="0015110F" w:rsidRPr="00B36702" w:rsidRDefault="0015110F" w:rsidP="0015110F">
      <w:r w:rsidRPr="00B36702">
        <w:t xml:space="preserve">IPCC 2007, </w:t>
      </w:r>
      <w:r w:rsidRPr="00B36702">
        <w:rPr>
          <w:i/>
        </w:rPr>
        <w:t xml:space="preserve">Fourth Assessment Report: </w:t>
      </w:r>
      <w:r w:rsidRPr="00B36702">
        <w:t>Working Group 1 Report: The Physical Science Basis, Cambridge University Press, Cambridge, UK.</w:t>
      </w:r>
    </w:p>
    <w:p w14:paraId="7FB0E1E4" w14:textId="77777777" w:rsidR="0015110F" w:rsidRPr="00B36702" w:rsidRDefault="0015110F" w:rsidP="0015110F">
      <w:r w:rsidRPr="00B36702">
        <w:t xml:space="preserve">Jacobs Australia forthcoming, </w:t>
      </w:r>
      <w:r w:rsidRPr="00B36702">
        <w:rPr>
          <w:i/>
        </w:rPr>
        <w:t>Electricity market emissions projections</w:t>
      </w:r>
      <w:r w:rsidRPr="00B36702">
        <w:t>, Jacobs Australia, Melbourne, Victoria</w:t>
      </w:r>
    </w:p>
    <w:p w14:paraId="3FD6E7F5" w14:textId="77777777" w:rsidR="0015110F" w:rsidRPr="00B36702" w:rsidRDefault="0015110F" w:rsidP="0015110F">
      <w:r w:rsidRPr="00B36702">
        <w:t xml:space="preserve">Lewis Grey Advisory 2016, </w:t>
      </w:r>
      <w:r w:rsidRPr="00B36702">
        <w:rPr>
          <w:i/>
        </w:rPr>
        <w:t xml:space="preserve">Projections of Gas and Electricity Used in LNG, </w:t>
      </w:r>
      <w:r w:rsidRPr="00B36702">
        <w:t xml:space="preserve">prepared for Australian Energy Market Operator, available at </w:t>
      </w:r>
      <w:hyperlink r:id="rId17" w:history="1">
        <w:r w:rsidRPr="00B36702">
          <w:rPr>
            <w:rStyle w:val="Hyperlink"/>
          </w:rPr>
          <w:t>https://www.aemo.com.au/-/media/Files/Electricity/NEM/Planning_and_Forecasting/NEFR/2016/Projections-of-Gas-and-Electricity-Used-in-LNG.pdf</w:t>
        </w:r>
      </w:hyperlink>
    </w:p>
    <w:p w14:paraId="328D6CDC" w14:textId="77777777" w:rsidR="0015110F" w:rsidRPr="00B36702" w:rsidRDefault="0015110F" w:rsidP="0015110F">
      <w:r w:rsidRPr="00B36702">
        <w:t xml:space="preserve">NT Utilities Commission 2017, Power System Review 2015–16, Northern Territory Utilities Commission, available at: </w:t>
      </w:r>
      <w:hyperlink r:id="rId18" w:history="1">
        <w:r w:rsidRPr="00B36702">
          <w:rPr>
            <w:rStyle w:val="Hyperlink"/>
          </w:rPr>
          <w:t>http://www.utilicom.nt.gov.au/Newsroom/Lists/Posts/Post.aspx?ID=241</w:t>
        </w:r>
      </w:hyperlink>
      <w:r w:rsidRPr="00B36702">
        <w:t xml:space="preserve"> </w:t>
      </w:r>
    </w:p>
    <w:p w14:paraId="727E8755" w14:textId="77777777" w:rsidR="0015110F" w:rsidRPr="00B36702" w:rsidRDefault="0015110F" w:rsidP="0015110F">
      <w:r w:rsidRPr="00B36702">
        <w:t xml:space="preserve">OCE 2017, </w:t>
      </w:r>
      <w:r w:rsidRPr="00B36702">
        <w:rPr>
          <w:i/>
        </w:rPr>
        <w:t>Resources and Energy Quarterly March Quarter 2017</w:t>
      </w:r>
      <w:r w:rsidRPr="00B36702">
        <w:t>, Department of Industry, Innovation and Science, Canberra ACT.</w:t>
      </w:r>
    </w:p>
    <w:p w14:paraId="7B1ABE56" w14:textId="77777777" w:rsidR="0015110F" w:rsidRPr="00B36702" w:rsidRDefault="0015110F" w:rsidP="0015110F">
      <w:r w:rsidRPr="00B36702">
        <w:t xml:space="preserve">OCE 2017a, </w:t>
      </w:r>
      <w:r w:rsidRPr="00B36702">
        <w:rPr>
          <w:i/>
        </w:rPr>
        <w:t>Resources and Energy Quarterly September Quarter 2017</w:t>
      </w:r>
      <w:r w:rsidRPr="00B36702">
        <w:t>, Department of Industry, Innovation and Science, Canberra ACT.</w:t>
      </w:r>
    </w:p>
    <w:p w14:paraId="747F4085" w14:textId="77777777" w:rsidR="0015110F" w:rsidRPr="00B36702" w:rsidRDefault="0015110F" w:rsidP="0015110F">
      <w:pPr>
        <w:spacing w:after="0"/>
      </w:pPr>
      <w:r w:rsidRPr="00B36702">
        <w:t xml:space="preserve">OECD/FAO 2017, </w:t>
      </w:r>
      <w:r w:rsidRPr="00B36702">
        <w:rPr>
          <w:i/>
        </w:rPr>
        <w:t>OECD-FAO Agricultural Outlook 2017-2026</w:t>
      </w:r>
      <w:r w:rsidRPr="00B36702">
        <w:t>, OECD Publishing, Paris, available at:</w:t>
      </w:r>
    </w:p>
    <w:p w14:paraId="50DB1B69" w14:textId="77777777" w:rsidR="0015110F" w:rsidRPr="00B36702" w:rsidRDefault="00E11E17" w:rsidP="0015110F">
      <w:pPr>
        <w:rPr>
          <w:iCs/>
        </w:rPr>
      </w:pPr>
      <w:hyperlink r:id="rId19" w:history="1">
        <w:r w:rsidR="0015110F" w:rsidRPr="00B36702">
          <w:rPr>
            <w:rStyle w:val="Hyperlink"/>
            <w:iCs/>
          </w:rPr>
          <w:t>http://dx.doi.org/10.1787/agr_outlook-2017-en</w:t>
        </w:r>
      </w:hyperlink>
      <w:r w:rsidR="0015110F" w:rsidRPr="00B36702">
        <w:rPr>
          <w:iCs/>
        </w:rPr>
        <w:t xml:space="preserve"> </w:t>
      </w:r>
    </w:p>
    <w:p w14:paraId="36A176C6" w14:textId="72384015" w:rsidR="00FF483D" w:rsidRPr="001B19FF" w:rsidRDefault="0015110F" w:rsidP="0015110F">
      <w:r w:rsidRPr="00B36702">
        <w:t xml:space="preserve">Reedman, Luke J. and Graham, Paul W. 2016, </w:t>
      </w:r>
      <w:r w:rsidRPr="00B36702">
        <w:rPr>
          <w:i/>
        </w:rPr>
        <w:t xml:space="preserve">Transport Sector Greenhouse Gas Emissions Projections 2016, </w:t>
      </w:r>
      <w:r w:rsidRPr="00B36702">
        <w:t>Report No. EP167895, CSIRO, Australia.</w:t>
      </w:r>
    </w:p>
    <w:sectPr w:rsidR="00FF483D" w:rsidRPr="001B19FF" w:rsidSect="006C39A9">
      <w:headerReference w:type="even" r:id="rId20"/>
      <w:headerReference w:type="default" r:id="rId21"/>
      <w:footerReference w:type="even" r:id="rId22"/>
      <w:footerReference w:type="default" r:id="rId23"/>
      <w:headerReference w:type="first" r:id="rId24"/>
      <w:footerReference w:type="first" r:id="rId25"/>
      <w:pgSz w:w="11906" w:h="16838"/>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86F7C" w14:textId="77777777" w:rsidR="00C61CE8" w:rsidRDefault="00C61CE8" w:rsidP="00A60185">
      <w:pPr>
        <w:spacing w:after="0" w:line="240" w:lineRule="auto"/>
      </w:pPr>
      <w:r>
        <w:separator/>
      </w:r>
    </w:p>
  </w:endnote>
  <w:endnote w:type="continuationSeparator" w:id="0">
    <w:p w14:paraId="20D5C36F" w14:textId="77777777" w:rsidR="00C61CE8" w:rsidRDefault="00C61CE8" w:rsidP="00A60185">
      <w:pPr>
        <w:spacing w:after="0" w:line="240" w:lineRule="auto"/>
      </w:pPr>
      <w:r>
        <w:continuationSeparator/>
      </w:r>
    </w:p>
  </w:endnote>
  <w:endnote w:type="continuationNotice" w:id="1">
    <w:p w14:paraId="6840E37C" w14:textId="77777777" w:rsidR="00C61CE8" w:rsidRDefault="00C61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panose1 w:val="02020502060506020403"/>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altName w:val="Times New Roman"/>
    <w:panose1 w:val="020B0503030403020204"/>
    <w:charset w:val="4D"/>
    <w:family w:val="auto"/>
    <w:notTrueType/>
    <w:pitch w:val="default"/>
    <w:sig w:usb0="00000081"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668D7" w14:textId="77777777" w:rsidR="00E11E17" w:rsidRDefault="00E11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441573"/>
      <w:docPartObj>
        <w:docPartGallery w:val="Page Numbers (Bottom of Page)"/>
        <w:docPartUnique/>
      </w:docPartObj>
    </w:sdtPr>
    <w:sdtEndPr>
      <w:rPr>
        <w:noProof/>
      </w:rPr>
    </w:sdtEndPr>
    <w:sdtContent>
      <w:p w14:paraId="0FEE0A86" w14:textId="089D1616" w:rsidR="00C61CE8" w:rsidRDefault="00C61CE8">
        <w:pPr>
          <w:pStyle w:val="Footer"/>
          <w:jc w:val="right"/>
        </w:pPr>
        <w:r>
          <w:fldChar w:fldCharType="begin"/>
        </w:r>
        <w:r>
          <w:instrText xml:space="preserve"> PAGE   \* MERGEFORMAT </w:instrText>
        </w:r>
        <w:r>
          <w:fldChar w:fldCharType="separate"/>
        </w:r>
        <w:r w:rsidR="00E11E17">
          <w:rPr>
            <w:noProof/>
          </w:rPr>
          <w:t>4</w:t>
        </w:r>
        <w:r>
          <w:rPr>
            <w:noProof/>
          </w:rPr>
          <w:fldChar w:fldCharType="end"/>
        </w:r>
      </w:p>
    </w:sdtContent>
  </w:sdt>
  <w:p w14:paraId="714AF8FA" w14:textId="77777777" w:rsidR="00C61CE8" w:rsidRDefault="00C61C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95742" w14:textId="1766E3D5" w:rsidR="00C61CE8" w:rsidRDefault="00C61CE8">
    <w:pPr>
      <w:pStyle w:val="Footer"/>
      <w:jc w:val="right"/>
    </w:pPr>
  </w:p>
  <w:p w14:paraId="1EE03DA3" w14:textId="77777777" w:rsidR="00C61CE8" w:rsidRDefault="00C61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797B6" w14:textId="77777777" w:rsidR="00C61CE8" w:rsidRDefault="00C61CE8" w:rsidP="00A60185">
      <w:pPr>
        <w:spacing w:after="0" w:line="240" w:lineRule="auto"/>
      </w:pPr>
      <w:r>
        <w:separator/>
      </w:r>
    </w:p>
  </w:footnote>
  <w:footnote w:type="continuationSeparator" w:id="0">
    <w:p w14:paraId="0B92C155" w14:textId="77777777" w:rsidR="00C61CE8" w:rsidRDefault="00C61CE8" w:rsidP="00A60185">
      <w:pPr>
        <w:spacing w:after="0" w:line="240" w:lineRule="auto"/>
      </w:pPr>
      <w:r>
        <w:continuationSeparator/>
      </w:r>
    </w:p>
  </w:footnote>
  <w:footnote w:type="continuationNotice" w:id="1">
    <w:p w14:paraId="274CF221" w14:textId="77777777" w:rsidR="00C61CE8" w:rsidRDefault="00C61CE8">
      <w:pPr>
        <w:spacing w:after="0" w:line="240" w:lineRule="auto"/>
      </w:pPr>
    </w:p>
  </w:footnote>
  <w:footnote w:id="2">
    <w:p w14:paraId="6DB9E662" w14:textId="13852A87" w:rsidR="00C61CE8" w:rsidRPr="001C6186" w:rsidRDefault="00C61CE8" w:rsidP="0065357F">
      <w:pPr>
        <w:pStyle w:val="FootnoteText"/>
        <w:rPr>
          <w:sz w:val="18"/>
        </w:rPr>
      </w:pPr>
      <w:r>
        <w:rPr>
          <w:rStyle w:val="FootnoteReference"/>
        </w:rPr>
        <w:footnoteRef/>
      </w:r>
      <w:r>
        <w:t xml:space="preserve"> </w:t>
      </w:r>
      <w:r w:rsidRPr="001C6186">
        <w:rPr>
          <w:sz w:val="18"/>
        </w:rPr>
        <w:t xml:space="preserve">Production data for most commodities are sourced from the </w:t>
      </w:r>
      <w:r>
        <w:rPr>
          <w:sz w:val="18"/>
        </w:rPr>
        <w:t>OCE</w:t>
      </w:r>
      <w:r w:rsidRPr="001C6186">
        <w:rPr>
          <w:sz w:val="18"/>
        </w:rPr>
        <w:t xml:space="preserve"> which goes out to 2022 and thereafter growth rates from AME Group’s industry analysis have been used.</w:t>
      </w:r>
    </w:p>
  </w:footnote>
  <w:footnote w:id="3">
    <w:p w14:paraId="1AF5B650" w14:textId="19AEDB9E" w:rsidR="00C61CE8" w:rsidRDefault="00C61CE8">
      <w:pPr>
        <w:pStyle w:val="FootnoteText"/>
      </w:pPr>
      <w:r>
        <w:rPr>
          <w:rStyle w:val="FootnoteReference"/>
        </w:rPr>
        <w:footnoteRef/>
      </w:r>
      <w:r>
        <w:t xml:space="preserve"> Different states, gas types and gas sources are not relevant to all activity types.</w:t>
      </w:r>
    </w:p>
  </w:footnote>
  <w:footnote w:id="4">
    <w:p w14:paraId="06CB26CA" w14:textId="16DBF492" w:rsidR="00C61CE8" w:rsidRDefault="00C61CE8">
      <w:pPr>
        <w:pStyle w:val="FootnoteText"/>
      </w:pPr>
      <w:r>
        <w:rPr>
          <w:rStyle w:val="FootnoteReference"/>
        </w:rPr>
        <w:footnoteRef/>
      </w:r>
      <w:r>
        <w:t xml:space="preserve"> Activity types may contribute a number of different gas sources.</w:t>
      </w:r>
    </w:p>
  </w:footnote>
  <w:footnote w:id="5">
    <w:p w14:paraId="6D347792" w14:textId="77777777" w:rsidR="00C61CE8" w:rsidRDefault="00C61CE8" w:rsidP="00F60709">
      <w:pPr>
        <w:pStyle w:val="FootnoteText"/>
        <w:ind w:left="426" w:hanging="426"/>
      </w:pPr>
      <w:r>
        <w:rPr>
          <w:rStyle w:val="FootnoteReference"/>
        </w:rPr>
        <w:footnoteRef/>
      </w:r>
      <w:r>
        <w:t xml:space="preserve"> </w:t>
      </w:r>
      <w:r>
        <w:tab/>
      </w:r>
      <w:r w:rsidRPr="00F60709">
        <w:rPr>
          <w:sz w:val="16"/>
          <w:szCs w:val="16"/>
        </w:rPr>
        <w:t xml:space="preserve">The department’s estimate of these parameters come from the </w:t>
      </w:r>
      <w:r w:rsidRPr="00FB53A2">
        <w:rPr>
          <w:i/>
          <w:sz w:val="16"/>
          <w:szCs w:val="16"/>
        </w:rPr>
        <w:t>Australian National Greenhouse Accounts: National Inventory Report 2012</w:t>
      </w:r>
      <w:r w:rsidRPr="00F60709">
        <w:rPr>
          <w:sz w:val="16"/>
          <w:szCs w:val="16"/>
        </w:rPr>
        <w:t xml:space="preserve"> (</w:t>
      </w:r>
      <w:r w:rsidRPr="00774171">
        <w:rPr>
          <w:sz w:val="16"/>
          <w:szCs w:val="16"/>
        </w:rPr>
        <w:t>DoE 2014),</w:t>
      </w:r>
      <w:r w:rsidRPr="00F60709">
        <w:rPr>
          <w:sz w:val="16"/>
          <w:szCs w:val="16"/>
        </w:rPr>
        <w:t xml:space="preserve"> which was used by </w:t>
      </w:r>
      <w:proofErr w:type="spellStart"/>
      <w:r w:rsidRPr="00F60709">
        <w:rPr>
          <w:sz w:val="16"/>
          <w:szCs w:val="16"/>
        </w:rPr>
        <w:t>Hyder</w:t>
      </w:r>
      <w:proofErr w:type="spellEnd"/>
      <w:r w:rsidRPr="00F60709">
        <w:rPr>
          <w:sz w:val="16"/>
          <w:szCs w:val="16"/>
        </w:rPr>
        <w:t xml:space="preserve"> Consulting (</w:t>
      </w:r>
      <w:proofErr w:type="spellStart"/>
      <w:r w:rsidRPr="00F60709">
        <w:rPr>
          <w:sz w:val="16"/>
          <w:szCs w:val="16"/>
        </w:rPr>
        <w:t>Hyder</w:t>
      </w:r>
      <w:proofErr w:type="spellEnd"/>
      <w:r>
        <w:rPr>
          <w:sz w:val="16"/>
          <w:szCs w:val="16"/>
        </w:rPr>
        <w:t xml:space="preserve"> Consulting</w:t>
      </w:r>
      <w:r w:rsidRPr="00F60709">
        <w:rPr>
          <w:sz w:val="16"/>
          <w:szCs w:val="16"/>
        </w:rPr>
        <w:t xml:space="preserv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DB8E" w14:textId="77777777" w:rsidR="00C61CE8" w:rsidRDefault="00C61CE8" w:rsidP="00E45765">
    <w:pPr>
      <w:pStyle w:val="Classification"/>
    </w:pPr>
    <w:r>
      <w:fldChar w:fldCharType="begin"/>
    </w:r>
    <w:r>
      <w:instrText xml:space="preserve"> DOCPROPERTY SecurityClassification \* MERGEFORMAT </w:instrText>
    </w:r>
    <w:r>
      <w:fldChar w:fldCharType="separate"/>
    </w:r>
    <w:r w:rsidR="009F4BE3">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F65E6" w14:textId="31236677" w:rsidR="00C61CE8" w:rsidRPr="00156DC9" w:rsidRDefault="00C61CE8">
    <w:pPr>
      <w:pStyle w:val="Header"/>
      <w:rPr>
        <w:sz w:val="20"/>
        <w:szCs w:val="20"/>
      </w:rPr>
    </w:pPr>
    <w:r w:rsidRPr="00156DC9">
      <w:rPr>
        <w:sz w:val="20"/>
        <w:szCs w:val="20"/>
      </w:rPr>
      <w:t>Methodology for the 2017 projections</w:t>
    </w:r>
    <w:r w:rsidRPr="00156DC9">
      <w:rPr>
        <w:sz w:val="20"/>
        <w:szCs w:val="20"/>
      </w:rPr>
      <w:ptab w:relativeTo="margin" w:alignment="center" w:leader="none"/>
    </w:r>
    <w:r w:rsidRPr="00156DC9">
      <w:rPr>
        <w:sz w:val="20"/>
        <w:szCs w:val="20"/>
      </w:rPr>
      <w:ptab w:relativeTo="margin" w:alignment="right" w:leader="none"/>
    </w:r>
    <w:r w:rsidRPr="00156DC9">
      <w:rPr>
        <w:sz w:val="20"/>
        <w:szCs w:val="20"/>
      </w:rPr>
      <w:t>The Department of the Environment and Energy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9787F" w14:textId="77777777" w:rsidR="00E11E17" w:rsidRDefault="00E11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848E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89EA967"/>
    <w:multiLevelType w:val="hybridMultilevel"/>
    <w:tmpl w:val="033026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AB44A0F"/>
    <w:multiLevelType w:val="hybridMultilevel"/>
    <w:tmpl w:val="DB641D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AB21CC"/>
    <w:multiLevelType w:val="multilevel"/>
    <w:tmpl w:val="E898CC72"/>
    <w:numStyleLink w:val="KeyPoints"/>
  </w:abstractNum>
  <w:abstractNum w:abstractNumId="17" w15:restartNumberingAfterBreak="0">
    <w:nsid w:val="1784511A"/>
    <w:multiLevelType w:val="multilevel"/>
    <w:tmpl w:val="E898CC72"/>
    <w:numStyleLink w:val="KeyPoints"/>
  </w:abstractNum>
  <w:abstractNum w:abstractNumId="18" w15:restartNumberingAfterBreak="0">
    <w:nsid w:val="178D2FFF"/>
    <w:multiLevelType w:val="hybridMultilevel"/>
    <w:tmpl w:val="1CC05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291970"/>
    <w:multiLevelType w:val="multilevel"/>
    <w:tmpl w:val="E898CC72"/>
    <w:numStyleLink w:val="KeyPoints"/>
  </w:abstractNum>
  <w:abstractNum w:abstractNumId="21" w15:restartNumberingAfterBreak="0">
    <w:nsid w:val="1F745BC2"/>
    <w:multiLevelType w:val="multilevel"/>
    <w:tmpl w:val="E5E89F92"/>
    <w:numStyleLink w:val="BulletList"/>
  </w:abstractNum>
  <w:abstractNum w:abstractNumId="22" w15:restartNumberingAfterBreak="0">
    <w:nsid w:val="26233E2F"/>
    <w:multiLevelType w:val="hybridMultilevel"/>
    <w:tmpl w:val="60E82012"/>
    <w:lvl w:ilvl="0" w:tplc="0C090001">
      <w:start w:val="1"/>
      <w:numFmt w:val="bullet"/>
      <w:lvlText w:val=""/>
      <w:lvlJc w:val="left"/>
      <w:pPr>
        <w:ind w:left="720" w:hanging="360"/>
      </w:pPr>
      <w:rPr>
        <w:rFonts w:ascii="Symbol" w:hAnsi="Symbol" w:hint="default"/>
      </w:rPr>
    </w:lvl>
    <w:lvl w:ilvl="1" w:tplc="847055AA">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7214EF8"/>
    <w:multiLevelType w:val="hybridMultilevel"/>
    <w:tmpl w:val="7B329A84"/>
    <w:lvl w:ilvl="0" w:tplc="56CAD66A">
      <w:start w:val="1"/>
      <w:numFmt w:val="bullet"/>
      <w:lvlText w:val="‒"/>
      <w:lvlJc w:val="left"/>
      <w:pPr>
        <w:ind w:left="1155" w:hanging="360"/>
      </w:pPr>
      <w:rPr>
        <w:rFonts w:ascii="Arial" w:hAnsi="Arial"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24" w15:restartNumberingAfterBreak="0">
    <w:nsid w:val="29253B4A"/>
    <w:multiLevelType w:val="multilevel"/>
    <w:tmpl w:val="E898CC72"/>
    <w:numStyleLink w:val="KeyPoints"/>
  </w:abstractNum>
  <w:abstractNum w:abstractNumId="25" w15:restartNumberingAfterBreak="0">
    <w:nsid w:val="2C1B4F6C"/>
    <w:multiLevelType w:val="multilevel"/>
    <w:tmpl w:val="E898CC72"/>
    <w:numStyleLink w:val="KeyPoints"/>
  </w:abstractNum>
  <w:abstractNum w:abstractNumId="26"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8816F9C"/>
    <w:multiLevelType w:val="multilevel"/>
    <w:tmpl w:val="E5E89F92"/>
    <w:numStyleLink w:val="BulletList"/>
  </w:abstractNum>
  <w:abstractNum w:abstractNumId="30" w15:restartNumberingAfterBreak="0">
    <w:nsid w:val="39227B43"/>
    <w:multiLevelType w:val="hybridMultilevel"/>
    <w:tmpl w:val="FAA67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351B82"/>
    <w:multiLevelType w:val="multilevel"/>
    <w:tmpl w:val="E5E89F92"/>
    <w:numStyleLink w:val="BulletList"/>
  </w:abstractNum>
  <w:abstractNum w:abstractNumId="32" w15:restartNumberingAfterBreak="0">
    <w:nsid w:val="3C485F31"/>
    <w:multiLevelType w:val="hybridMultilevel"/>
    <w:tmpl w:val="2F42752C"/>
    <w:lvl w:ilvl="0" w:tplc="0C090001">
      <w:start w:val="1"/>
      <w:numFmt w:val="bullet"/>
      <w:lvlText w:val=""/>
      <w:lvlJc w:val="left"/>
      <w:pPr>
        <w:ind w:left="360" w:hanging="360"/>
      </w:pPr>
      <w:rPr>
        <w:rFonts w:ascii="Symbol" w:hAnsi="Symbol" w:hint="default"/>
      </w:rPr>
    </w:lvl>
    <w:lvl w:ilvl="1" w:tplc="56CAD66A">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8B871CF"/>
    <w:multiLevelType w:val="multilevel"/>
    <w:tmpl w:val="E5E89F92"/>
    <w:numStyleLink w:val="BulletList"/>
  </w:abstractNum>
  <w:abstractNum w:abstractNumId="34" w15:restartNumberingAfterBreak="0">
    <w:nsid w:val="49016841"/>
    <w:multiLevelType w:val="multilevel"/>
    <w:tmpl w:val="E5E89F92"/>
    <w:numStyleLink w:val="BulletList"/>
  </w:abstractNum>
  <w:abstractNum w:abstractNumId="35" w15:restartNumberingAfterBreak="0">
    <w:nsid w:val="51A44175"/>
    <w:multiLevelType w:val="multilevel"/>
    <w:tmpl w:val="E5E89F92"/>
    <w:numStyleLink w:val="BulletList"/>
  </w:abstractNum>
  <w:abstractNum w:abstractNumId="36" w15:restartNumberingAfterBreak="0">
    <w:nsid w:val="56DA31C6"/>
    <w:multiLevelType w:val="hybridMultilevel"/>
    <w:tmpl w:val="48FA3654"/>
    <w:lvl w:ilvl="0" w:tplc="1A84BBC0">
      <w:start w:val="1"/>
      <w:numFmt w:val="bullet"/>
      <w:lvlText w:val="-"/>
      <w:lvlJc w:val="left"/>
      <w:pPr>
        <w:ind w:left="1440" w:hanging="360"/>
      </w:pPr>
      <w:rPr>
        <w:rFonts w:ascii="Courier New" w:hAnsi="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59060AEE"/>
    <w:multiLevelType w:val="hybridMultilevel"/>
    <w:tmpl w:val="0944F41C"/>
    <w:lvl w:ilvl="0" w:tplc="0C090001">
      <w:start w:val="1"/>
      <w:numFmt w:val="bullet"/>
      <w:lvlText w:val=""/>
      <w:lvlJc w:val="left"/>
      <w:pPr>
        <w:ind w:left="720" w:hanging="360"/>
      </w:pPr>
      <w:rPr>
        <w:rFonts w:ascii="Symbol" w:hAnsi="Symbol" w:hint="default"/>
      </w:rPr>
    </w:lvl>
    <w:lvl w:ilvl="1" w:tplc="7AA2F8A6">
      <w:numFmt w:val="bullet"/>
      <w:lvlText w:val="•"/>
      <w:lvlJc w:val="left"/>
      <w:pPr>
        <w:ind w:left="1800" w:hanging="72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E8A17D4"/>
    <w:multiLevelType w:val="hybridMultilevel"/>
    <w:tmpl w:val="A4F85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5456429"/>
    <w:multiLevelType w:val="multilevel"/>
    <w:tmpl w:val="E898CC72"/>
    <w:numStyleLink w:val="KeyPoints"/>
  </w:abstractNum>
  <w:abstractNum w:abstractNumId="41" w15:restartNumberingAfterBreak="0">
    <w:nsid w:val="672E0C2A"/>
    <w:multiLevelType w:val="multilevel"/>
    <w:tmpl w:val="E5E89F92"/>
    <w:numStyleLink w:val="BulletList"/>
  </w:abstractNum>
  <w:abstractNum w:abstractNumId="4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9652317"/>
    <w:multiLevelType w:val="hybridMultilevel"/>
    <w:tmpl w:val="018A8D1C"/>
    <w:lvl w:ilvl="0" w:tplc="0C090001">
      <w:start w:val="1"/>
      <w:numFmt w:val="bullet"/>
      <w:lvlText w:val=""/>
      <w:lvlJc w:val="left"/>
      <w:pPr>
        <w:ind w:left="360" w:hanging="360"/>
      </w:pPr>
      <w:rPr>
        <w:rFonts w:ascii="Symbol" w:hAnsi="Symbol" w:hint="default"/>
      </w:rPr>
    </w:lvl>
    <w:lvl w:ilvl="1" w:tplc="8654D78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9FC2DC9"/>
    <w:multiLevelType w:val="hybridMultilevel"/>
    <w:tmpl w:val="4600D5B6"/>
    <w:lvl w:ilvl="0" w:tplc="1A84BBC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A823B13"/>
    <w:multiLevelType w:val="multilevel"/>
    <w:tmpl w:val="E5E89F92"/>
    <w:numStyleLink w:val="BulletList"/>
  </w:abstractNum>
  <w:abstractNum w:abstractNumId="47" w15:restartNumberingAfterBreak="0">
    <w:nsid w:val="6DF2198A"/>
    <w:multiLevelType w:val="multilevel"/>
    <w:tmpl w:val="E5E89F92"/>
    <w:numStyleLink w:val="BulletList"/>
  </w:abstractNum>
  <w:abstractNum w:abstractNumId="48" w15:restartNumberingAfterBreak="0">
    <w:nsid w:val="6F032444"/>
    <w:multiLevelType w:val="multilevel"/>
    <w:tmpl w:val="E5E89F92"/>
    <w:numStyleLink w:val="BulletList"/>
  </w:abstractNum>
  <w:abstractNum w:abstractNumId="49"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1645FCE"/>
    <w:multiLevelType w:val="hybridMultilevel"/>
    <w:tmpl w:val="33F2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C700E0"/>
    <w:multiLevelType w:val="multilevel"/>
    <w:tmpl w:val="E898CC72"/>
    <w:numStyleLink w:val="KeyPoints"/>
  </w:abstractNum>
  <w:abstractNum w:abstractNumId="5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4" w15:restartNumberingAfterBreak="0">
    <w:nsid w:val="76338040"/>
    <w:multiLevelType w:val="hybridMultilevel"/>
    <w:tmpl w:val="54CF3F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87D203E"/>
    <w:multiLevelType w:val="multilevel"/>
    <w:tmpl w:val="5880B5DA"/>
    <w:lvl w:ilvl="0">
      <w:start w:val="1"/>
      <w:numFmt w:val="bullet"/>
      <w:lvlText w:val=""/>
      <w:lvlJc w:val="left"/>
      <w:pPr>
        <w:ind w:left="369" w:hanging="369"/>
      </w:pPr>
      <w:rPr>
        <w:rFonts w:ascii="Symbol" w:hAnsi="Symbo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6" w15:restartNumberingAfterBreak="0">
    <w:nsid w:val="788260C9"/>
    <w:multiLevelType w:val="multilevel"/>
    <w:tmpl w:val="E898CC72"/>
    <w:numStyleLink w:val="KeyPoints"/>
  </w:abstractNum>
  <w:abstractNum w:abstractNumId="57"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8CD3398"/>
    <w:multiLevelType w:val="hybridMultilevel"/>
    <w:tmpl w:val="15940DD4"/>
    <w:lvl w:ilvl="0" w:tplc="1A84BBC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C953D8C"/>
    <w:multiLevelType w:val="hybridMultilevel"/>
    <w:tmpl w:val="C464A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3708B3"/>
    <w:multiLevelType w:val="multilevel"/>
    <w:tmpl w:val="E5E89F92"/>
    <w:numStyleLink w:val="BulletList"/>
  </w:abstractNum>
  <w:num w:numId="1">
    <w:abstractNumId w:val="53"/>
  </w:num>
  <w:num w:numId="2">
    <w:abstractNumId w:val="17"/>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33"/>
  </w:num>
  <w:num w:numId="5">
    <w:abstractNumId w:val="49"/>
  </w:num>
  <w:num w:numId="6">
    <w:abstractNumId w:val="50"/>
  </w:num>
  <w:num w:numId="7">
    <w:abstractNumId w:val="43"/>
  </w:num>
  <w:num w:numId="8">
    <w:abstractNumId w:val="26"/>
  </w:num>
  <w:num w:numId="9">
    <w:abstractNumId w:val="9"/>
  </w:num>
  <w:num w:numId="10">
    <w:abstractNumId w:val="7"/>
  </w:num>
  <w:num w:numId="11">
    <w:abstractNumId w:val="6"/>
  </w:num>
  <w:num w:numId="12">
    <w:abstractNumId w:val="5"/>
  </w:num>
  <w:num w:numId="13">
    <w:abstractNumId w:val="4"/>
  </w:num>
  <w:num w:numId="14">
    <w:abstractNumId w:val="28"/>
  </w:num>
  <w:num w:numId="15">
    <w:abstractNumId w:val="19"/>
  </w:num>
  <w:num w:numId="16">
    <w:abstractNumId w:val="57"/>
  </w:num>
  <w:num w:numId="17">
    <w:abstractNumId w:val="12"/>
  </w:num>
  <w:num w:numId="18">
    <w:abstractNumId w:val="41"/>
  </w:num>
  <w:num w:numId="19">
    <w:abstractNumId w:val="11"/>
  </w:num>
  <w:num w:numId="20">
    <w:abstractNumId w:val="25"/>
  </w:num>
  <w:num w:numId="21">
    <w:abstractNumId w:val="16"/>
  </w:num>
  <w:num w:numId="22">
    <w:abstractNumId w:val="24"/>
  </w:num>
  <w:num w:numId="23">
    <w:abstractNumId w:val="34"/>
  </w:num>
  <w:num w:numId="24">
    <w:abstractNumId w:val="48"/>
  </w:num>
  <w:num w:numId="25">
    <w:abstractNumId w:val="42"/>
  </w:num>
  <w:num w:numId="26">
    <w:abstractNumId w:val="31"/>
  </w:num>
  <w:num w:numId="27">
    <w:abstractNumId w:val="52"/>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9"/>
  </w:num>
  <w:num w:numId="31">
    <w:abstractNumId w:val="47"/>
  </w:num>
  <w:num w:numId="32">
    <w:abstractNumId w:val="42"/>
  </w:num>
  <w:num w:numId="33">
    <w:abstractNumId w:val="35"/>
  </w:num>
  <w:num w:numId="34">
    <w:abstractNumId w:val="20"/>
  </w:num>
  <w:num w:numId="35">
    <w:abstractNumId w:val="38"/>
  </w:num>
  <w:num w:numId="36">
    <w:abstractNumId w:val="59"/>
  </w:num>
  <w:num w:numId="37">
    <w:abstractNumId w:val="59"/>
    <w:lvlOverride w:ilvl="0">
      <w:startOverride w:val="1"/>
    </w:lvlOverride>
  </w:num>
  <w:num w:numId="38">
    <w:abstractNumId w:val="8"/>
  </w:num>
  <w:num w:numId="39">
    <w:abstractNumId w:val="27"/>
  </w:num>
  <w:num w:numId="40">
    <w:abstractNumId w:val="3"/>
  </w:num>
  <w:num w:numId="41">
    <w:abstractNumId w:val="2"/>
  </w:num>
  <w:num w:numId="42">
    <w:abstractNumId w:val="1"/>
  </w:num>
  <w:num w:numId="43">
    <w:abstractNumId w:val="0"/>
  </w:num>
  <w:num w:numId="44">
    <w:abstractNumId w:val="56"/>
  </w:num>
  <w:num w:numId="45">
    <w:abstractNumId w:val="46"/>
  </w:num>
  <w:num w:numId="46">
    <w:abstractNumId w:val="61"/>
  </w:num>
  <w:num w:numId="47">
    <w:abstractNumId w:val="40"/>
  </w:num>
  <w:num w:numId="48">
    <w:abstractNumId w:val="21"/>
  </w:num>
  <w:num w:numId="49">
    <w:abstractNumId w:val="32"/>
  </w:num>
  <w:num w:numId="50">
    <w:abstractNumId w:val="23"/>
  </w:num>
  <w:num w:numId="51">
    <w:abstractNumId w:val="51"/>
  </w:num>
  <w:num w:numId="52">
    <w:abstractNumId w:val="54"/>
  </w:num>
  <w:num w:numId="53">
    <w:abstractNumId w:val="13"/>
  </w:num>
  <w:num w:numId="54">
    <w:abstractNumId w:val="30"/>
  </w:num>
  <w:num w:numId="55">
    <w:abstractNumId w:val="14"/>
  </w:num>
  <w:num w:numId="56">
    <w:abstractNumId w:val="60"/>
  </w:num>
  <w:num w:numId="57">
    <w:abstractNumId w:val="18"/>
  </w:num>
  <w:num w:numId="58">
    <w:abstractNumId w:val="45"/>
  </w:num>
  <w:num w:numId="59">
    <w:abstractNumId w:val="58"/>
  </w:num>
  <w:num w:numId="60">
    <w:abstractNumId w:val="22"/>
  </w:num>
  <w:num w:numId="61">
    <w:abstractNumId w:val="37"/>
  </w:num>
  <w:num w:numId="62">
    <w:abstractNumId w:val="36"/>
  </w:num>
  <w:num w:numId="63">
    <w:abstractNumId w:val="55"/>
  </w:num>
  <w:num w:numId="64">
    <w:abstractNumId w:val="44"/>
  </w:num>
  <w:num w:numId="65">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3EDCD3-DC63-4A0A-814B-76830CD76A95}"/>
    <w:docVar w:name="dgnword-eventsink" w:val="200251800"/>
    <w:docVar w:name="SecurityClassificationInHeader" w:val="False"/>
  </w:docVars>
  <w:rsids>
    <w:rsidRoot w:val="00EB69C6"/>
    <w:rsid w:val="000001C7"/>
    <w:rsid w:val="00000211"/>
    <w:rsid w:val="0000071C"/>
    <w:rsid w:val="00000B9D"/>
    <w:rsid w:val="000027C9"/>
    <w:rsid w:val="000029F7"/>
    <w:rsid w:val="00002A89"/>
    <w:rsid w:val="000034C2"/>
    <w:rsid w:val="00003DA9"/>
    <w:rsid w:val="00004055"/>
    <w:rsid w:val="000040A8"/>
    <w:rsid w:val="00004A09"/>
    <w:rsid w:val="00004A89"/>
    <w:rsid w:val="00004AEE"/>
    <w:rsid w:val="00005CAA"/>
    <w:rsid w:val="000066E9"/>
    <w:rsid w:val="00006B84"/>
    <w:rsid w:val="00007B5F"/>
    <w:rsid w:val="00010210"/>
    <w:rsid w:val="00011700"/>
    <w:rsid w:val="00011C8D"/>
    <w:rsid w:val="000125D4"/>
    <w:rsid w:val="00012D66"/>
    <w:rsid w:val="000136E5"/>
    <w:rsid w:val="00014B2D"/>
    <w:rsid w:val="00015678"/>
    <w:rsid w:val="00015ADA"/>
    <w:rsid w:val="0001662A"/>
    <w:rsid w:val="0001666D"/>
    <w:rsid w:val="00017FAB"/>
    <w:rsid w:val="00020C99"/>
    <w:rsid w:val="0002203F"/>
    <w:rsid w:val="00022742"/>
    <w:rsid w:val="00022C7A"/>
    <w:rsid w:val="00023425"/>
    <w:rsid w:val="00023629"/>
    <w:rsid w:val="00024878"/>
    <w:rsid w:val="00025519"/>
    <w:rsid w:val="00025857"/>
    <w:rsid w:val="00026367"/>
    <w:rsid w:val="0002707B"/>
    <w:rsid w:val="00030A3A"/>
    <w:rsid w:val="00030C82"/>
    <w:rsid w:val="00031553"/>
    <w:rsid w:val="00032146"/>
    <w:rsid w:val="00032155"/>
    <w:rsid w:val="00033415"/>
    <w:rsid w:val="0003367F"/>
    <w:rsid w:val="0003514A"/>
    <w:rsid w:val="00035417"/>
    <w:rsid w:val="0003591E"/>
    <w:rsid w:val="000360EF"/>
    <w:rsid w:val="0004193A"/>
    <w:rsid w:val="000458CF"/>
    <w:rsid w:val="00045C57"/>
    <w:rsid w:val="0004632D"/>
    <w:rsid w:val="0004701A"/>
    <w:rsid w:val="0004785F"/>
    <w:rsid w:val="00050D6C"/>
    <w:rsid w:val="00051467"/>
    <w:rsid w:val="0005148E"/>
    <w:rsid w:val="00051CC1"/>
    <w:rsid w:val="0005245B"/>
    <w:rsid w:val="00052570"/>
    <w:rsid w:val="00054F1A"/>
    <w:rsid w:val="0005523B"/>
    <w:rsid w:val="00055384"/>
    <w:rsid w:val="00056C23"/>
    <w:rsid w:val="00057F0B"/>
    <w:rsid w:val="00057FBD"/>
    <w:rsid w:val="0006009D"/>
    <w:rsid w:val="00060275"/>
    <w:rsid w:val="00061B87"/>
    <w:rsid w:val="00061C80"/>
    <w:rsid w:val="000620A9"/>
    <w:rsid w:val="00064099"/>
    <w:rsid w:val="00064755"/>
    <w:rsid w:val="00064915"/>
    <w:rsid w:val="00064A02"/>
    <w:rsid w:val="00066368"/>
    <w:rsid w:val="00066D5E"/>
    <w:rsid w:val="000674CB"/>
    <w:rsid w:val="0006798D"/>
    <w:rsid w:val="000701F7"/>
    <w:rsid w:val="0007090B"/>
    <w:rsid w:val="000716C6"/>
    <w:rsid w:val="000717C3"/>
    <w:rsid w:val="000718C1"/>
    <w:rsid w:val="00072C5A"/>
    <w:rsid w:val="000743EA"/>
    <w:rsid w:val="000744BD"/>
    <w:rsid w:val="000751F1"/>
    <w:rsid w:val="00075490"/>
    <w:rsid w:val="000754B1"/>
    <w:rsid w:val="000759E5"/>
    <w:rsid w:val="00075D93"/>
    <w:rsid w:val="00076525"/>
    <w:rsid w:val="000767C2"/>
    <w:rsid w:val="00077C4F"/>
    <w:rsid w:val="00077CC0"/>
    <w:rsid w:val="00081396"/>
    <w:rsid w:val="00082061"/>
    <w:rsid w:val="00082363"/>
    <w:rsid w:val="0008330B"/>
    <w:rsid w:val="00084AC6"/>
    <w:rsid w:val="00085138"/>
    <w:rsid w:val="0008536E"/>
    <w:rsid w:val="00085CD4"/>
    <w:rsid w:val="00086044"/>
    <w:rsid w:val="0008625F"/>
    <w:rsid w:val="00087E86"/>
    <w:rsid w:val="000908CA"/>
    <w:rsid w:val="00090C1F"/>
    <w:rsid w:val="00091608"/>
    <w:rsid w:val="00092402"/>
    <w:rsid w:val="00092C4B"/>
    <w:rsid w:val="0009333C"/>
    <w:rsid w:val="0009455B"/>
    <w:rsid w:val="000949A6"/>
    <w:rsid w:val="0009704F"/>
    <w:rsid w:val="000A0ADC"/>
    <w:rsid w:val="000A0F11"/>
    <w:rsid w:val="000A124F"/>
    <w:rsid w:val="000A125A"/>
    <w:rsid w:val="000A1CDD"/>
    <w:rsid w:val="000A1DD7"/>
    <w:rsid w:val="000A24D8"/>
    <w:rsid w:val="000A3956"/>
    <w:rsid w:val="000A3E25"/>
    <w:rsid w:val="000A41D6"/>
    <w:rsid w:val="000A46C5"/>
    <w:rsid w:val="000A4929"/>
    <w:rsid w:val="000A4C0D"/>
    <w:rsid w:val="000A4CB5"/>
    <w:rsid w:val="000A4F3C"/>
    <w:rsid w:val="000A57CD"/>
    <w:rsid w:val="000A5D96"/>
    <w:rsid w:val="000A642D"/>
    <w:rsid w:val="000B01BF"/>
    <w:rsid w:val="000B1381"/>
    <w:rsid w:val="000B2276"/>
    <w:rsid w:val="000B3758"/>
    <w:rsid w:val="000B4FCB"/>
    <w:rsid w:val="000B5B3D"/>
    <w:rsid w:val="000B687F"/>
    <w:rsid w:val="000B6DBC"/>
    <w:rsid w:val="000B6E3E"/>
    <w:rsid w:val="000B71A8"/>
    <w:rsid w:val="000B742A"/>
    <w:rsid w:val="000B7681"/>
    <w:rsid w:val="000B7B19"/>
    <w:rsid w:val="000B7B42"/>
    <w:rsid w:val="000C02B7"/>
    <w:rsid w:val="000C0838"/>
    <w:rsid w:val="000C0D2A"/>
    <w:rsid w:val="000C0D2E"/>
    <w:rsid w:val="000C12AB"/>
    <w:rsid w:val="000C2336"/>
    <w:rsid w:val="000C342D"/>
    <w:rsid w:val="000C5100"/>
    <w:rsid w:val="000C5342"/>
    <w:rsid w:val="000C706A"/>
    <w:rsid w:val="000C75F7"/>
    <w:rsid w:val="000C7A8D"/>
    <w:rsid w:val="000D0AA9"/>
    <w:rsid w:val="000D11B7"/>
    <w:rsid w:val="000D1D52"/>
    <w:rsid w:val="000D2853"/>
    <w:rsid w:val="000D2887"/>
    <w:rsid w:val="000D33C3"/>
    <w:rsid w:val="000D523F"/>
    <w:rsid w:val="000D5632"/>
    <w:rsid w:val="000D5BC2"/>
    <w:rsid w:val="000D67C1"/>
    <w:rsid w:val="000D6D63"/>
    <w:rsid w:val="000D7785"/>
    <w:rsid w:val="000E0081"/>
    <w:rsid w:val="000E07CF"/>
    <w:rsid w:val="000E0822"/>
    <w:rsid w:val="000E1F03"/>
    <w:rsid w:val="000E2D9C"/>
    <w:rsid w:val="000E31C1"/>
    <w:rsid w:val="000E433A"/>
    <w:rsid w:val="000E45FD"/>
    <w:rsid w:val="000E46DC"/>
    <w:rsid w:val="000E6C50"/>
    <w:rsid w:val="000E7071"/>
    <w:rsid w:val="000F053E"/>
    <w:rsid w:val="000F0AA2"/>
    <w:rsid w:val="000F1F70"/>
    <w:rsid w:val="000F2CF2"/>
    <w:rsid w:val="000F3375"/>
    <w:rsid w:val="000F3E5B"/>
    <w:rsid w:val="000F4FE0"/>
    <w:rsid w:val="000F5990"/>
    <w:rsid w:val="000F6936"/>
    <w:rsid w:val="000F7164"/>
    <w:rsid w:val="000F7214"/>
    <w:rsid w:val="00100BDB"/>
    <w:rsid w:val="00100BEF"/>
    <w:rsid w:val="00101AA5"/>
    <w:rsid w:val="00101DD3"/>
    <w:rsid w:val="0010223A"/>
    <w:rsid w:val="00102DB6"/>
    <w:rsid w:val="0010363D"/>
    <w:rsid w:val="00103A75"/>
    <w:rsid w:val="00103D61"/>
    <w:rsid w:val="00103E45"/>
    <w:rsid w:val="0010493E"/>
    <w:rsid w:val="001055F9"/>
    <w:rsid w:val="00106E12"/>
    <w:rsid w:val="00111068"/>
    <w:rsid w:val="0011129B"/>
    <w:rsid w:val="00111326"/>
    <w:rsid w:val="00111F41"/>
    <w:rsid w:val="0011249D"/>
    <w:rsid w:val="00112B7A"/>
    <w:rsid w:val="001132E8"/>
    <w:rsid w:val="00113306"/>
    <w:rsid w:val="0011354A"/>
    <w:rsid w:val="00113CA0"/>
    <w:rsid w:val="0011498E"/>
    <w:rsid w:val="00114AD1"/>
    <w:rsid w:val="001178BF"/>
    <w:rsid w:val="00117A45"/>
    <w:rsid w:val="00117DB8"/>
    <w:rsid w:val="00120D72"/>
    <w:rsid w:val="001218A3"/>
    <w:rsid w:val="00121962"/>
    <w:rsid w:val="00121DD4"/>
    <w:rsid w:val="001220DA"/>
    <w:rsid w:val="001224AE"/>
    <w:rsid w:val="00122B85"/>
    <w:rsid w:val="00122D53"/>
    <w:rsid w:val="00124517"/>
    <w:rsid w:val="00124AD8"/>
    <w:rsid w:val="00125631"/>
    <w:rsid w:val="0012631D"/>
    <w:rsid w:val="001263A6"/>
    <w:rsid w:val="001273F7"/>
    <w:rsid w:val="00127404"/>
    <w:rsid w:val="00130BAB"/>
    <w:rsid w:val="00130D6E"/>
    <w:rsid w:val="001312A1"/>
    <w:rsid w:val="001336D1"/>
    <w:rsid w:val="001337D4"/>
    <w:rsid w:val="00133CD8"/>
    <w:rsid w:val="00134DF6"/>
    <w:rsid w:val="001354DC"/>
    <w:rsid w:val="00136039"/>
    <w:rsid w:val="001377BB"/>
    <w:rsid w:val="0013795C"/>
    <w:rsid w:val="0014092F"/>
    <w:rsid w:val="00141B12"/>
    <w:rsid w:val="00141EF3"/>
    <w:rsid w:val="0014244D"/>
    <w:rsid w:val="00142505"/>
    <w:rsid w:val="00142CBC"/>
    <w:rsid w:val="001433B2"/>
    <w:rsid w:val="00143483"/>
    <w:rsid w:val="00143A1B"/>
    <w:rsid w:val="00143F5B"/>
    <w:rsid w:val="001441AF"/>
    <w:rsid w:val="00145287"/>
    <w:rsid w:val="001458F6"/>
    <w:rsid w:val="00145916"/>
    <w:rsid w:val="0014596D"/>
    <w:rsid w:val="00145FE4"/>
    <w:rsid w:val="00146804"/>
    <w:rsid w:val="00146A9B"/>
    <w:rsid w:val="00147C12"/>
    <w:rsid w:val="00147F49"/>
    <w:rsid w:val="0015110F"/>
    <w:rsid w:val="00151FD7"/>
    <w:rsid w:val="00152319"/>
    <w:rsid w:val="001525BD"/>
    <w:rsid w:val="001527A1"/>
    <w:rsid w:val="00152C38"/>
    <w:rsid w:val="001530DC"/>
    <w:rsid w:val="001530FD"/>
    <w:rsid w:val="001537FB"/>
    <w:rsid w:val="00154989"/>
    <w:rsid w:val="001553BD"/>
    <w:rsid w:val="00155550"/>
    <w:rsid w:val="00155A9F"/>
    <w:rsid w:val="00156DC9"/>
    <w:rsid w:val="0015791D"/>
    <w:rsid w:val="00160262"/>
    <w:rsid w:val="00160AA9"/>
    <w:rsid w:val="0016183E"/>
    <w:rsid w:val="001620F6"/>
    <w:rsid w:val="001633EE"/>
    <w:rsid w:val="00163D97"/>
    <w:rsid w:val="001648A7"/>
    <w:rsid w:val="00164F24"/>
    <w:rsid w:val="00166558"/>
    <w:rsid w:val="0016698A"/>
    <w:rsid w:val="0016780A"/>
    <w:rsid w:val="00170480"/>
    <w:rsid w:val="0017098C"/>
    <w:rsid w:val="001712E1"/>
    <w:rsid w:val="001713FA"/>
    <w:rsid w:val="00171795"/>
    <w:rsid w:val="00171AC5"/>
    <w:rsid w:val="00173727"/>
    <w:rsid w:val="00173EBF"/>
    <w:rsid w:val="00174979"/>
    <w:rsid w:val="00174F3D"/>
    <w:rsid w:val="001753DF"/>
    <w:rsid w:val="00175617"/>
    <w:rsid w:val="0017572C"/>
    <w:rsid w:val="00175816"/>
    <w:rsid w:val="00175841"/>
    <w:rsid w:val="001759A7"/>
    <w:rsid w:val="00175ED3"/>
    <w:rsid w:val="001762FC"/>
    <w:rsid w:val="001763F2"/>
    <w:rsid w:val="00176559"/>
    <w:rsid w:val="00176DFF"/>
    <w:rsid w:val="001801A5"/>
    <w:rsid w:val="001807A3"/>
    <w:rsid w:val="00182B82"/>
    <w:rsid w:val="001842A2"/>
    <w:rsid w:val="001842F9"/>
    <w:rsid w:val="00184B03"/>
    <w:rsid w:val="00184C9C"/>
    <w:rsid w:val="00185497"/>
    <w:rsid w:val="00185AD4"/>
    <w:rsid w:val="0018635E"/>
    <w:rsid w:val="0018686C"/>
    <w:rsid w:val="00186F38"/>
    <w:rsid w:val="00186F5F"/>
    <w:rsid w:val="00187E98"/>
    <w:rsid w:val="00187FA8"/>
    <w:rsid w:val="00192EE6"/>
    <w:rsid w:val="00192F5E"/>
    <w:rsid w:val="00193859"/>
    <w:rsid w:val="00194272"/>
    <w:rsid w:val="00194437"/>
    <w:rsid w:val="00195689"/>
    <w:rsid w:val="00196831"/>
    <w:rsid w:val="00197590"/>
    <w:rsid w:val="00197772"/>
    <w:rsid w:val="001A08E0"/>
    <w:rsid w:val="001A0C81"/>
    <w:rsid w:val="001A1BEA"/>
    <w:rsid w:val="001A26F1"/>
    <w:rsid w:val="001A2917"/>
    <w:rsid w:val="001A37CB"/>
    <w:rsid w:val="001A39C4"/>
    <w:rsid w:val="001A486D"/>
    <w:rsid w:val="001A4DEE"/>
    <w:rsid w:val="001A51C8"/>
    <w:rsid w:val="001A55D4"/>
    <w:rsid w:val="001A5AC9"/>
    <w:rsid w:val="001A60FC"/>
    <w:rsid w:val="001A6467"/>
    <w:rsid w:val="001A7BF0"/>
    <w:rsid w:val="001A7DD7"/>
    <w:rsid w:val="001B074E"/>
    <w:rsid w:val="001B0F39"/>
    <w:rsid w:val="001B19FF"/>
    <w:rsid w:val="001B24C8"/>
    <w:rsid w:val="001B29EF"/>
    <w:rsid w:val="001B397C"/>
    <w:rsid w:val="001B452C"/>
    <w:rsid w:val="001B4875"/>
    <w:rsid w:val="001B4CA8"/>
    <w:rsid w:val="001B5899"/>
    <w:rsid w:val="001B5EA1"/>
    <w:rsid w:val="001B62E7"/>
    <w:rsid w:val="001B65BA"/>
    <w:rsid w:val="001B6F77"/>
    <w:rsid w:val="001B7872"/>
    <w:rsid w:val="001B7AEC"/>
    <w:rsid w:val="001C08A1"/>
    <w:rsid w:val="001C3A77"/>
    <w:rsid w:val="001C3EAD"/>
    <w:rsid w:val="001C3FE9"/>
    <w:rsid w:val="001C4F3D"/>
    <w:rsid w:val="001C5733"/>
    <w:rsid w:val="001C585B"/>
    <w:rsid w:val="001C63E8"/>
    <w:rsid w:val="001C6B21"/>
    <w:rsid w:val="001C71DE"/>
    <w:rsid w:val="001C7916"/>
    <w:rsid w:val="001D0795"/>
    <w:rsid w:val="001D08C0"/>
    <w:rsid w:val="001D0CDC"/>
    <w:rsid w:val="001D0E56"/>
    <w:rsid w:val="001D1D82"/>
    <w:rsid w:val="001D257A"/>
    <w:rsid w:val="001D2CBF"/>
    <w:rsid w:val="001D31CC"/>
    <w:rsid w:val="001D4017"/>
    <w:rsid w:val="001D4935"/>
    <w:rsid w:val="001D4D91"/>
    <w:rsid w:val="001D62D3"/>
    <w:rsid w:val="001E0211"/>
    <w:rsid w:val="001E0E48"/>
    <w:rsid w:val="001E1182"/>
    <w:rsid w:val="001E1481"/>
    <w:rsid w:val="001E1705"/>
    <w:rsid w:val="001E25FC"/>
    <w:rsid w:val="001E29E8"/>
    <w:rsid w:val="001E2D66"/>
    <w:rsid w:val="001E3709"/>
    <w:rsid w:val="001E3A87"/>
    <w:rsid w:val="001E3E43"/>
    <w:rsid w:val="001E438F"/>
    <w:rsid w:val="001E4630"/>
    <w:rsid w:val="001E4944"/>
    <w:rsid w:val="001E6856"/>
    <w:rsid w:val="001E698D"/>
    <w:rsid w:val="001E727B"/>
    <w:rsid w:val="001F21DA"/>
    <w:rsid w:val="001F264B"/>
    <w:rsid w:val="001F4B9F"/>
    <w:rsid w:val="001F5074"/>
    <w:rsid w:val="001F6E1C"/>
    <w:rsid w:val="001F6F21"/>
    <w:rsid w:val="00202847"/>
    <w:rsid w:val="00202C90"/>
    <w:rsid w:val="00202CC1"/>
    <w:rsid w:val="00203F0F"/>
    <w:rsid w:val="0020551B"/>
    <w:rsid w:val="002057F2"/>
    <w:rsid w:val="00205E6D"/>
    <w:rsid w:val="00205FA8"/>
    <w:rsid w:val="0020700E"/>
    <w:rsid w:val="0020703D"/>
    <w:rsid w:val="0020719F"/>
    <w:rsid w:val="002079F4"/>
    <w:rsid w:val="00207C42"/>
    <w:rsid w:val="0021078F"/>
    <w:rsid w:val="00210A8F"/>
    <w:rsid w:val="002119C8"/>
    <w:rsid w:val="00211A63"/>
    <w:rsid w:val="00211D9F"/>
    <w:rsid w:val="00212023"/>
    <w:rsid w:val="00212186"/>
    <w:rsid w:val="0021225E"/>
    <w:rsid w:val="002130C7"/>
    <w:rsid w:val="00213C48"/>
    <w:rsid w:val="00213DE8"/>
    <w:rsid w:val="00213F74"/>
    <w:rsid w:val="00215498"/>
    <w:rsid w:val="00216118"/>
    <w:rsid w:val="002162E6"/>
    <w:rsid w:val="00216BFC"/>
    <w:rsid w:val="00217430"/>
    <w:rsid w:val="002209AB"/>
    <w:rsid w:val="00220A5F"/>
    <w:rsid w:val="00221577"/>
    <w:rsid w:val="00223395"/>
    <w:rsid w:val="00223FAD"/>
    <w:rsid w:val="0022415B"/>
    <w:rsid w:val="00224B8F"/>
    <w:rsid w:val="00224DA1"/>
    <w:rsid w:val="002251E3"/>
    <w:rsid w:val="002253D0"/>
    <w:rsid w:val="00226583"/>
    <w:rsid w:val="002269B3"/>
    <w:rsid w:val="00226B59"/>
    <w:rsid w:val="00226B86"/>
    <w:rsid w:val="00226F65"/>
    <w:rsid w:val="00227A95"/>
    <w:rsid w:val="00227B0C"/>
    <w:rsid w:val="00230805"/>
    <w:rsid w:val="002313B3"/>
    <w:rsid w:val="002315A3"/>
    <w:rsid w:val="002316BD"/>
    <w:rsid w:val="00232120"/>
    <w:rsid w:val="0023285B"/>
    <w:rsid w:val="0023302F"/>
    <w:rsid w:val="0023519F"/>
    <w:rsid w:val="00235394"/>
    <w:rsid w:val="00235F69"/>
    <w:rsid w:val="00237550"/>
    <w:rsid w:val="00237A5F"/>
    <w:rsid w:val="00237EC8"/>
    <w:rsid w:val="0024115B"/>
    <w:rsid w:val="00241169"/>
    <w:rsid w:val="0024181A"/>
    <w:rsid w:val="002427CA"/>
    <w:rsid w:val="00242DEF"/>
    <w:rsid w:val="00243435"/>
    <w:rsid w:val="0024349D"/>
    <w:rsid w:val="00243A2E"/>
    <w:rsid w:val="00243FD9"/>
    <w:rsid w:val="002445B1"/>
    <w:rsid w:val="00244F65"/>
    <w:rsid w:val="00245739"/>
    <w:rsid w:val="00245FBC"/>
    <w:rsid w:val="002462C2"/>
    <w:rsid w:val="00246C18"/>
    <w:rsid w:val="002472DE"/>
    <w:rsid w:val="002473FC"/>
    <w:rsid w:val="002479A0"/>
    <w:rsid w:val="00250703"/>
    <w:rsid w:val="00250F63"/>
    <w:rsid w:val="00252E3C"/>
    <w:rsid w:val="0025409F"/>
    <w:rsid w:val="002541D7"/>
    <w:rsid w:val="00254C0E"/>
    <w:rsid w:val="00254D0B"/>
    <w:rsid w:val="0025526F"/>
    <w:rsid w:val="00256925"/>
    <w:rsid w:val="00256C79"/>
    <w:rsid w:val="0026050A"/>
    <w:rsid w:val="00261032"/>
    <w:rsid w:val="00262198"/>
    <w:rsid w:val="00262443"/>
    <w:rsid w:val="002625EE"/>
    <w:rsid w:val="002626DE"/>
    <w:rsid w:val="002633AF"/>
    <w:rsid w:val="0026398B"/>
    <w:rsid w:val="00263C4A"/>
    <w:rsid w:val="00263EA1"/>
    <w:rsid w:val="00264B3B"/>
    <w:rsid w:val="0026680C"/>
    <w:rsid w:val="0026748C"/>
    <w:rsid w:val="00267CAF"/>
    <w:rsid w:val="00270ADB"/>
    <w:rsid w:val="00270C04"/>
    <w:rsid w:val="0027105F"/>
    <w:rsid w:val="00271F75"/>
    <w:rsid w:val="00277BBA"/>
    <w:rsid w:val="00277F4C"/>
    <w:rsid w:val="00280C43"/>
    <w:rsid w:val="00283009"/>
    <w:rsid w:val="00284554"/>
    <w:rsid w:val="002848B9"/>
    <w:rsid w:val="00285F1B"/>
    <w:rsid w:val="0028656A"/>
    <w:rsid w:val="00287841"/>
    <w:rsid w:val="0029082C"/>
    <w:rsid w:val="00290F27"/>
    <w:rsid w:val="002921DE"/>
    <w:rsid w:val="002926E9"/>
    <w:rsid w:val="0029271E"/>
    <w:rsid w:val="00292B81"/>
    <w:rsid w:val="002941A7"/>
    <w:rsid w:val="00294D2C"/>
    <w:rsid w:val="002A0F42"/>
    <w:rsid w:val="002A1F5A"/>
    <w:rsid w:val="002A24A6"/>
    <w:rsid w:val="002A2F01"/>
    <w:rsid w:val="002A4B58"/>
    <w:rsid w:val="002A53D5"/>
    <w:rsid w:val="002A55B9"/>
    <w:rsid w:val="002A6606"/>
    <w:rsid w:val="002A6C18"/>
    <w:rsid w:val="002A7476"/>
    <w:rsid w:val="002A7D79"/>
    <w:rsid w:val="002B0BE2"/>
    <w:rsid w:val="002B0DB3"/>
    <w:rsid w:val="002B1822"/>
    <w:rsid w:val="002B18AE"/>
    <w:rsid w:val="002B1B39"/>
    <w:rsid w:val="002B42BF"/>
    <w:rsid w:val="002B4EFE"/>
    <w:rsid w:val="002B5DF6"/>
    <w:rsid w:val="002B607E"/>
    <w:rsid w:val="002B682F"/>
    <w:rsid w:val="002B6969"/>
    <w:rsid w:val="002B6B6F"/>
    <w:rsid w:val="002C1383"/>
    <w:rsid w:val="002C1AE1"/>
    <w:rsid w:val="002C1C93"/>
    <w:rsid w:val="002C3AB7"/>
    <w:rsid w:val="002C4CC6"/>
    <w:rsid w:val="002C5066"/>
    <w:rsid w:val="002C5813"/>
    <w:rsid w:val="002C72C9"/>
    <w:rsid w:val="002C776E"/>
    <w:rsid w:val="002C785F"/>
    <w:rsid w:val="002D008A"/>
    <w:rsid w:val="002D00EC"/>
    <w:rsid w:val="002D063E"/>
    <w:rsid w:val="002D334F"/>
    <w:rsid w:val="002D3405"/>
    <w:rsid w:val="002D48E4"/>
    <w:rsid w:val="002D4AAC"/>
    <w:rsid w:val="002D4B1E"/>
    <w:rsid w:val="002D533B"/>
    <w:rsid w:val="002D552D"/>
    <w:rsid w:val="002D7D42"/>
    <w:rsid w:val="002E0B77"/>
    <w:rsid w:val="002E1D71"/>
    <w:rsid w:val="002E26A0"/>
    <w:rsid w:val="002E30B6"/>
    <w:rsid w:val="002E3578"/>
    <w:rsid w:val="002E37F4"/>
    <w:rsid w:val="002E472C"/>
    <w:rsid w:val="002F03B0"/>
    <w:rsid w:val="002F045A"/>
    <w:rsid w:val="002F13A7"/>
    <w:rsid w:val="002F225F"/>
    <w:rsid w:val="002F2400"/>
    <w:rsid w:val="002F3494"/>
    <w:rsid w:val="002F3832"/>
    <w:rsid w:val="002F3F24"/>
    <w:rsid w:val="002F451C"/>
    <w:rsid w:val="002F494E"/>
    <w:rsid w:val="002F4BFC"/>
    <w:rsid w:val="002F502D"/>
    <w:rsid w:val="002F5AC7"/>
    <w:rsid w:val="002F5B68"/>
    <w:rsid w:val="002F5BE3"/>
    <w:rsid w:val="002F5ED1"/>
    <w:rsid w:val="002F6A94"/>
    <w:rsid w:val="002F7468"/>
    <w:rsid w:val="002F79A9"/>
    <w:rsid w:val="003001CA"/>
    <w:rsid w:val="0030039D"/>
    <w:rsid w:val="00300E9C"/>
    <w:rsid w:val="003012E5"/>
    <w:rsid w:val="00301364"/>
    <w:rsid w:val="0030177A"/>
    <w:rsid w:val="00302D7E"/>
    <w:rsid w:val="0030313E"/>
    <w:rsid w:val="0030326F"/>
    <w:rsid w:val="00303FA9"/>
    <w:rsid w:val="0030421E"/>
    <w:rsid w:val="00304A61"/>
    <w:rsid w:val="003058E0"/>
    <w:rsid w:val="00305D4E"/>
    <w:rsid w:val="0030618C"/>
    <w:rsid w:val="00306533"/>
    <w:rsid w:val="003067BD"/>
    <w:rsid w:val="00310701"/>
    <w:rsid w:val="00310AFE"/>
    <w:rsid w:val="00310C7D"/>
    <w:rsid w:val="00310D8C"/>
    <w:rsid w:val="003117A1"/>
    <w:rsid w:val="0031249E"/>
    <w:rsid w:val="003156C9"/>
    <w:rsid w:val="00315980"/>
    <w:rsid w:val="00316931"/>
    <w:rsid w:val="00316F7F"/>
    <w:rsid w:val="00317918"/>
    <w:rsid w:val="003179F2"/>
    <w:rsid w:val="00317DAE"/>
    <w:rsid w:val="00317DEE"/>
    <w:rsid w:val="00317E0F"/>
    <w:rsid w:val="00320A07"/>
    <w:rsid w:val="00320EA1"/>
    <w:rsid w:val="0032123D"/>
    <w:rsid w:val="003216DB"/>
    <w:rsid w:val="003218E8"/>
    <w:rsid w:val="00321946"/>
    <w:rsid w:val="0032265C"/>
    <w:rsid w:val="00322700"/>
    <w:rsid w:val="00322B7F"/>
    <w:rsid w:val="00322BF6"/>
    <w:rsid w:val="0032328C"/>
    <w:rsid w:val="0032498E"/>
    <w:rsid w:val="00324B4F"/>
    <w:rsid w:val="00324CBB"/>
    <w:rsid w:val="003253B5"/>
    <w:rsid w:val="00325E34"/>
    <w:rsid w:val="003274EE"/>
    <w:rsid w:val="00327DF7"/>
    <w:rsid w:val="00327F70"/>
    <w:rsid w:val="00330242"/>
    <w:rsid w:val="00330DCE"/>
    <w:rsid w:val="00331E11"/>
    <w:rsid w:val="0033339F"/>
    <w:rsid w:val="003337C7"/>
    <w:rsid w:val="00334761"/>
    <w:rsid w:val="003353ED"/>
    <w:rsid w:val="00335BE3"/>
    <w:rsid w:val="003367C8"/>
    <w:rsid w:val="00336E9C"/>
    <w:rsid w:val="00337EBC"/>
    <w:rsid w:val="00337ECB"/>
    <w:rsid w:val="003400BF"/>
    <w:rsid w:val="00341DCD"/>
    <w:rsid w:val="00341F75"/>
    <w:rsid w:val="003426D6"/>
    <w:rsid w:val="00343389"/>
    <w:rsid w:val="00343A10"/>
    <w:rsid w:val="00344E70"/>
    <w:rsid w:val="0034555F"/>
    <w:rsid w:val="0034563E"/>
    <w:rsid w:val="003456CC"/>
    <w:rsid w:val="00345F84"/>
    <w:rsid w:val="00346806"/>
    <w:rsid w:val="00346BD8"/>
    <w:rsid w:val="00346F6C"/>
    <w:rsid w:val="0034799E"/>
    <w:rsid w:val="00347C23"/>
    <w:rsid w:val="003508DC"/>
    <w:rsid w:val="003517A9"/>
    <w:rsid w:val="003518D6"/>
    <w:rsid w:val="00351B39"/>
    <w:rsid w:val="003530AD"/>
    <w:rsid w:val="003531F0"/>
    <w:rsid w:val="003537E3"/>
    <w:rsid w:val="0035431A"/>
    <w:rsid w:val="0035454C"/>
    <w:rsid w:val="0035460C"/>
    <w:rsid w:val="003549EB"/>
    <w:rsid w:val="003556BD"/>
    <w:rsid w:val="0035593A"/>
    <w:rsid w:val="00357168"/>
    <w:rsid w:val="0036028B"/>
    <w:rsid w:val="003602B8"/>
    <w:rsid w:val="00361634"/>
    <w:rsid w:val="00361E5E"/>
    <w:rsid w:val="00361F27"/>
    <w:rsid w:val="00361F3C"/>
    <w:rsid w:val="0036200C"/>
    <w:rsid w:val="00362604"/>
    <w:rsid w:val="00365147"/>
    <w:rsid w:val="003676CD"/>
    <w:rsid w:val="0037016E"/>
    <w:rsid w:val="00371F62"/>
    <w:rsid w:val="003721A2"/>
    <w:rsid w:val="00372908"/>
    <w:rsid w:val="00372BBE"/>
    <w:rsid w:val="00372CCF"/>
    <w:rsid w:val="003734D4"/>
    <w:rsid w:val="00373C4D"/>
    <w:rsid w:val="003741FC"/>
    <w:rsid w:val="00374A3B"/>
    <w:rsid w:val="00375FB8"/>
    <w:rsid w:val="00377C83"/>
    <w:rsid w:val="00377CAF"/>
    <w:rsid w:val="00377EBC"/>
    <w:rsid w:val="003800AF"/>
    <w:rsid w:val="0038016A"/>
    <w:rsid w:val="003812E4"/>
    <w:rsid w:val="00381E2D"/>
    <w:rsid w:val="00382801"/>
    <w:rsid w:val="00383020"/>
    <w:rsid w:val="00383408"/>
    <w:rsid w:val="003839FB"/>
    <w:rsid w:val="00383ABC"/>
    <w:rsid w:val="00383D3C"/>
    <w:rsid w:val="00384AFB"/>
    <w:rsid w:val="00385BCC"/>
    <w:rsid w:val="00385EFF"/>
    <w:rsid w:val="00386E62"/>
    <w:rsid w:val="003872D2"/>
    <w:rsid w:val="00387A36"/>
    <w:rsid w:val="003906CE"/>
    <w:rsid w:val="003917C8"/>
    <w:rsid w:val="00392593"/>
    <w:rsid w:val="003937EA"/>
    <w:rsid w:val="00393921"/>
    <w:rsid w:val="00393A87"/>
    <w:rsid w:val="00393F8A"/>
    <w:rsid w:val="0039421A"/>
    <w:rsid w:val="00394671"/>
    <w:rsid w:val="00394D7E"/>
    <w:rsid w:val="00394E0D"/>
    <w:rsid w:val="00394F34"/>
    <w:rsid w:val="003955ED"/>
    <w:rsid w:val="00395CFA"/>
    <w:rsid w:val="00395E02"/>
    <w:rsid w:val="00396BD8"/>
    <w:rsid w:val="003975FD"/>
    <w:rsid w:val="00397F4F"/>
    <w:rsid w:val="003A04F4"/>
    <w:rsid w:val="003A1221"/>
    <w:rsid w:val="003A2055"/>
    <w:rsid w:val="003A20FD"/>
    <w:rsid w:val="003A255F"/>
    <w:rsid w:val="003A3231"/>
    <w:rsid w:val="003A3EFA"/>
    <w:rsid w:val="003A3F7E"/>
    <w:rsid w:val="003A49D2"/>
    <w:rsid w:val="003A628D"/>
    <w:rsid w:val="003A6293"/>
    <w:rsid w:val="003A7077"/>
    <w:rsid w:val="003A77E6"/>
    <w:rsid w:val="003B057D"/>
    <w:rsid w:val="003B1446"/>
    <w:rsid w:val="003B21AA"/>
    <w:rsid w:val="003B2A0D"/>
    <w:rsid w:val="003B2D2F"/>
    <w:rsid w:val="003B4A2F"/>
    <w:rsid w:val="003B4D65"/>
    <w:rsid w:val="003B60CC"/>
    <w:rsid w:val="003B6E06"/>
    <w:rsid w:val="003B7623"/>
    <w:rsid w:val="003B7D06"/>
    <w:rsid w:val="003C0768"/>
    <w:rsid w:val="003C0BBD"/>
    <w:rsid w:val="003C1B25"/>
    <w:rsid w:val="003C2443"/>
    <w:rsid w:val="003C2605"/>
    <w:rsid w:val="003C2B03"/>
    <w:rsid w:val="003C409F"/>
    <w:rsid w:val="003C464F"/>
    <w:rsid w:val="003C517A"/>
    <w:rsid w:val="003C54BA"/>
    <w:rsid w:val="003C5DA3"/>
    <w:rsid w:val="003C688F"/>
    <w:rsid w:val="003C7B6D"/>
    <w:rsid w:val="003C7BA5"/>
    <w:rsid w:val="003D009B"/>
    <w:rsid w:val="003D03F1"/>
    <w:rsid w:val="003D0551"/>
    <w:rsid w:val="003D0DF3"/>
    <w:rsid w:val="003D3F8D"/>
    <w:rsid w:val="003D4BCD"/>
    <w:rsid w:val="003D504E"/>
    <w:rsid w:val="003D5822"/>
    <w:rsid w:val="003D5B4A"/>
    <w:rsid w:val="003D5F7C"/>
    <w:rsid w:val="003D6094"/>
    <w:rsid w:val="003D6593"/>
    <w:rsid w:val="003D68C7"/>
    <w:rsid w:val="003D6C2B"/>
    <w:rsid w:val="003D6D32"/>
    <w:rsid w:val="003D6DCF"/>
    <w:rsid w:val="003E01D8"/>
    <w:rsid w:val="003E154B"/>
    <w:rsid w:val="003E1B20"/>
    <w:rsid w:val="003E2100"/>
    <w:rsid w:val="003E3204"/>
    <w:rsid w:val="003E3583"/>
    <w:rsid w:val="003E43CC"/>
    <w:rsid w:val="003E4F94"/>
    <w:rsid w:val="003F0F89"/>
    <w:rsid w:val="003F1852"/>
    <w:rsid w:val="003F1AAE"/>
    <w:rsid w:val="003F305A"/>
    <w:rsid w:val="003F333E"/>
    <w:rsid w:val="003F34D5"/>
    <w:rsid w:val="003F4705"/>
    <w:rsid w:val="003F4802"/>
    <w:rsid w:val="003F5CC6"/>
    <w:rsid w:val="003F6D04"/>
    <w:rsid w:val="003F6F5B"/>
    <w:rsid w:val="003F781B"/>
    <w:rsid w:val="003F7CFA"/>
    <w:rsid w:val="004012EB"/>
    <w:rsid w:val="00401336"/>
    <w:rsid w:val="00401462"/>
    <w:rsid w:val="00401BDE"/>
    <w:rsid w:val="00403092"/>
    <w:rsid w:val="0040342D"/>
    <w:rsid w:val="004034D2"/>
    <w:rsid w:val="00403CAA"/>
    <w:rsid w:val="00404B4C"/>
    <w:rsid w:val="00404BDD"/>
    <w:rsid w:val="0040578B"/>
    <w:rsid w:val="004057AB"/>
    <w:rsid w:val="00405800"/>
    <w:rsid w:val="00405AB6"/>
    <w:rsid w:val="004072FB"/>
    <w:rsid w:val="004079AC"/>
    <w:rsid w:val="00407C94"/>
    <w:rsid w:val="004117CD"/>
    <w:rsid w:val="0041192D"/>
    <w:rsid w:val="004122DE"/>
    <w:rsid w:val="00413919"/>
    <w:rsid w:val="00413EE1"/>
    <w:rsid w:val="00414595"/>
    <w:rsid w:val="00414D7B"/>
    <w:rsid w:val="00416FCA"/>
    <w:rsid w:val="00420DF1"/>
    <w:rsid w:val="00420FD2"/>
    <w:rsid w:val="0042128E"/>
    <w:rsid w:val="00424FC4"/>
    <w:rsid w:val="00425799"/>
    <w:rsid w:val="00426DE8"/>
    <w:rsid w:val="00426DEF"/>
    <w:rsid w:val="004272CE"/>
    <w:rsid w:val="00427BB9"/>
    <w:rsid w:val="00430137"/>
    <w:rsid w:val="00430EA0"/>
    <w:rsid w:val="00431273"/>
    <w:rsid w:val="00431C1E"/>
    <w:rsid w:val="00431F72"/>
    <w:rsid w:val="00431F82"/>
    <w:rsid w:val="00432B60"/>
    <w:rsid w:val="00435621"/>
    <w:rsid w:val="00435DB8"/>
    <w:rsid w:val="004362BF"/>
    <w:rsid w:val="004367EC"/>
    <w:rsid w:val="00436885"/>
    <w:rsid w:val="00436DF9"/>
    <w:rsid w:val="00437380"/>
    <w:rsid w:val="004401BF"/>
    <w:rsid w:val="0044046B"/>
    <w:rsid w:val="00440698"/>
    <w:rsid w:val="004406F5"/>
    <w:rsid w:val="00442F73"/>
    <w:rsid w:val="0044333E"/>
    <w:rsid w:val="00443585"/>
    <w:rsid w:val="004443BC"/>
    <w:rsid w:val="004452A1"/>
    <w:rsid w:val="00445893"/>
    <w:rsid w:val="004464E4"/>
    <w:rsid w:val="004467AB"/>
    <w:rsid w:val="00452157"/>
    <w:rsid w:val="00452DE0"/>
    <w:rsid w:val="004540E2"/>
    <w:rsid w:val="00454454"/>
    <w:rsid w:val="00455ABA"/>
    <w:rsid w:val="00455D5A"/>
    <w:rsid w:val="00456496"/>
    <w:rsid w:val="004578B9"/>
    <w:rsid w:val="00460B1B"/>
    <w:rsid w:val="00462190"/>
    <w:rsid w:val="0046307D"/>
    <w:rsid w:val="0046424F"/>
    <w:rsid w:val="00464543"/>
    <w:rsid w:val="00465117"/>
    <w:rsid w:val="00466520"/>
    <w:rsid w:val="00466541"/>
    <w:rsid w:val="00466B45"/>
    <w:rsid w:val="00467924"/>
    <w:rsid w:val="00470703"/>
    <w:rsid w:val="004707E4"/>
    <w:rsid w:val="004708CA"/>
    <w:rsid w:val="004708DF"/>
    <w:rsid w:val="004709D4"/>
    <w:rsid w:val="004712A5"/>
    <w:rsid w:val="00471B0F"/>
    <w:rsid w:val="00472614"/>
    <w:rsid w:val="0047266F"/>
    <w:rsid w:val="00473FE4"/>
    <w:rsid w:val="00474A75"/>
    <w:rsid w:val="00474D3F"/>
    <w:rsid w:val="00475C2D"/>
    <w:rsid w:val="0047601D"/>
    <w:rsid w:val="004760F1"/>
    <w:rsid w:val="00476D6B"/>
    <w:rsid w:val="004770DC"/>
    <w:rsid w:val="00477B34"/>
    <w:rsid w:val="00480007"/>
    <w:rsid w:val="00480407"/>
    <w:rsid w:val="00480FA8"/>
    <w:rsid w:val="0048202B"/>
    <w:rsid w:val="00482D16"/>
    <w:rsid w:val="004841AB"/>
    <w:rsid w:val="00484C3E"/>
    <w:rsid w:val="004851A0"/>
    <w:rsid w:val="00486777"/>
    <w:rsid w:val="0048688B"/>
    <w:rsid w:val="00487296"/>
    <w:rsid w:val="00487741"/>
    <w:rsid w:val="0048784B"/>
    <w:rsid w:val="00487E0A"/>
    <w:rsid w:val="00490261"/>
    <w:rsid w:val="00492C16"/>
    <w:rsid w:val="0049367F"/>
    <w:rsid w:val="00493C29"/>
    <w:rsid w:val="00495DBD"/>
    <w:rsid w:val="004963C6"/>
    <w:rsid w:val="00496FC5"/>
    <w:rsid w:val="00497059"/>
    <w:rsid w:val="004A0678"/>
    <w:rsid w:val="004A3C80"/>
    <w:rsid w:val="004A4348"/>
    <w:rsid w:val="004A48A3"/>
    <w:rsid w:val="004A6397"/>
    <w:rsid w:val="004A77C6"/>
    <w:rsid w:val="004A788E"/>
    <w:rsid w:val="004B0521"/>
    <w:rsid w:val="004B0D92"/>
    <w:rsid w:val="004B0EC0"/>
    <w:rsid w:val="004B1162"/>
    <w:rsid w:val="004B1265"/>
    <w:rsid w:val="004B149A"/>
    <w:rsid w:val="004B283B"/>
    <w:rsid w:val="004B29F8"/>
    <w:rsid w:val="004B2BA8"/>
    <w:rsid w:val="004B324B"/>
    <w:rsid w:val="004B4050"/>
    <w:rsid w:val="004B4CDA"/>
    <w:rsid w:val="004B4E27"/>
    <w:rsid w:val="004B5693"/>
    <w:rsid w:val="004B5B32"/>
    <w:rsid w:val="004B61E5"/>
    <w:rsid w:val="004B6666"/>
    <w:rsid w:val="004B66F1"/>
    <w:rsid w:val="004B6D37"/>
    <w:rsid w:val="004B7267"/>
    <w:rsid w:val="004B72CC"/>
    <w:rsid w:val="004B7632"/>
    <w:rsid w:val="004B7744"/>
    <w:rsid w:val="004C0437"/>
    <w:rsid w:val="004C1384"/>
    <w:rsid w:val="004C17AF"/>
    <w:rsid w:val="004C186B"/>
    <w:rsid w:val="004C1925"/>
    <w:rsid w:val="004C1D6C"/>
    <w:rsid w:val="004C3379"/>
    <w:rsid w:val="004C3EA0"/>
    <w:rsid w:val="004C3ED8"/>
    <w:rsid w:val="004C454D"/>
    <w:rsid w:val="004C5EDE"/>
    <w:rsid w:val="004C658E"/>
    <w:rsid w:val="004C7750"/>
    <w:rsid w:val="004C7B24"/>
    <w:rsid w:val="004C7B30"/>
    <w:rsid w:val="004D0DA5"/>
    <w:rsid w:val="004D3AD2"/>
    <w:rsid w:val="004D492A"/>
    <w:rsid w:val="004D5563"/>
    <w:rsid w:val="004D56F8"/>
    <w:rsid w:val="004D725E"/>
    <w:rsid w:val="004D7305"/>
    <w:rsid w:val="004D7B4F"/>
    <w:rsid w:val="004D7B62"/>
    <w:rsid w:val="004E056C"/>
    <w:rsid w:val="004E0911"/>
    <w:rsid w:val="004E0B76"/>
    <w:rsid w:val="004E29D0"/>
    <w:rsid w:val="004E37AC"/>
    <w:rsid w:val="004E37D0"/>
    <w:rsid w:val="004E3C2D"/>
    <w:rsid w:val="004E4CFB"/>
    <w:rsid w:val="004E51CC"/>
    <w:rsid w:val="004E58A4"/>
    <w:rsid w:val="004E61A1"/>
    <w:rsid w:val="004E79EB"/>
    <w:rsid w:val="004E7D0E"/>
    <w:rsid w:val="004F00E5"/>
    <w:rsid w:val="004F0447"/>
    <w:rsid w:val="004F0880"/>
    <w:rsid w:val="004F1D34"/>
    <w:rsid w:val="004F27CB"/>
    <w:rsid w:val="004F441E"/>
    <w:rsid w:val="004F50B9"/>
    <w:rsid w:val="004F5A7B"/>
    <w:rsid w:val="004F7169"/>
    <w:rsid w:val="004F7856"/>
    <w:rsid w:val="0050066A"/>
    <w:rsid w:val="00500D66"/>
    <w:rsid w:val="00501EE1"/>
    <w:rsid w:val="00501F0B"/>
    <w:rsid w:val="00502DCB"/>
    <w:rsid w:val="005030E7"/>
    <w:rsid w:val="00503599"/>
    <w:rsid w:val="005035CD"/>
    <w:rsid w:val="00503AF5"/>
    <w:rsid w:val="0050431E"/>
    <w:rsid w:val="00504A8A"/>
    <w:rsid w:val="00504B2A"/>
    <w:rsid w:val="005064D9"/>
    <w:rsid w:val="00506650"/>
    <w:rsid w:val="00506C69"/>
    <w:rsid w:val="00506CB6"/>
    <w:rsid w:val="00507C85"/>
    <w:rsid w:val="00507D94"/>
    <w:rsid w:val="005101A8"/>
    <w:rsid w:val="005107F1"/>
    <w:rsid w:val="00510F49"/>
    <w:rsid w:val="00511740"/>
    <w:rsid w:val="00512122"/>
    <w:rsid w:val="00512CB4"/>
    <w:rsid w:val="00513008"/>
    <w:rsid w:val="00513499"/>
    <w:rsid w:val="005143DC"/>
    <w:rsid w:val="00514C8E"/>
    <w:rsid w:val="00514FC9"/>
    <w:rsid w:val="00514FE5"/>
    <w:rsid w:val="0051557C"/>
    <w:rsid w:val="00515F0B"/>
    <w:rsid w:val="005169D4"/>
    <w:rsid w:val="00516AEA"/>
    <w:rsid w:val="005206DF"/>
    <w:rsid w:val="005216F7"/>
    <w:rsid w:val="005219C4"/>
    <w:rsid w:val="00521A30"/>
    <w:rsid w:val="00522221"/>
    <w:rsid w:val="005223D3"/>
    <w:rsid w:val="00522CC0"/>
    <w:rsid w:val="00523CA7"/>
    <w:rsid w:val="0052410A"/>
    <w:rsid w:val="0052586C"/>
    <w:rsid w:val="00526CA7"/>
    <w:rsid w:val="005271EE"/>
    <w:rsid w:val="00530054"/>
    <w:rsid w:val="005316E3"/>
    <w:rsid w:val="00531DBF"/>
    <w:rsid w:val="00532AF5"/>
    <w:rsid w:val="00532C4F"/>
    <w:rsid w:val="005330D9"/>
    <w:rsid w:val="00533472"/>
    <w:rsid w:val="00533B9B"/>
    <w:rsid w:val="00534A49"/>
    <w:rsid w:val="0053527F"/>
    <w:rsid w:val="00535615"/>
    <w:rsid w:val="00535CBF"/>
    <w:rsid w:val="0053712A"/>
    <w:rsid w:val="0053755D"/>
    <w:rsid w:val="0054088E"/>
    <w:rsid w:val="00540B50"/>
    <w:rsid w:val="00540CA6"/>
    <w:rsid w:val="00540FDC"/>
    <w:rsid w:val="00541065"/>
    <w:rsid w:val="00541A5A"/>
    <w:rsid w:val="00545759"/>
    <w:rsid w:val="00545B31"/>
    <w:rsid w:val="00545BE0"/>
    <w:rsid w:val="00545D34"/>
    <w:rsid w:val="00546780"/>
    <w:rsid w:val="00546930"/>
    <w:rsid w:val="00547CD4"/>
    <w:rsid w:val="00547FCF"/>
    <w:rsid w:val="0055314F"/>
    <w:rsid w:val="00553193"/>
    <w:rsid w:val="00553915"/>
    <w:rsid w:val="00554429"/>
    <w:rsid w:val="00554C6A"/>
    <w:rsid w:val="00554F8B"/>
    <w:rsid w:val="005551A8"/>
    <w:rsid w:val="005556FF"/>
    <w:rsid w:val="0055588A"/>
    <w:rsid w:val="00555A89"/>
    <w:rsid w:val="0055604F"/>
    <w:rsid w:val="00556746"/>
    <w:rsid w:val="0055754E"/>
    <w:rsid w:val="00560401"/>
    <w:rsid w:val="005615E7"/>
    <w:rsid w:val="005618AF"/>
    <w:rsid w:val="00561D46"/>
    <w:rsid w:val="005622CF"/>
    <w:rsid w:val="00562E85"/>
    <w:rsid w:val="0056332F"/>
    <w:rsid w:val="00563FDB"/>
    <w:rsid w:val="00564FB9"/>
    <w:rsid w:val="00566257"/>
    <w:rsid w:val="0056627B"/>
    <w:rsid w:val="00570236"/>
    <w:rsid w:val="0057056B"/>
    <w:rsid w:val="00570F84"/>
    <w:rsid w:val="00570FA8"/>
    <w:rsid w:val="00571022"/>
    <w:rsid w:val="0057105E"/>
    <w:rsid w:val="005719B3"/>
    <w:rsid w:val="005719DB"/>
    <w:rsid w:val="005720A8"/>
    <w:rsid w:val="005721C4"/>
    <w:rsid w:val="005726D3"/>
    <w:rsid w:val="0057295E"/>
    <w:rsid w:val="00572CA9"/>
    <w:rsid w:val="005735CA"/>
    <w:rsid w:val="00573D80"/>
    <w:rsid w:val="0057403D"/>
    <w:rsid w:val="00574888"/>
    <w:rsid w:val="005753AF"/>
    <w:rsid w:val="005755C9"/>
    <w:rsid w:val="0057643E"/>
    <w:rsid w:val="0057658A"/>
    <w:rsid w:val="005775DB"/>
    <w:rsid w:val="00577B00"/>
    <w:rsid w:val="00577C22"/>
    <w:rsid w:val="00577E6B"/>
    <w:rsid w:val="00580C24"/>
    <w:rsid w:val="00580C7C"/>
    <w:rsid w:val="00581107"/>
    <w:rsid w:val="005818D2"/>
    <w:rsid w:val="00581C39"/>
    <w:rsid w:val="00583CC0"/>
    <w:rsid w:val="00584BD8"/>
    <w:rsid w:val="0058557A"/>
    <w:rsid w:val="00585736"/>
    <w:rsid w:val="00587FE5"/>
    <w:rsid w:val="005903B6"/>
    <w:rsid w:val="0059088D"/>
    <w:rsid w:val="005915A8"/>
    <w:rsid w:val="00591645"/>
    <w:rsid w:val="00591A6D"/>
    <w:rsid w:val="00593125"/>
    <w:rsid w:val="005941B0"/>
    <w:rsid w:val="00594CDE"/>
    <w:rsid w:val="00596227"/>
    <w:rsid w:val="00596555"/>
    <w:rsid w:val="005A0247"/>
    <w:rsid w:val="005A0383"/>
    <w:rsid w:val="005A126E"/>
    <w:rsid w:val="005A18D2"/>
    <w:rsid w:val="005A2602"/>
    <w:rsid w:val="005A312B"/>
    <w:rsid w:val="005A36AC"/>
    <w:rsid w:val="005A452F"/>
    <w:rsid w:val="005A615A"/>
    <w:rsid w:val="005A687E"/>
    <w:rsid w:val="005A6FBA"/>
    <w:rsid w:val="005A70F4"/>
    <w:rsid w:val="005A726A"/>
    <w:rsid w:val="005A7676"/>
    <w:rsid w:val="005A7D77"/>
    <w:rsid w:val="005B0323"/>
    <w:rsid w:val="005B046B"/>
    <w:rsid w:val="005B07F4"/>
    <w:rsid w:val="005B10FC"/>
    <w:rsid w:val="005B140D"/>
    <w:rsid w:val="005B2374"/>
    <w:rsid w:val="005B2483"/>
    <w:rsid w:val="005B2768"/>
    <w:rsid w:val="005B44FF"/>
    <w:rsid w:val="005B5165"/>
    <w:rsid w:val="005B5AF7"/>
    <w:rsid w:val="005B62AC"/>
    <w:rsid w:val="005B69BE"/>
    <w:rsid w:val="005B6F37"/>
    <w:rsid w:val="005B6F43"/>
    <w:rsid w:val="005C016A"/>
    <w:rsid w:val="005C0E93"/>
    <w:rsid w:val="005C1FEA"/>
    <w:rsid w:val="005C26AD"/>
    <w:rsid w:val="005C3495"/>
    <w:rsid w:val="005C3D50"/>
    <w:rsid w:val="005C46DC"/>
    <w:rsid w:val="005C59BF"/>
    <w:rsid w:val="005C59D5"/>
    <w:rsid w:val="005C6070"/>
    <w:rsid w:val="005C6C42"/>
    <w:rsid w:val="005D0811"/>
    <w:rsid w:val="005D0821"/>
    <w:rsid w:val="005D12C0"/>
    <w:rsid w:val="005D1A46"/>
    <w:rsid w:val="005D1E70"/>
    <w:rsid w:val="005D49D2"/>
    <w:rsid w:val="005D4A04"/>
    <w:rsid w:val="005D6FB5"/>
    <w:rsid w:val="005D7452"/>
    <w:rsid w:val="005D7DEF"/>
    <w:rsid w:val="005D7F6A"/>
    <w:rsid w:val="005E0329"/>
    <w:rsid w:val="005E0532"/>
    <w:rsid w:val="005E0E0F"/>
    <w:rsid w:val="005E164E"/>
    <w:rsid w:val="005E182E"/>
    <w:rsid w:val="005E25C4"/>
    <w:rsid w:val="005E2934"/>
    <w:rsid w:val="005E2C5C"/>
    <w:rsid w:val="005E3040"/>
    <w:rsid w:val="005E34E8"/>
    <w:rsid w:val="005E3D04"/>
    <w:rsid w:val="005E3DFC"/>
    <w:rsid w:val="005E4F8B"/>
    <w:rsid w:val="005E5942"/>
    <w:rsid w:val="005E5C19"/>
    <w:rsid w:val="005E5ECD"/>
    <w:rsid w:val="005E60AF"/>
    <w:rsid w:val="005F053E"/>
    <w:rsid w:val="005F1277"/>
    <w:rsid w:val="005F193B"/>
    <w:rsid w:val="005F1DEA"/>
    <w:rsid w:val="005F1EA2"/>
    <w:rsid w:val="005F1ED3"/>
    <w:rsid w:val="005F3D07"/>
    <w:rsid w:val="005F6B25"/>
    <w:rsid w:val="005F7D0F"/>
    <w:rsid w:val="006007BA"/>
    <w:rsid w:val="00600C43"/>
    <w:rsid w:val="00601472"/>
    <w:rsid w:val="00602144"/>
    <w:rsid w:val="00602B9B"/>
    <w:rsid w:val="00602E36"/>
    <w:rsid w:val="00603D02"/>
    <w:rsid w:val="00604A6C"/>
    <w:rsid w:val="00604DF9"/>
    <w:rsid w:val="00604FBE"/>
    <w:rsid w:val="00605797"/>
    <w:rsid w:val="00605BCD"/>
    <w:rsid w:val="00606784"/>
    <w:rsid w:val="006071ED"/>
    <w:rsid w:val="006072EB"/>
    <w:rsid w:val="00607892"/>
    <w:rsid w:val="00607C1F"/>
    <w:rsid w:val="00607FC9"/>
    <w:rsid w:val="006101FE"/>
    <w:rsid w:val="0061037C"/>
    <w:rsid w:val="00610CF0"/>
    <w:rsid w:val="0061100D"/>
    <w:rsid w:val="00612085"/>
    <w:rsid w:val="00612561"/>
    <w:rsid w:val="00612AFC"/>
    <w:rsid w:val="006130DD"/>
    <w:rsid w:val="00613553"/>
    <w:rsid w:val="006144E0"/>
    <w:rsid w:val="00614FEB"/>
    <w:rsid w:val="00616473"/>
    <w:rsid w:val="00617C4A"/>
    <w:rsid w:val="00617F77"/>
    <w:rsid w:val="00620195"/>
    <w:rsid w:val="006202B5"/>
    <w:rsid w:val="00621339"/>
    <w:rsid w:val="00621452"/>
    <w:rsid w:val="0062170C"/>
    <w:rsid w:val="00622A70"/>
    <w:rsid w:val="00622FE1"/>
    <w:rsid w:val="006231C3"/>
    <w:rsid w:val="00623287"/>
    <w:rsid w:val="00623398"/>
    <w:rsid w:val="006236C4"/>
    <w:rsid w:val="00624AC6"/>
    <w:rsid w:val="0062521C"/>
    <w:rsid w:val="00625970"/>
    <w:rsid w:val="006261B1"/>
    <w:rsid w:val="00626303"/>
    <w:rsid w:val="0062707B"/>
    <w:rsid w:val="006278D3"/>
    <w:rsid w:val="00627DFE"/>
    <w:rsid w:val="0063027C"/>
    <w:rsid w:val="006307F5"/>
    <w:rsid w:val="00630A2B"/>
    <w:rsid w:val="00632666"/>
    <w:rsid w:val="00632788"/>
    <w:rsid w:val="00632DC7"/>
    <w:rsid w:val="00633124"/>
    <w:rsid w:val="006338B9"/>
    <w:rsid w:val="00634833"/>
    <w:rsid w:val="00634C2A"/>
    <w:rsid w:val="0063571E"/>
    <w:rsid w:val="006357FB"/>
    <w:rsid w:val="00635999"/>
    <w:rsid w:val="006360DA"/>
    <w:rsid w:val="00637DA7"/>
    <w:rsid w:val="006406FC"/>
    <w:rsid w:val="00640C47"/>
    <w:rsid w:val="00640E57"/>
    <w:rsid w:val="00641CC7"/>
    <w:rsid w:val="00642317"/>
    <w:rsid w:val="006426A1"/>
    <w:rsid w:val="00642716"/>
    <w:rsid w:val="006433D4"/>
    <w:rsid w:val="00643E1D"/>
    <w:rsid w:val="00644B66"/>
    <w:rsid w:val="006455F7"/>
    <w:rsid w:val="006458D8"/>
    <w:rsid w:val="00646122"/>
    <w:rsid w:val="006466BD"/>
    <w:rsid w:val="00651598"/>
    <w:rsid w:val="0065306C"/>
    <w:rsid w:val="0065357F"/>
    <w:rsid w:val="00653626"/>
    <w:rsid w:val="00653E16"/>
    <w:rsid w:val="00654143"/>
    <w:rsid w:val="00654462"/>
    <w:rsid w:val="00654A7C"/>
    <w:rsid w:val="00654E12"/>
    <w:rsid w:val="00657220"/>
    <w:rsid w:val="00657362"/>
    <w:rsid w:val="0066104B"/>
    <w:rsid w:val="00663735"/>
    <w:rsid w:val="00663AC7"/>
    <w:rsid w:val="00663BF5"/>
    <w:rsid w:val="0066421B"/>
    <w:rsid w:val="00664D73"/>
    <w:rsid w:val="006655EE"/>
    <w:rsid w:val="00665A7A"/>
    <w:rsid w:val="0066618B"/>
    <w:rsid w:val="00666208"/>
    <w:rsid w:val="00666617"/>
    <w:rsid w:val="006674A1"/>
    <w:rsid w:val="00667C10"/>
    <w:rsid w:val="00667EF4"/>
    <w:rsid w:val="0067188C"/>
    <w:rsid w:val="00671A52"/>
    <w:rsid w:val="00671C59"/>
    <w:rsid w:val="00672569"/>
    <w:rsid w:val="0067273A"/>
    <w:rsid w:val="006731DA"/>
    <w:rsid w:val="00673B70"/>
    <w:rsid w:val="00676FCA"/>
    <w:rsid w:val="00677177"/>
    <w:rsid w:val="00677969"/>
    <w:rsid w:val="00680296"/>
    <w:rsid w:val="00680702"/>
    <w:rsid w:val="0068281F"/>
    <w:rsid w:val="00683A79"/>
    <w:rsid w:val="00685931"/>
    <w:rsid w:val="00685F81"/>
    <w:rsid w:val="0068612E"/>
    <w:rsid w:val="00686D04"/>
    <w:rsid w:val="00686E82"/>
    <w:rsid w:val="006872EA"/>
    <w:rsid w:val="00687362"/>
    <w:rsid w:val="00687509"/>
    <w:rsid w:val="00687705"/>
    <w:rsid w:val="00687C92"/>
    <w:rsid w:val="00690F93"/>
    <w:rsid w:val="00691C24"/>
    <w:rsid w:val="0069371D"/>
    <w:rsid w:val="0069372D"/>
    <w:rsid w:val="0069534E"/>
    <w:rsid w:val="0069669C"/>
    <w:rsid w:val="006966CE"/>
    <w:rsid w:val="00696C74"/>
    <w:rsid w:val="006A0A85"/>
    <w:rsid w:val="006A1200"/>
    <w:rsid w:val="006A23BE"/>
    <w:rsid w:val="006A31A4"/>
    <w:rsid w:val="006A47BC"/>
    <w:rsid w:val="006A4F4E"/>
    <w:rsid w:val="006A61BE"/>
    <w:rsid w:val="006A6C23"/>
    <w:rsid w:val="006A6CE7"/>
    <w:rsid w:val="006A7A05"/>
    <w:rsid w:val="006B0B5A"/>
    <w:rsid w:val="006B0E1B"/>
    <w:rsid w:val="006B13C7"/>
    <w:rsid w:val="006B14DB"/>
    <w:rsid w:val="006B1D4B"/>
    <w:rsid w:val="006B21C4"/>
    <w:rsid w:val="006B49F4"/>
    <w:rsid w:val="006B4C2D"/>
    <w:rsid w:val="006B557E"/>
    <w:rsid w:val="006B5663"/>
    <w:rsid w:val="006B598A"/>
    <w:rsid w:val="006B66B1"/>
    <w:rsid w:val="006B6A40"/>
    <w:rsid w:val="006C0F0E"/>
    <w:rsid w:val="006C103F"/>
    <w:rsid w:val="006C13CE"/>
    <w:rsid w:val="006C2568"/>
    <w:rsid w:val="006C2897"/>
    <w:rsid w:val="006C311D"/>
    <w:rsid w:val="006C39A9"/>
    <w:rsid w:val="006C4A0D"/>
    <w:rsid w:val="006C4A1A"/>
    <w:rsid w:val="006C5762"/>
    <w:rsid w:val="006C594D"/>
    <w:rsid w:val="006C6B81"/>
    <w:rsid w:val="006C7AA7"/>
    <w:rsid w:val="006C7D2D"/>
    <w:rsid w:val="006C7EBF"/>
    <w:rsid w:val="006D0393"/>
    <w:rsid w:val="006D0627"/>
    <w:rsid w:val="006D088C"/>
    <w:rsid w:val="006D0BFE"/>
    <w:rsid w:val="006D1A61"/>
    <w:rsid w:val="006D1A83"/>
    <w:rsid w:val="006D2918"/>
    <w:rsid w:val="006D2C75"/>
    <w:rsid w:val="006D33A4"/>
    <w:rsid w:val="006D34A6"/>
    <w:rsid w:val="006D3620"/>
    <w:rsid w:val="006D3DA7"/>
    <w:rsid w:val="006D3F9D"/>
    <w:rsid w:val="006D4357"/>
    <w:rsid w:val="006D54E3"/>
    <w:rsid w:val="006D5E01"/>
    <w:rsid w:val="006D5F91"/>
    <w:rsid w:val="006D6093"/>
    <w:rsid w:val="006D65A2"/>
    <w:rsid w:val="006D67D5"/>
    <w:rsid w:val="006D7E93"/>
    <w:rsid w:val="006E15E2"/>
    <w:rsid w:val="006E1CFE"/>
    <w:rsid w:val="006E309E"/>
    <w:rsid w:val="006F0940"/>
    <w:rsid w:val="006F10C4"/>
    <w:rsid w:val="006F16E6"/>
    <w:rsid w:val="006F1AC9"/>
    <w:rsid w:val="006F40E9"/>
    <w:rsid w:val="006F4132"/>
    <w:rsid w:val="006F44BA"/>
    <w:rsid w:val="006F4CD4"/>
    <w:rsid w:val="006F5479"/>
    <w:rsid w:val="006F5603"/>
    <w:rsid w:val="006F59D3"/>
    <w:rsid w:val="006F5B46"/>
    <w:rsid w:val="006F7B87"/>
    <w:rsid w:val="00700326"/>
    <w:rsid w:val="00701400"/>
    <w:rsid w:val="00701B63"/>
    <w:rsid w:val="00701B6C"/>
    <w:rsid w:val="00702929"/>
    <w:rsid w:val="00702D11"/>
    <w:rsid w:val="007037CF"/>
    <w:rsid w:val="00704050"/>
    <w:rsid w:val="007047CE"/>
    <w:rsid w:val="00705202"/>
    <w:rsid w:val="0070593A"/>
    <w:rsid w:val="00707694"/>
    <w:rsid w:val="007115F7"/>
    <w:rsid w:val="0071178E"/>
    <w:rsid w:val="0071263C"/>
    <w:rsid w:val="0071310A"/>
    <w:rsid w:val="00713573"/>
    <w:rsid w:val="00713A44"/>
    <w:rsid w:val="00714211"/>
    <w:rsid w:val="0071442E"/>
    <w:rsid w:val="00714BEF"/>
    <w:rsid w:val="007157A9"/>
    <w:rsid w:val="00715A31"/>
    <w:rsid w:val="007167C0"/>
    <w:rsid w:val="00720481"/>
    <w:rsid w:val="00720D0B"/>
    <w:rsid w:val="00721716"/>
    <w:rsid w:val="00721E1C"/>
    <w:rsid w:val="00723712"/>
    <w:rsid w:val="00723FA3"/>
    <w:rsid w:val="00725557"/>
    <w:rsid w:val="0072616F"/>
    <w:rsid w:val="00727522"/>
    <w:rsid w:val="007276F3"/>
    <w:rsid w:val="00727A6F"/>
    <w:rsid w:val="00727C4B"/>
    <w:rsid w:val="00727DDC"/>
    <w:rsid w:val="00730723"/>
    <w:rsid w:val="00730942"/>
    <w:rsid w:val="00730A73"/>
    <w:rsid w:val="00730AD4"/>
    <w:rsid w:val="00730F06"/>
    <w:rsid w:val="00731552"/>
    <w:rsid w:val="00732BE8"/>
    <w:rsid w:val="00733193"/>
    <w:rsid w:val="007331C7"/>
    <w:rsid w:val="0073333E"/>
    <w:rsid w:val="0073341A"/>
    <w:rsid w:val="00733A75"/>
    <w:rsid w:val="00736076"/>
    <w:rsid w:val="007371E4"/>
    <w:rsid w:val="00737986"/>
    <w:rsid w:val="00740037"/>
    <w:rsid w:val="00740174"/>
    <w:rsid w:val="00740DC7"/>
    <w:rsid w:val="0074191B"/>
    <w:rsid w:val="00742AC7"/>
    <w:rsid w:val="007448C7"/>
    <w:rsid w:val="00744AE1"/>
    <w:rsid w:val="00744CC4"/>
    <w:rsid w:val="00744DDA"/>
    <w:rsid w:val="00745E03"/>
    <w:rsid w:val="007468C7"/>
    <w:rsid w:val="0074690E"/>
    <w:rsid w:val="00746AE2"/>
    <w:rsid w:val="007503E9"/>
    <w:rsid w:val="007506E3"/>
    <w:rsid w:val="00750C96"/>
    <w:rsid w:val="007511F1"/>
    <w:rsid w:val="00751EA7"/>
    <w:rsid w:val="0075201C"/>
    <w:rsid w:val="00752402"/>
    <w:rsid w:val="007524D2"/>
    <w:rsid w:val="00752E34"/>
    <w:rsid w:val="00753942"/>
    <w:rsid w:val="00756C4D"/>
    <w:rsid w:val="00756CBC"/>
    <w:rsid w:val="0075732A"/>
    <w:rsid w:val="0075755F"/>
    <w:rsid w:val="007600F8"/>
    <w:rsid w:val="0076014E"/>
    <w:rsid w:val="00760262"/>
    <w:rsid w:val="00761978"/>
    <w:rsid w:val="00762025"/>
    <w:rsid w:val="007621E4"/>
    <w:rsid w:val="007629E2"/>
    <w:rsid w:val="007629E8"/>
    <w:rsid w:val="0076310C"/>
    <w:rsid w:val="00763307"/>
    <w:rsid w:val="0076331D"/>
    <w:rsid w:val="00763A42"/>
    <w:rsid w:val="00764248"/>
    <w:rsid w:val="007649CB"/>
    <w:rsid w:val="00764D23"/>
    <w:rsid w:val="0076502E"/>
    <w:rsid w:val="0076526E"/>
    <w:rsid w:val="0076543C"/>
    <w:rsid w:val="00765694"/>
    <w:rsid w:val="00765C44"/>
    <w:rsid w:val="00765D81"/>
    <w:rsid w:val="00765FE5"/>
    <w:rsid w:val="00766D45"/>
    <w:rsid w:val="00766EAD"/>
    <w:rsid w:val="0076744F"/>
    <w:rsid w:val="0076757C"/>
    <w:rsid w:val="00767BCE"/>
    <w:rsid w:val="00767EFC"/>
    <w:rsid w:val="0077010E"/>
    <w:rsid w:val="007704EA"/>
    <w:rsid w:val="0077051E"/>
    <w:rsid w:val="00770523"/>
    <w:rsid w:val="007707DE"/>
    <w:rsid w:val="00770B5D"/>
    <w:rsid w:val="00770DC8"/>
    <w:rsid w:val="007731AF"/>
    <w:rsid w:val="00774171"/>
    <w:rsid w:val="00774769"/>
    <w:rsid w:val="00774888"/>
    <w:rsid w:val="00774D1D"/>
    <w:rsid w:val="00774F47"/>
    <w:rsid w:val="007752F1"/>
    <w:rsid w:val="00775B19"/>
    <w:rsid w:val="00775C9D"/>
    <w:rsid w:val="00776768"/>
    <w:rsid w:val="00776ED0"/>
    <w:rsid w:val="00777234"/>
    <w:rsid w:val="0077736C"/>
    <w:rsid w:val="00780104"/>
    <w:rsid w:val="0078064E"/>
    <w:rsid w:val="007810B9"/>
    <w:rsid w:val="0078187A"/>
    <w:rsid w:val="007835F3"/>
    <w:rsid w:val="0078378E"/>
    <w:rsid w:val="0078462C"/>
    <w:rsid w:val="007875F9"/>
    <w:rsid w:val="00787C77"/>
    <w:rsid w:val="00790495"/>
    <w:rsid w:val="0079062F"/>
    <w:rsid w:val="00790796"/>
    <w:rsid w:val="0079159C"/>
    <w:rsid w:val="00792131"/>
    <w:rsid w:val="00793D89"/>
    <w:rsid w:val="00794D5B"/>
    <w:rsid w:val="00794ED8"/>
    <w:rsid w:val="0079501C"/>
    <w:rsid w:val="00795E8E"/>
    <w:rsid w:val="0079719B"/>
    <w:rsid w:val="007A1076"/>
    <w:rsid w:val="007A1296"/>
    <w:rsid w:val="007A22DC"/>
    <w:rsid w:val="007A23B8"/>
    <w:rsid w:val="007A2573"/>
    <w:rsid w:val="007A2633"/>
    <w:rsid w:val="007A2705"/>
    <w:rsid w:val="007A34C0"/>
    <w:rsid w:val="007A4EDD"/>
    <w:rsid w:val="007A58FF"/>
    <w:rsid w:val="007A6238"/>
    <w:rsid w:val="007A722E"/>
    <w:rsid w:val="007A7CD4"/>
    <w:rsid w:val="007B0485"/>
    <w:rsid w:val="007B0B48"/>
    <w:rsid w:val="007B106C"/>
    <w:rsid w:val="007B1A4E"/>
    <w:rsid w:val="007B23F3"/>
    <w:rsid w:val="007B2551"/>
    <w:rsid w:val="007B2A4A"/>
    <w:rsid w:val="007B2AAC"/>
    <w:rsid w:val="007B32D7"/>
    <w:rsid w:val="007B3D05"/>
    <w:rsid w:val="007B49EE"/>
    <w:rsid w:val="007B51E2"/>
    <w:rsid w:val="007B5503"/>
    <w:rsid w:val="007B5A39"/>
    <w:rsid w:val="007B5F3D"/>
    <w:rsid w:val="007B7C31"/>
    <w:rsid w:val="007B7D6E"/>
    <w:rsid w:val="007C0307"/>
    <w:rsid w:val="007C040B"/>
    <w:rsid w:val="007C08FD"/>
    <w:rsid w:val="007C0D53"/>
    <w:rsid w:val="007C179C"/>
    <w:rsid w:val="007C2E28"/>
    <w:rsid w:val="007C30C8"/>
    <w:rsid w:val="007C3298"/>
    <w:rsid w:val="007C33DD"/>
    <w:rsid w:val="007C4381"/>
    <w:rsid w:val="007C64E2"/>
    <w:rsid w:val="007C6718"/>
    <w:rsid w:val="007C69AF"/>
    <w:rsid w:val="007C6BB3"/>
    <w:rsid w:val="007C769F"/>
    <w:rsid w:val="007D06FB"/>
    <w:rsid w:val="007D0BD1"/>
    <w:rsid w:val="007D12C2"/>
    <w:rsid w:val="007D14B4"/>
    <w:rsid w:val="007D172E"/>
    <w:rsid w:val="007D2309"/>
    <w:rsid w:val="007D25BD"/>
    <w:rsid w:val="007D39BD"/>
    <w:rsid w:val="007D3AD7"/>
    <w:rsid w:val="007D4ECE"/>
    <w:rsid w:val="007D4FC6"/>
    <w:rsid w:val="007D5B02"/>
    <w:rsid w:val="007D5BC6"/>
    <w:rsid w:val="007D5EBA"/>
    <w:rsid w:val="007D6437"/>
    <w:rsid w:val="007D699A"/>
    <w:rsid w:val="007D6D85"/>
    <w:rsid w:val="007D7DE4"/>
    <w:rsid w:val="007D7F4A"/>
    <w:rsid w:val="007E071C"/>
    <w:rsid w:val="007E0899"/>
    <w:rsid w:val="007E16F9"/>
    <w:rsid w:val="007E2156"/>
    <w:rsid w:val="007E2395"/>
    <w:rsid w:val="007E23BA"/>
    <w:rsid w:val="007E24F4"/>
    <w:rsid w:val="007E24F6"/>
    <w:rsid w:val="007E2603"/>
    <w:rsid w:val="007E3034"/>
    <w:rsid w:val="007E3143"/>
    <w:rsid w:val="007E4350"/>
    <w:rsid w:val="007E4CAC"/>
    <w:rsid w:val="007E56F5"/>
    <w:rsid w:val="007E600B"/>
    <w:rsid w:val="007E6031"/>
    <w:rsid w:val="007E67EB"/>
    <w:rsid w:val="007E6882"/>
    <w:rsid w:val="007E6CA7"/>
    <w:rsid w:val="007E78D9"/>
    <w:rsid w:val="007F129E"/>
    <w:rsid w:val="007F1BEF"/>
    <w:rsid w:val="007F1F76"/>
    <w:rsid w:val="007F2021"/>
    <w:rsid w:val="007F2936"/>
    <w:rsid w:val="007F3B75"/>
    <w:rsid w:val="007F4637"/>
    <w:rsid w:val="007F5604"/>
    <w:rsid w:val="007F652F"/>
    <w:rsid w:val="007F6755"/>
    <w:rsid w:val="007F6D9F"/>
    <w:rsid w:val="007F768F"/>
    <w:rsid w:val="007F799F"/>
    <w:rsid w:val="007F7C4E"/>
    <w:rsid w:val="00800057"/>
    <w:rsid w:val="008009D7"/>
    <w:rsid w:val="00800F64"/>
    <w:rsid w:val="00801050"/>
    <w:rsid w:val="00801142"/>
    <w:rsid w:val="00802206"/>
    <w:rsid w:val="0080246B"/>
    <w:rsid w:val="008026A2"/>
    <w:rsid w:val="00802ACC"/>
    <w:rsid w:val="00802F0B"/>
    <w:rsid w:val="008036E8"/>
    <w:rsid w:val="00804476"/>
    <w:rsid w:val="008048A8"/>
    <w:rsid w:val="00805F25"/>
    <w:rsid w:val="008064F8"/>
    <w:rsid w:val="00806682"/>
    <w:rsid w:val="008066C0"/>
    <w:rsid w:val="00806CE9"/>
    <w:rsid w:val="00810894"/>
    <w:rsid w:val="00810A67"/>
    <w:rsid w:val="0081113D"/>
    <w:rsid w:val="00811642"/>
    <w:rsid w:val="008125E5"/>
    <w:rsid w:val="008134B7"/>
    <w:rsid w:val="008142E3"/>
    <w:rsid w:val="00814858"/>
    <w:rsid w:val="0082246C"/>
    <w:rsid w:val="00822783"/>
    <w:rsid w:val="00822F53"/>
    <w:rsid w:val="00823910"/>
    <w:rsid w:val="00824B78"/>
    <w:rsid w:val="00824FCD"/>
    <w:rsid w:val="00826A75"/>
    <w:rsid w:val="00827C8A"/>
    <w:rsid w:val="008313E8"/>
    <w:rsid w:val="0083160C"/>
    <w:rsid w:val="00831C61"/>
    <w:rsid w:val="008326E5"/>
    <w:rsid w:val="00833CF7"/>
    <w:rsid w:val="0083437B"/>
    <w:rsid w:val="00834674"/>
    <w:rsid w:val="00834853"/>
    <w:rsid w:val="008349A2"/>
    <w:rsid w:val="00834A7F"/>
    <w:rsid w:val="00834CDE"/>
    <w:rsid w:val="008354DF"/>
    <w:rsid w:val="0083635C"/>
    <w:rsid w:val="00836807"/>
    <w:rsid w:val="00837A59"/>
    <w:rsid w:val="00840ACE"/>
    <w:rsid w:val="0084214F"/>
    <w:rsid w:val="00842464"/>
    <w:rsid w:val="0084297E"/>
    <w:rsid w:val="00843900"/>
    <w:rsid w:val="00845601"/>
    <w:rsid w:val="00845C78"/>
    <w:rsid w:val="00845E09"/>
    <w:rsid w:val="00846A76"/>
    <w:rsid w:val="00846C70"/>
    <w:rsid w:val="0084761D"/>
    <w:rsid w:val="00847C09"/>
    <w:rsid w:val="008511F0"/>
    <w:rsid w:val="00851456"/>
    <w:rsid w:val="00851938"/>
    <w:rsid w:val="00851AEB"/>
    <w:rsid w:val="00853270"/>
    <w:rsid w:val="00853305"/>
    <w:rsid w:val="00854295"/>
    <w:rsid w:val="0085468F"/>
    <w:rsid w:val="008559D1"/>
    <w:rsid w:val="00855C5C"/>
    <w:rsid w:val="00855D90"/>
    <w:rsid w:val="00855EDB"/>
    <w:rsid w:val="008568FC"/>
    <w:rsid w:val="00856979"/>
    <w:rsid w:val="008579F0"/>
    <w:rsid w:val="00860954"/>
    <w:rsid w:val="00861741"/>
    <w:rsid w:val="00861E5B"/>
    <w:rsid w:val="00863C4B"/>
    <w:rsid w:val="00863D91"/>
    <w:rsid w:val="0086447E"/>
    <w:rsid w:val="00864612"/>
    <w:rsid w:val="00865794"/>
    <w:rsid w:val="008661A1"/>
    <w:rsid w:val="00866281"/>
    <w:rsid w:val="008662E0"/>
    <w:rsid w:val="008665F8"/>
    <w:rsid w:val="008666AD"/>
    <w:rsid w:val="00866D35"/>
    <w:rsid w:val="00867932"/>
    <w:rsid w:val="00867D18"/>
    <w:rsid w:val="00867E07"/>
    <w:rsid w:val="00871B24"/>
    <w:rsid w:val="00871C38"/>
    <w:rsid w:val="00871E51"/>
    <w:rsid w:val="00872E02"/>
    <w:rsid w:val="008730C1"/>
    <w:rsid w:val="00873D38"/>
    <w:rsid w:val="00874D01"/>
    <w:rsid w:val="00874FE4"/>
    <w:rsid w:val="00875BC3"/>
    <w:rsid w:val="0087603B"/>
    <w:rsid w:val="0087631E"/>
    <w:rsid w:val="0088064A"/>
    <w:rsid w:val="008809F8"/>
    <w:rsid w:val="00881081"/>
    <w:rsid w:val="00881C48"/>
    <w:rsid w:val="0088288C"/>
    <w:rsid w:val="00883AA2"/>
    <w:rsid w:val="00883BD2"/>
    <w:rsid w:val="008845B6"/>
    <w:rsid w:val="00885965"/>
    <w:rsid w:val="00886CD1"/>
    <w:rsid w:val="00886E08"/>
    <w:rsid w:val="00887187"/>
    <w:rsid w:val="0088748C"/>
    <w:rsid w:val="008903FF"/>
    <w:rsid w:val="00890427"/>
    <w:rsid w:val="008909F3"/>
    <w:rsid w:val="00890A5A"/>
    <w:rsid w:val="008921D4"/>
    <w:rsid w:val="008927AB"/>
    <w:rsid w:val="00892B4E"/>
    <w:rsid w:val="00893077"/>
    <w:rsid w:val="008949DA"/>
    <w:rsid w:val="00895012"/>
    <w:rsid w:val="00896D55"/>
    <w:rsid w:val="00897125"/>
    <w:rsid w:val="008972AE"/>
    <w:rsid w:val="008A18E8"/>
    <w:rsid w:val="008A1BB0"/>
    <w:rsid w:val="008A28DF"/>
    <w:rsid w:val="008A2D35"/>
    <w:rsid w:val="008A31B8"/>
    <w:rsid w:val="008A3C96"/>
    <w:rsid w:val="008A42E0"/>
    <w:rsid w:val="008A4C03"/>
    <w:rsid w:val="008A5156"/>
    <w:rsid w:val="008A6855"/>
    <w:rsid w:val="008A75CF"/>
    <w:rsid w:val="008B0415"/>
    <w:rsid w:val="008B04DC"/>
    <w:rsid w:val="008B25E2"/>
    <w:rsid w:val="008B2C11"/>
    <w:rsid w:val="008B3D83"/>
    <w:rsid w:val="008B4019"/>
    <w:rsid w:val="008B414B"/>
    <w:rsid w:val="008B4AC5"/>
    <w:rsid w:val="008B4DC7"/>
    <w:rsid w:val="008B5F06"/>
    <w:rsid w:val="008B62C0"/>
    <w:rsid w:val="008B65C9"/>
    <w:rsid w:val="008B692B"/>
    <w:rsid w:val="008B7315"/>
    <w:rsid w:val="008B7CAA"/>
    <w:rsid w:val="008C05A9"/>
    <w:rsid w:val="008C0B38"/>
    <w:rsid w:val="008C0FF7"/>
    <w:rsid w:val="008C20AA"/>
    <w:rsid w:val="008C2D4A"/>
    <w:rsid w:val="008C3286"/>
    <w:rsid w:val="008C34F4"/>
    <w:rsid w:val="008C41B8"/>
    <w:rsid w:val="008C5689"/>
    <w:rsid w:val="008C654B"/>
    <w:rsid w:val="008D3900"/>
    <w:rsid w:val="008D39B8"/>
    <w:rsid w:val="008D3CE4"/>
    <w:rsid w:val="008D4FA5"/>
    <w:rsid w:val="008D6E1D"/>
    <w:rsid w:val="008D7099"/>
    <w:rsid w:val="008D77A9"/>
    <w:rsid w:val="008E1BF2"/>
    <w:rsid w:val="008E2BA4"/>
    <w:rsid w:val="008E3399"/>
    <w:rsid w:val="008E3652"/>
    <w:rsid w:val="008E4614"/>
    <w:rsid w:val="008E76BD"/>
    <w:rsid w:val="008E7EFF"/>
    <w:rsid w:val="008F061F"/>
    <w:rsid w:val="008F0C62"/>
    <w:rsid w:val="008F0C89"/>
    <w:rsid w:val="008F16A7"/>
    <w:rsid w:val="008F18C8"/>
    <w:rsid w:val="008F1DFC"/>
    <w:rsid w:val="008F2243"/>
    <w:rsid w:val="008F25BC"/>
    <w:rsid w:val="008F2788"/>
    <w:rsid w:val="008F2938"/>
    <w:rsid w:val="008F2EE6"/>
    <w:rsid w:val="008F3751"/>
    <w:rsid w:val="008F39B4"/>
    <w:rsid w:val="008F3E68"/>
    <w:rsid w:val="008F3EF4"/>
    <w:rsid w:val="008F4058"/>
    <w:rsid w:val="008F4162"/>
    <w:rsid w:val="008F5261"/>
    <w:rsid w:val="008F58DC"/>
    <w:rsid w:val="008F719B"/>
    <w:rsid w:val="008F73B5"/>
    <w:rsid w:val="00900253"/>
    <w:rsid w:val="009014F0"/>
    <w:rsid w:val="00901501"/>
    <w:rsid w:val="009018C2"/>
    <w:rsid w:val="00901BD2"/>
    <w:rsid w:val="009036E8"/>
    <w:rsid w:val="00903E02"/>
    <w:rsid w:val="0090433B"/>
    <w:rsid w:val="0090460A"/>
    <w:rsid w:val="00904B71"/>
    <w:rsid w:val="00905676"/>
    <w:rsid w:val="00905D9B"/>
    <w:rsid w:val="00905EE7"/>
    <w:rsid w:val="009064FF"/>
    <w:rsid w:val="0091154F"/>
    <w:rsid w:val="00911BFB"/>
    <w:rsid w:val="00912029"/>
    <w:rsid w:val="009122CF"/>
    <w:rsid w:val="00913175"/>
    <w:rsid w:val="00915B89"/>
    <w:rsid w:val="00916EDB"/>
    <w:rsid w:val="00920608"/>
    <w:rsid w:val="009206C1"/>
    <w:rsid w:val="0092074E"/>
    <w:rsid w:val="00920796"/>
    <w:rsid w:val="00920861"/>
    <w:rsid w:val="0092126B"/>
    <w:rsid w:val="009214A3"/>
    <w:rsid w:val="00922B13"/>
    <w:rsid w:val="0092340D"/>
    <w:rsid w:val="00924141"/>
    <w:rsid w:val="00924203"/>
    <w:rsid w:val="009242EF"/>
    <w:rsid w:val="00924971"/>
    <w:rsid w:val="009249FA"/>
    <w:rsid w:val="00924BB4"/>
    <w:rsid w:val="00925D0F"/>
    <w:rsid w:val="00925D7B"/>
    <w:rsid w:val="00925E9F"/>
    <w:rsid w:val="009261CB"/>
    <w:rsid w:val="00930030"/>
    <w:rsid w:val="0093022D"/>
    <w:rsid w:val="00930412"/>
    <w:rsid w:val="00932291"/>
    <w:rsid w:val="0093236C"/>
    <w:rsid w:val="00932506"/>
    <w:rsid w:val="00932861"/>
    <w:rsid w:val="00932A37"/>
    <w:rsid w:val="009332CF"/>
    <w:rsid w:val="00933581"/>
    <w:rsid w:val="00933EC6"/>
    <w:rsid w:val="00933EF3"/>
    <w:rsid w:val="0093408E"/>
    <w:rsid w:val="009360B0"/>
    <w:rsid w:val="00936BBE"/>
    <w:rsid w:val="00937637"/>
    <w:rsid w:val="0094109B"/>
    <w:rsid w:val="009420DA"/>
    <w:rsid w:val="009436C2"/>
    <w:rsid w:val="009445E6"/>
    <w:rsid w:val="009452F3"/>
    <w:rsid w:val="00946048"/>
    <w:rsid w:val="009476C1"/>
    <w:rsid w:val="00947FE6"/>
    <w:rsid w:val="00950196"/>
    <w:rsid w:val="009509DC"/>
    <w:rsid w:val="00950FFE"/>
    <w:rsid w:val="009517EA"/>
    <w:rsid w:val="009518D9"/>
    <w:rsid w:val="00951D3E"/>
    <w:rsid w:val="00952633"/>
    <w:rsid w:val="00952DDF"/>
    <w:rsid w:val="0095345C"/>
    <w:rsid w:val="00953D9C"/>
    <w:rsid w:val="00953DCD"/>
    <w:rsid w:val="0095458F"/>
    <w:rsid w:val="0095535F"/>
    <w:rsid w:val="00955B92"/>
    <w:rsid w:val="00956380"/>
    <w:rsid w:val="009565C4"/>
    <w:rsid w:val="009576F2"/>
    <w:rsid w:val="00957981"/>
    <w:rsid w:val="00957D7D"/>
    <w:rsid w:val="00957D99"/>
    <w:rsid w:val="00957DCE"/>
    <w:rsid w:val="00957E6F"/>
    <w:rsid w:val="009610A3"/>
    <w:rsid w:val="009634F5"/>
    <w:rsid w:val="0096387E"/>
    <w:rsid w:val="00963B6A"/>
    <w:rsid w:val="00965150"/>
    <w:rsid w:val="00966250"/>
    <w:rsid w:val="00966DA5"/>
    <w:rsid w:val="00967597"/>
    <w:rsid w:val="00970027"/>
    <w:rsid w:val="009700E1"/>
    <w:rsid w:val="009701AE"/>
    <w:rsid w:val="009708A5"/>
    <w:rsid w:val="00970950"/>
    <w:rsid w:val="0097161C"/>
    <w:rsid w:val="00971C70"/>
    <w:rsid w:val="009723C6"/>
    <w:rsid w:val="00972950"/>
    <w:rsid w:val="00972A47"/>
    <w:rsid w:val="00972BF4"/>
    <w:rsid w:val="0097306A"/>
    <w:rsid w:val="009731E0"/>
    <w:rsid w:val="009738AE"/>
    <w:rsid w:val="009738BF"/>
    <w:rsid w:val="0097482A"/>
    <w:rsid w:val="00974ADE"/>
    <w:rsid w:val="00974FFE"/>
    <w:rsid w:val="009750E0"/>
    <w:rsid w:val="00975749"/>
    <w:rsid w:val="0097592D"/>
    <w:rsid w:val="00975C92"/>
    <w:rsid w:val="00976697"/>
    <w:rsid w:val="009775CC"/>
    <w:rsid w:val="00977F96"/>
    <w:rsid w:val="00980362"/>
    <w:rsid w:val="00980514"/>
    <w:rsid w:val="00980EFF"/>
    <w:rsid w:val="009812D4"/>
    <w:rsid w:val="009818BA"/>
    <w:rsid w:val="009824A2"/>
    <w:rsid w:val="00982651"/>
    <w:rsid w:val="00982ADC"/>
    <w:rsid w:val="00982CD6"/>
    <w:rsid w:val="00982F9F"/>
    <w:rsid w:val="00983017"/>
    <w:rsid w:val="00983505"/>
    <w:rsid w:val="0098396F"/>
    <w:rsid w:val="00984AC3"/>
    <w:rsid w:val="00984E8E"/>
    <w:rsid w:val="00985556"/>
    <w:rsid w:val="0098589F"/>
    <w:rsid w:val="0098657B"/>
    <w:rsid w:val="00987196"/>
    <w:rsid w:val="00987228"/>
    <w:rsid w:val="009873F6"/>
    <w:rsid w:val="009908F8"/>
    <w:rsid w:val="00991580"/>
    <w:rsid w:val="00991ED0"/>
    <w:rsid w:val="009920D8"/>
    <w:rsid w:val="0099450E"/>
    <w:rsid w:val="00994EF7"/>
    <w:rsid w:val="009952F5"/>
    <w:rsid w:val="00996E26"/>
    <w:rsid w:val="009978DB"/>
    <w:rsid w:val="009A0D87"/>
    <w:rsid w:val="009A0FEE"/>
    <w:rsid w:val="009A1E75"/>
    <w:rsid w:val="009A20C9"/>
    <w:rsid w:val="009A2555"/>
    <w:rsid w:val="009A2702"/>
    <w:rsid w:val="009A284B"/>
    <w:rsid w:val="009A2F60"/>
    <w:rsid w:val="009A3934"/>
    <w:rsid w:val="009A3C7A"/>
    <w:rsid w:val="009A3D09"/>
    <w:rsid w:val="009A4311"/>
    <w:rsid w:val="009A47DE"/>
    <w:rsid w:val="009A62EC"/>
    <w:rsid w:val="009A663E"/>
    <w:rsid w:val="009B0E04"/>
    <w:rsid w:val="009B27D8"/>
    <w:rsid w:val="009B32C5"/>
    <w:rsid w:val="009B38BE"/>
    <w:rsid w:val="009B52F8"/>
    <w:rsid w:val="009B59D1"/>
    <w:rsid w:val="009B5D1F"/>
    <w:rsid w:val="009B6D09"/>
    <w:rsid w:val="009B78AC"/>
    <w:rsid w:val="009C0982"/>
    <w:rsid w:val="009C151C"/>
    <w:rsid w:val="009C20A6"/>
    <w:rsid w:val="009C3D0F"/>
    <w:rsid w:val="009C41E0"/>
    <w:rsid w:val="009C4BF5"/>
    <w:rsid w:val="009C52F7"/>
    <w:rsid w:val="009C5ED0"/>
    <w:rsid w:val="009C72A7"/>
    <w:rsid w:val="009D1932"/>
    <w:rsid w:val="009D229B"/>
    <w:rsid w:val="009D26D5"/>
    <w:rsid w:val="009D2CDA"/>
    <w:rsid w:val="009D2E79"/>
    <w:rsid w:val="009D337A"/>
    <w:rsid w:val="009D38A9"/>
    <w:rsid w:val="009D38C5"/>
    <w:rsid w:val="009D44EB"/>
    <w:rsid w:val="009D5E67"/>
    <w:rsid w:val="009D7FFA"/>
    <w:rsid w:val="009E159B"/>
    <w:rsid w:val="009E15AA"/>
    <w:rsid w:val="009E1B19"/>
    <w:rsid w:val="009E2F21"/>
    <w:rsid w:val="009E2F78"/>
    <w:rsid w:val="009E3446"/>
    <w:rsid w:val="009E3EB7"/>
    <w:rsid w:val="009E400D"/>
    <w:rsid w:val="009E6CD2"/>
    <w:rsid w:val="009E7088"/>
    <w:rsid w:val="009E75DB"/>
    <w:rsid w:val="009F033A"/>
    <w:rsid w:val="009F0592"/>
    <w:rsid w:val="009F0CE2"/>
    <w:rsid w:val="009F0E22"/>
    <w:rsid w:val="009F13B8"/>
    <w:rsid w:val="009F1D2A"/>
    <w:rsid w:val="009F23CF"/>
    <w:rsid w:val="009F256A"/>
    <w:rsid w:val="009F2EA4"/>
    <w:rsid w:val="009F35E2"/>
    <w:rsid w:val="009F467A"/>
    <w:rsid w:val="009F4BE3"/>
    <w:rsid w:val="009F4C71"/>
    <w:rsid w:val="009F525F"/>
    <w:rsid w:val="009F53DC"/>
    <w:rsid w:val="009F6270"/>
    <w:rsid w:val="009F65F9"/>
    <w:rsid w:val="009F683A"/>
    <w:rsid w:val="009F68BA"/>
    <w:rsid w:val="009F6EDD"/>
    <w:rsid w:val="009F71D8"/>
    <w:rsid w:val="009F7A88"/>
    <w:rsid w:val="00A005A9"/>
    <w:rsid w:val="00A01B5E"/>
    <w:rsid w:val="00A02779"/>
    <w:rsid w:val="00A027D2"/>
    <w:rsid w:val="00A032CF"/>
    <w:rsid w:val="00A053A9"/>
    <w:rsid w:val="00A05D25"/>
    <w:rsid w:val="00A05E83"/>
    <w:rsid w:val="00A06277"/>
    <w:rsid w:val="00A0758C"/>
    <w:rsid w:val="00A075DC"/>
    <w:rsid w:val="00A075EA"/>
    <w:rsid w:val="00A078AD"/>
    <w:rsid w:val="00A079D9"/>
    <w:rsid w:val="00A079DC"/>
    <w:rsid w:val="00A10B63"/>
    <w:rsid w:val="00A111C2"/>
    <w:rsid w:val="00A11EFE"/>
    <w:rsid w:val="00A1201F"/>
    <w:rsid w:val="00A12AD7"/>
    <w:rsid w:val="00A12F6B"/>
    <w:rsid w:val="00A14683"/>
    <w:rsid w:val="00A15508"/>
    <w:rsid w:val="00A155B1"/>
    <w:rsid w:val="00A16C48"/>
    <w:rsid w:val="00A17AAC"/>
    <w:rsid w:val="00A221ED"/>
    <w:rsid w:val="00A23C6D"/>
    <w:rsid w:val="00A23F6E"/>
    <w:rsid w:val="00A243A1"/>
    <w:rsid w:val="00A24C1C"/>
    <w:rsid w:val="00A24CA4"/>
    <w:rsid w:val="00A24FE3"/>
    <w:rsid w:val="00A25148"/>
    <w:rsid w:val="00A262D6"/>
    <w:rsid w:val="00A2661E"/>
    <w:rsid w:val="00A278B0"/>
    <w:rsid w:val="00A2790B"/>
    <w:rsid w:val="00A27C8B"/>
    <w:rsid w:val="00A304E6"/>
    <w:rsid w:val="00A308D1"/>
    <w:rsid w:val="00A30AD9"/>
    <w:rsid w:val="00A319CE"/>
    <w:rsid w:val="00A3200D"/>
    <w:rsid w:val="00A33010"/>
    <w:rsid w:val="00A338E7"/>
    <w:rsid w:val="00A348C8"/>
    <w:rsid w:val="00A35CAA"/>
    <w:rsid w:val="00A36129"/>
    <w:rsid w:val="00A36E7F"/>
    <w:rsid w:val="00A36F31"/>
    <w:rsid w:val="00A372F7"/>
    <w:rsid w:val="00A400C2"/>
    <w:rsid w:val="00A403DF"/>
    <w:rsid w:val="00A41E65"/>
    <w:rsid w:val="00A4217C"/>
    <w:rsid w:val="00A43797"/>
    <w:rsid w:val="00A43E0A"/>
    <w:rsid w:val="00A43E4C"/>
    <w:rsid w:val="00A45DF1"/>
    <w:rsid w:val="00A46D31"/>
    <w:rsid w:val="00A4717A"/>
    <w:rsid w:val="00A50333"/>
    <w:rsid w:val="00A5050B"/>
    <w:rsid w:val="00A508E9"/>
    <w:rsid w:val="00A50F51"/>
    <w:rsid w:val="00A5104B"/>
    <w:rsid w:val="00A512BA"/>
    <w:rsid w:val="00A530C7"/>
    <w:rsid w:val="00A54773"/>
    <w:rsid w:val="00A54C8D"/>
    <w:rsid w:val="00A55A17"/>
    <w:rsid w:val="00A55F5B"/>
    <w:rsid w:val="00A57CEC"/>
    <w:rsid w:val="00A60185"/>
    <w:rsid w:val="00A615CE"/>
    <w:rsid w:val="00A61ABE"/>
    <w:rsid w:val="00A61ACF"/>
    <w:rsid w:val="00A61B7F"/>
    <w:rsid w:val="00A623F7"/>
    <w:rsid w:val="00A62B18"/>
    <w:rsid w:val="00A630F5"/>
    <w:rsid w:val="00A6341B"/>
    <w:rsid w:val="00A640C1"/>
    <w:rsid w:val="00A64912"/>
    <w:rsid w:val="00A64D1A"/>
    <w:rsid w:val="00A64DC6"/>
    <w:rsid w:val="00A650D6"/>
    <w:rsid w:val="00A65290"/>
    <w:rsid w:val="00A661EA"/>
    <w:rsid w:val="00A66816"/>
    <w:rsid w:val="00A6794D"/>
    <w:rsid w:val="00A67CD6"/>
    <w:rsid w:val="00A70E5D"/>
    <w:rsid w:val="00A71A6C"/>
    <w:rsid w:val="00A730AB"/>
    <w:rsid w:val="00A73165"/>
    <w:rsid w:val="00A7369F"/>
    <w:rsid w:val="00A737C8"/>
    <w:rsid w:val="00A74FA9"/>
    <w:rsid w:val="00A7503A"/>
    <w:rsid w:val="00A75482"/>
    <w:rsid w:val="00A75535"/>
    <w:rsid w:val="00A75E46"/>
    <w:rsid w:val="00A769AA"/>
    <w:rsid w:val="00A76AA9"/>
    <w:rsid w:val="00A76AC5"/>
    <w:rsid w:val="00A76B8D"/>
    <w:rsid w:val="00A770FE"/>
    <w:rsid w:val="00A77208"/>
    <w:rsid w:val="00A77232"/>
    <w:rsid w:val="00A7731D"/>
    <w:rsid w:val="00A776DF"/>
    <w:rsid w:val="00A77808"/>
    <w:rsid w:val="00A809A8"/>
    <w:rsid w:val="00A81142"/>
    <w:rsid w:val="00A8201D"/>
    <w:rsid w:val="00A82FAD"/>
    <w:rsid w:val="00A830E5"/>
    <w:rsid w:val="00A832CE"/>
    <w:rsid w:val="00A83EF8"/>
    <w:rsid w:val="00A841F6"/>
    <w:rsid w:val="00A846F3"/>
    <w:rsid w:val="00A84CC9"/>
    <w:rsid w:val="00A84DFE"/>
    <w:rsid w:val="00A8532D"/>
    <w:rsid w:val="00A87135"/>
    <w:rsid w:val="00A87EAB"/>
    <w:rsid w:val="00A921FF"/>
    <w:rsid w:val="00A92299"/>
    <w:rsid w:val="00A922FF"/>
    <w:rsid w:val="00A93280"/>
    <w:rsid w:val="00A933ED"/>
    <w:rsid w:val="00A93721"/>
    <w:rsid w:val="00A93CF5"/>
    <w:rsid w:val="00A95043"/>
    <w:rsid w:val="00A9519A"/>
    <w:rsid w:val="00A951EA"/>
    <w:rsid w:val="00A96A4F"/>
    <w:rsid w:val="00A97484"/>
    <w:rsid w:val="00A97EA2"/>
    <w:rsid w:val="00AA1A7D"/>
    <w:rsid w:val="00AA1AA7"/>
    <w:rsid w:val="00AA1ACA"/>
    <w:rsid w:val="00AA2548"/>
    <w:rsid w:val="00AA2E9C"/>
    <w:rsid w:val="00AA2EE9"/>
    <w:rsid w:val="00AA2F5F"/>
    <w:rsid w:val="00AA2F69"/>
    <w:rsid w:val="00AA325F"/>
    <w:rsid w:val="00AA48B3"/>
    <w:rsid w:val="00AA4CB1"/>
    <w:rsid w:val="00AA55C4"/>
    <w:rsid w:val="00AA58C4"/>
    <w:rsid w:val="00AA6F4C"/>
    <w:rsid w:val="00AA7003"/>
    <w:rsid w:val="00AA7FCC"/>
    <w:rsid w:val="00AB0530"/>
    <w:rsid w:val="00AB10D6"/>
    <w:rsid w:val="00AB11C8"/>
    <w:rsid w:val="00AB1661"/>
    <w:rsid w:val="00AB2828"/>
    <w:rsid w:val="00AB33D8"/>
    <w:rsid w:val="00AB6BA3"/>
    <w:rsid w:val="00AC038A"/>
    <w:rsid w:val="00AC08A8"/>
    <w:rsid w:val="00AC0967"/>
    <w:rsid w:val="00AC0BAA"/>
    <w:rsid w:val="00AC2D9F"/>
    <w:rsid w:val="00AC3312"/>
    <w:rsid w:val="00AC384D"/>
    <w:rsid w:val="00AC402F"/>
    <w:rsid w:val="00AC4DB5"/>
    <w:rsid w:val="00AC501E"/>
    <w:rsid w:val="00AC624D"/>
    <w:rsid w:val="00AC6905"/>
    <w:rsid w:val="00AC6BEE"/>
    <w:rsid w:val="00AD063D"/>
    <w:rsid w:val="00AD066C"/>
    <w:rsid w:val="00AD0755"/>
    <w:rsid w:val="00AD098E"/>
    <w:rsid w:val="00AD0F31"/>
    <w:rsid w:val="00AD11AD"/>
    <w:rsid w:val="00AD2B19"/>
    <w:rsid w:val="00AD4494"/>
    <w:rsid w:val="00AD46D0"/>
    <w:rsid w:val="00AD4933"/>
    <w:rsid w:val="00AD4F64"/>
    <w:rsid w:val="00AD55B3"/>
    <w:rsid w:val="00AD56C8"/>
    <w:rsid w:val="00AD58F2"/>
    <w:rsid w:val="00AD6AB1"/>
    <w:rsid w:val="00AD6DB3"/>
    <w:rsid w:val="00AD7182"/>
    <w:rsid w:val="00AD7710"/>
    <w:rsid w:val="00AD7E1D"/>
    <w:rsid w:val="00AE0EAD"/>
    <w:rsid w:val="00AE1564"/>
    <w:rsid w:val="00AE213D"/>
    <w:rsid w:val="00AE272A"/>
    <w:rsid w:val="00AE3885"/>
    <w:rsid w:val="00AE4C16"/>
    <w:rsid w:val="00AE5D72"/>
    <w:rsid w:val="00AE6346"/>
    <w:rsid w:val="00AE6A6E"/>
    <w:rsid w:val="00AE6E82"/>
    <w:rsid w:val="00AE7EA9"/>
    <w:rsid w:val="00AF2DC2"/>
    <w:rsid w:val="00AF4161"/>
    <w:rsid w:val="00AF48B1"/>
    <w:rsid w:val="00AF499A"/>
    <w:rsid w:val="00AF53C1"/>
    <w:rsid w:val="00AF6091"/>
    <w:rsid w:val="00B00C3E"/>
    <w:rsid w:val="00B00E3D"/>
    <w:rsid w:val="00B0236D"/>
    <w:rsid w:val="00B024B7"/>
    <w:rsid w:val="00B028E8"/>
    <w:rsid w:val="00B0369F"/>
    <w:rsid w:val="00B04C8D"/>
    <w:rsid w:val="00B0512A"/>
    <w:rsid w:val="00B0529F"/>
    <w:rsid w:val="00B05651"/>
    <w:rsid w:val="00B075D0"/>
    <w:rsid w:val="00B11FE5"/>
    <w:rsid w:val="00B12306"/>
    <w:rsid w:val="00B124CD"/>
    <w:rsid w:val="00B12621"/>
    <w:rsid w:val="00B1284A"/>
    <w:rsid w:val="00B13084"/>
    <w:rsid w:val="00B130EA"/>
    <w:rsid w:val="00B133DF"/>
    <w:rsid w:val="00B13BAB"/>
    <w:rsid w:val="00B1418B"/>
    <w:rsid w:val="00B14369"/>
    <w:rsid w:val="00B14CA1"/>
    <w:rsid w:val="00B1549A"/>
    <w:rsid w:val="00B157A8"/>
    <w:rsid w:val="00B16B3E"/>
    <w:rsid w:val="00B16DA7"/>
    <w:rsid w:val="00B16EA0"/>
    <w:rsid w:val="00B17715"/>
    <w:rsid w:val="00B20170"/>
    <w:rsid w:val="00B210CD"/>
    <w:rsid w:val="00B21195"/>
    <w:rsid w:val="00B2126B"/>
    <w:rsid w:val="00B21704"/>
    <w:rsid w:val="00B2201E"/>
    <w:rsid w:val="00B22439"/>
    <w:rsid w:val="00B2281D"/>
    <w:rsid w:val="00B2363A"/>
    <w:rsid w:val="00B24AFB"/>
    <w:rsid w:val="00B24B22"/>
    <w:rsid w:val="00B2502E"/>
    <w:rsid w:val="00B25204"/>
    <w:rsid w:val="00B25310"/>
    <w:rsid w:val="00B25538"/>
    <w:rsid w:val="00B256D3"/>
    <w:rsid w:val="00B2636C"/>
    <w:rsid w:val="00B27B7F"/>
    <w:rsid w:val="00B305C6"/>
    <w:rsid w:val="00B31645"/>
    <w:rsid w:val="00B3294F"/>
    <w:rsid w:val="00B329BD"/>
    <w:rsid w:val="00B32F8F"/>
    <w:rsid w:val="00B335AF"/>
    <w:rsid w:val="00B3492A"/>
    <w:rsid w:val="00B36285"/>
    <w:rsid w:val="00B3642E"/>
    <w:rsid w:val="00B36702"/>
    <w:rsid w:val="00B370EE"/>
    <w:rsid w:val="00B40588"/>
    <w:rsid w:val="00B40648"/>
    <w:rsid w:val="00B417DF"/>
    <w:rsid w:val="00B41B98"/>
    <w:rsid w:val="00B42A6A"/>
    <w:rsid w:val="00B44DC5"/>
    <w:rsid w:val="00B46C1E"/>
    <w:rsid w:val="00B46CA9"/>
    <w:rsid w:val="00B47C1A"/>
    <w:rsid w:val="00B50046"/>
    <w:rsid w:val="00B523A7"/>
    <w:rsid w:val="00B52455"/>
    <w:rsid w:val="00B52576"/>
    <w:rsid w:val="00B52ABD"/>
    <w:rsid w:val="00B52E06"/>
    <w:rsid w:val="00B5481D"/>
    <w:rsid w:val="00B54DE9"/>
    <w:rsid w:val="00B54EAF"/>
    <w:rsid w:val="00B553EC"/>
    <w:rsid w:val="00B557E4"/>
    <w:rsid w:val="00B55E3F"/>
    <w:rsid w:val="00B567AC"/>
    <w:rsid w:val="00B5686B"/>
    <w:rsid w:val="00B56D6E"/>
    <w:rsid w:val="00B5700F"/>
    <w:rsid w:val="00B57EB7"/>
    <w:rsid w:val="00B605EE"/>
    <w:rsid w:val="00B61AFC"/>
    <w:rsid w:val="00B61CA9"/>
    <w:rsid w:val="00B61D51"/>
    <w:rsid w:val="00B61DAB"/>
    <w:rsid w:val="00B61F9B"/>
    <w:rsid w:val="00B620E7"/>
    <w:rsid w:val="00B6382B"/>
    <w:rsid w:val="00B638C2"/>
    <w:rsid w:val="00B63C1E"/>
    <w:rsid w:val="00B644FE"/>
    <w:rsid w:val="00B64B34"/>
    <w:rsid w:val="00B65710"/>
    <w:rsid w:val="00B657F6"/>
    <w:rsid w:val="00B66BAD"/>
    <w:rsid w:val="00B6751A"/>
    <w:rsid w:val="00B678DB"/>
    <w:rsid w:val="00B67FDF"/>
    <w:rsid w:val="00B7088D"/>
    <w:rsid w:val="00B70D81"/>
    <w:rsid w:val="00B70F58"/>
    <w:rsid w:val="00B71225"/>
    <w:rsid w:val="00B718F6"/>
    <w:rsid w:val="00B72789"/>
    <w:rsid w:val="00B735D1"/>
    <w:rsid w:val="00B74095"/>
    <w:rsid w:val="00B746F1"/>
    <w:rsid w:val="00B74D95"/>
    <w:rsid w:val="00B75399"/>
    <w:rsid w:val="00B75F53"/>
    <w:rsid w:val="00B7737E"/>
    <w:rsid w:val="00B77835"/>
    <w:rsid w:val="00B80A17"/>
    <w:rsid w:val="00B80A92"/>
    <w:rsid w:val="00B80BB3"/>
    <w:rsid w:val="00B8114B"/>
    <w:rsid w:val="00B8181B"/>
    <w:rsid w:val="00B81C83"/>
    <w:rsid w:val="00B81D8A"/>
    <w:rsid w:val="00B83438"/>
    <w:rsid w:val="00B847E2"/>
    <w:rsid w:val="00B8723C"/>
    <w:rsid w:val="00B90C48"/>
    <w:rsid w:val="00B917A1"/>
    <w:rsid w:val="00B92590"/>
    <w:rsid w:val="00B93527"/>
    <w:rsid w:val="00B93DD0"/>
    <w:rsid w:val="00B93F7C"/>
    <w:rsid w:val="00B945F3"/>
    <w:rsid w:val="00B9552D"/>
    <w:rsid w:val="00B95739"/>
    <w:rsid w:val="00B95EEE"/>
    <w:rsid w:val="00B95FC4"/>
    <w:rsid w:val="00B974FD"/>
    <w:rsid w:val="00B97732"/>
    <w:rsid w:val="00BA1F9D"/>
    <w:rsid w:val="00BA3F05"/>
    <w:rsid w:val="00BA43C5"/>
    <w:rsid w:val="00BA4A14"/>
    <w:rsid w:val="00BA4EE1"/>
    <w:rsid w:val="00BA54E4"/>
    <w:rsid w:val="00BA5558"/>
    <w:rsid w:val="00BA577F"/>
    <w:rsid w:val="00BA65A8"/>
    <w:rsid w:val="00BA65B6"/>
    <w:rsid w:val="00BA69C8"/>
    <w:rsid w:val="00BA6D19"/>
    <w:rsid w:val="00BA70CA"/>
    <w:rsid w:val="00BA7461"/>
    <w:rsid w:val="00BA7DA9"/>
    <w:rsid w:val="00BB0A3A"/>
    <w:rsid w:val="00BB0F48"/>
    <w:rsid w:val="00BB14A5"/>
    <w:rsid w:val="00BB151E"/>
    <w:rsid w:val="00BB16BC"/>
    <w:rsid w:val="00BB1795"/>
    <w:rsid w:val="00BB2183"/>
    <w:rsid w:val="00BB27B3"/>
    <w:rsid w:val="00BB2BD1"/>
    <w:rsid w:val="00BB3575"/>
    <w:rsid w:val="00BB4144"/>
    <w:rsid w:val="00BB4B1D"/>
    <w:rsid w:val="00BB4EC5"/>
    <w:rsid w:val="00BB5447"/>
    <w:rsid w:val="00BB551E"/>
    <w:rsid w:val="00BB6D20"/>
    <w:rsid w:val="00BB75D6"/>
    <w:rsid w:val="00BC163F"/>
    <w:rsid w:val="00BC1BA2"/>
    <w:rsid w:val="00BC2444"/>
    <w:rsid w:val="00BC4215"/>
    <w:rsid w:val="00BC4667"/>
    <w:rsid w:val="00BC4B4C"/>
    <w:rsid w:val="00BC56D9"/>
    <w:rsid w:val="00BC66CC"/>
    <w:rsid w:val="00BC691F"/>
    <w:rsid w:val="00BC6BE4"/>
    <w:rsid w:val="00BC6BEC"/>
    <w:rsid w:val="00BC6E11"/>
    <w:rsid w:val="00BC6F95"/>
    <w:rsid w:val="00BC74E0"/>
    <w:rsid w:val="00BD1A6F"/>
    <w:rsid w:val="00BD2A86"/>
    <w:rsid w:val="00BD3140"/>
    <w:rsid w:val="00BD3628"/>
    <w:rsid w:val="00BD5053"/>
    <w:rsid w:val="00BD52C9"/>
    <w:rsid w:val="00BD5C39"/>
    <w:rsid w:val="00BD5F57"/>
    <w:rsid w:val="00BD7F16"/>
    <w:rsid w:val="00BE03A5"/>
    <w:rsid w:val="00BE0881"/>
    <w:rsid w:val="00BE0C7F"/>
    <w:rsid w:val="00BE1A8D"/>
    <w:rsid w:val="00BE1DBB"/>
    <w:rsid w:val="00BE24B2"/>
    <w:rsid w:val="00BE29ED"/>
    <w:rsid w:val="00BE326A"/>
    <w:rsid w:val="00BE383B"/>
    <w:rsid w:val="00BE3F86"/>
    <w:rsid w:val="00BE4C37"/>
    <w:rsid w:val="00BE4DA8"/>
    <w:rsid w:val="00BE501F"/>
    <w:rsid w:val="00BE52E6"/>
    <w:rsid w:val="00BE54DD"/>
    <w:rsid w:val="00BE5EC8"/>
    <w:rsid w:val="00BE63BD"/>
    <w:rsid w:val="00BE668D"/>
    <w:rsid w:val="00BE691C"/>
    <w:rsid w:val="00BE69BF"/>
    <w:rsid w:val="00BE6D3C"/>
    <w:rsid w:val="00BE72E2"/>
    <w:rsid w:val="00BE7509"/>
    <w:rsid w:val="00BE7852"/>
    <w:rsid w:val="00BE7C17"/>
    <w:rsid w:val="00BE7DDD"/>
    <w:rsid w:val="00BF084B"/>
    <w:rsid w:val="00BF0B98"/>
    <w:rsid w:val="00BF1283"/>
    <w:rsid w:val="00BF12A3"/>
    <w:rsid w:val="00BF2B79"/>
    <w:rsid w:val="00BF35FE"/>
    <w:rsid w:val="00BF3C65"/>
    <w:rsid w:val="00BF3CD2"/>
    <w:rsid w:val="00BF41D6"/>
    <w:rsid w:val="00BF43F0"/>
    <w:rsid w:val="00BF4AE6"/>
    <w:rsid w:val="00BF4DAC"/>
    <w:rsid w:val="00BF53DD"/>
    <w:rsid w:val="00BF6EBD"/>
    <w:rsid w:val="00BF77F4"/>
    <w:rsid w:val="00BF7CEE"/>
    <w:rsid w:val="00C00385"/>
    <w:rsid w:val="00C00966"/>
    <w:rsid w:val="00C00B0C"/>
    <w:rsid w:val="00C00C45"/>
    <w:rsid w:val="00C0217B"/>
    <w:rsid w:val="00C03149"/>
    <w:rsid w:val="00C0357A"/>
    <w:rsid w:val="00C03880"/>
    <w:rsid w:val="00C0485F"/>
    <w:rsid w:val="00C0519D"/>
    <w:rsid w:val="00C057B5"/>
    <w:rsid w:val="00C061D4"/>
    <w:rsid w:val="00C062CA"/>
    <w:rsid w:val="00C06EC8"/>
    <w:rsid w:val="00C106C6"/>
    <w:rsid w:val="00C121D4"/>
    <w:rsid w:val="00C135CF"/>
    <w:rsid w:val="00C13ED3"/>
    <w:rsid w:val="00C14427"/>
    <w:rsid w:val="00C14CE3"/>
    <w:rsid w:val="00C15485"/>
    <w:rsid w:val="00C16FD4"/>
    <w:rsid w:val="00C177C2"/>
    <w:rsid w:val="00C177DD"/>
    <w:rsid w:val="00C179BF"/>
    <w:rsid w:val="00C17A46"/>
    <w:rsid w:val="00C21785"/>
    <w:rsid w:val="00C226EA"/>
    <w:rsid w:val="00C23121"/>
    <w:rsid w:val="00C233EA"/>
    <w:rsid w:val="00C2368F"/>
    <w:rsid w:val="00C245F4"/>
    <w:rsid w:val="00C24AAC"/>
    <w:rsid w:val="00C24DB5"/>
    <w:rsid w:val="00C25602"/>
    <w:rsid w:val="00C25B86"/>
    <w:rsid w:val="00C263C1"/>
    <w:rsid w:val="00C2683F"/>
    <w:rsid w:val="00C273AA"/>
    <w:rsid w:val="00C276C2"/>
    <w:rsid w:val="00C2780F"/>
    <w:rsid w:val="00C307B4"/>
    <w:rsid w:val="00C3184D"/>
    <w:rsid w:val="00C31A38"/>
    <w:rsid w:val="00C32151"/>
    <w:rsid w:val="00C33A82"/>
    <w:rsid w:val="00C35281"/>
    <w:rsid w:val="00C3637C"/>
    <w:rsid w:val="00C3639A"/>
    <w:rsid w:val="00C36672"/>
    <w:rsid w:val="00C36698"/>
    <w:rsid w:val="00C3686E"/>
    <w:rsid w:val="00C37EDE"/>
    <w:rsid w:val="00C40848"/>
    <w:rsid w:val="00C40A7B"/>
    <w:rsid w:val="00C40C6A"/>
    <w:rsid w:val="00C41C62"/>
    <w:rsid w:val="00C41C7C"/>
    <w:rsid w:val="00C42BCC"/>
    <w:rsid w:val="00C42F43"/>
    <w:rsid w:val="00C4362A"/>
    <w:rsid w:val="00C4363C"/>
    <w:rsid w:val="00C43984"/>
    <w:rsid w:val="00C43D20"/>
    <w:rsid w:val="00C44C5A"/>
    <w:rsid w:val="00C44E3F"/>
    <w:rsid w:val="00C44E72"/>
    <w:rsid w:val="00C4512D"/>
    <w:rsid w:val="00C46FEE"/>
    <w:rsid w:val="00C4714E"/>
    <w:rsid w:val="00C50F53"/>
    <w:rsid w:val="00C51857"/>
    <w:rsid w:val="00C51A05"/>
    <w:rsid w:val="00C51CCA"/>
    <w:rsid w:val="00C51FB2"/>
    <w:rsid w:val="00C524CC"/>
    <w:rsid w:val="00C52CCD"/>
    <w:rsid w:val="00C53CD6"/>
    <w:rsid w:val="00C5504F"/>
    <w:rsid w:val="00C56A36"/>
    <w:rsid w:val="00C56B2F"/>
    <w:rsid w:val="00C57B55"/>
    <w:rsid w:val="00C60240"/>
    <w:rsid w:val="00C6112D"/>
    <w:rsid w:val="00C618E7"/>
    <w:rsid w:val="00C61CE8"/>
    <w:rsid w:val="00C63376"/>
    <w:rsid w:val="00C6506A"/>
    <w:rsid w:val="00C65D69"/>
    <w:rsid w:val="00C66613"/>
    <w:rsid w:val="00C66FC6"/>
    <w:rsid w:val="00C71548"/>
    <w:rsid w:val="00C716F9"/>
    <w:rsid w:val="00C71DDC"/>
    <w:rsid w:val="00C73E27"/>
    <w:rsid w:val="00C74F97"/>
    <w:rsid w:val="00C753C1"/>
    <w:rsid w:val="00C755C0"/>
    <w:rsid w:val="00C75C57"/>
    <w:rsid w:val="00C76398"/>
    <w:rsid w:val="00C76D5B"/>
    <w:rsid w:val="00C77EDA"/>
    <w:rsid w:val="00C805BE"/>
    <w:rsid w:val="00C808FE"/>
    <w:rsid w:val="00C81365"/>
    <w:rsid w:val="00C8139F"/>
    <w:rsid w:val="00C819B3"/>
    <w:rsid w:val="00C81B67"/>
    <w:rsid w:val="00C82029"/>
    <w:rsid w:val="00C82120"/>
    <w:rsid w:val="00C8276E"/>
    <w:rsid w:val="00C82891"/>
    <w:rsid w:val="00C82B10"/>
    <w:rsid w:val="00C8380E"/>
    <w:rsid w:val="00C839C9"/>
    <w:rsid w:val="00C842AC"/>
    <w:rsid w:val="00C84307"/>
    <w:rsid w:val="00C84775"/>
    <w:rsid w:val="00C84EEE"/>
    <w:rsid w:val="00C8571C"/>
    <w:rsid w:val="00C862EE"/>
    <w:rsid w:val="00C865B2"/>
    <w:rsid w:val="00C90BA1"/>
    <w:rsid w:val="00C91FF9"/>
    <w:rsid w:val="00C921D4"/>
    <w:rsid w:val="00C9294D"/>
    <w:rsid w:val="00C93264"/>
    <w:rsid w:val="00C94C33"/>
    <w:rsid w:val="00C95117"/>
    <w:rsid w:val="00C953E1"/>
    <w:rsid w:val="00C95528"/>
    <w:rsid w:val="00C9565D"/>
    <w:rsid w:val="00C96688"/>
    <w:rsid w:val="00C979A3"/>
    <w:rsid w:val="00CA00D7"/>
    <w:rsid w:val="00CA0723"/>
    <w:rsid w:val="00CA08EF"/>
    <w:rsid w:val="00CA2CAE"/>
    <w:rsid w:val="00CA35F0"/>
    <w:rsid w:val="00CA362A"/>
    <w:rsid w:val="00CA3841"/>
    <w:rsid w:val="00CA38A8"/>
    <w:rsid w:val="00CA3B29"/>
    <w:rsid w:val="00CA5F3F"/>
    <w:rsid w:val="00CA7910"/>
    <w:rsid w:val="00CB10D3"/>
    <w:rsid w:val="00CB10EC"/>
    <w:rsid w:val="00CB1690"/>
    <w:rsid w:val="00CB2297"/>
    <w:rsid w:val="00CB32D8"/>
    <w:rsid w:val="00CB38DA"/>
    <w:rsid w:val="00CB42BB"/>
    <w:rsid w:val="00CB44C4"/>
    <w:rsid w:val="00CB57FE"/>
    <w:rsid w:val="00CB61A3"/>
    <w:rsid w:val="00CB6556"/>
    <w:rsid w:val="00CB72D2"/>
    <w:rsid w:val="00CC121E"/>
    <w:rsid w:val="00CC136E"/>
    <w:rsid w:val="00CC1855"/>
    <w:rsid w:val="00CC1D96"/>
    <w:rsid w:val="00CC28B0"/>
    <w:rsid w:val="00CC2D1F"/>
    <w:rsid w:val="00CC2EA3"/>
    <w:rsid w:val="00CC2EBA"/>
    <w:rsid w:val="00CC4365"/>
    <w:rsid w:val="00CC5926"/>
    <w:rsid w:val="00CC5A33"/>
    <w:rsid w:val="00CC6437"/>
    <w:rsid w:val="00CC70D6"/>
    <w:rsid w:val="00CC77A8"/>
    <w:rsid w:val="00CC7957"/>
    <w:rsid w:val="00CC7B9D"/>
    <w:rsid w:val="00CD06BE"/>
    <w:rsid w:val="00CD1053"/>
    <w:rsid w:val="00CD11B0"/>
    <w:rsid w:val="00CD250D"/>
    <w:rsid w:val="00CD2CBB"/>
    <w:rsid w:val="00CD4009"/>
    <w:rsid w:val="00CD4724"/>
    <w:rsid w:val="00CD60B6"/>
    <w:rsid w:val="00CD61C0"/>
    <w:rsid w:val="00CD76BB"/>
    <w:rsid w:val="00CE0E39"/>
    <w:rsid w:val="00CE2775"/>
    <w:rsid w:val="00CE28C5"/>
    <w:rsid w:val="00CE31C9"/>
    <w:rsid w:val="00CE37C9"/>
    <w:rsid w:val="00CE44E4"/>
    <w:rsid w:val="00CE493C"/>
    <w:rsid w:val="00CE509A"/>
    <w:rsid w:val="00CE512F"/>
    <w:rsid w:val="00CE57AE"/>
    <w:rsid w:val="00CE71C2"/>
    <w:rsid w:val="00CE74AC"/>
    <w:rsid w:val="00CE7535"/>
    <w:rsid w:val="00CE78F4"/>
    <w:rsid w:val="00CE7CAE"/>
    <w:rsid w:val="00CE7D05"/>
    <w:rsid w:val="00CF05CF"/>
    <w:rsid w:val="00CF0670"/>
    <w:rsid w:val="00CF11EA"/>
    <w:rsid w:val="00CF1CB7"/>
    <w:rsid w:val="00CF24DB"/>
    <w:rsid w:val="00CF34E9"/>
    <w:rsid w:val="00CF42D5"/>
    <w:rsid w:val="00CF45F9"/>
    <w:rsid w:val="00CF4EDA"/>
    <w:rsid w:val="00CF5706"/>
    <w:rsid w:val="00CF58F6"/>
    <w:rsid w:val="00CF6D7B"/>
    <w:rsid w:val="00CF7510"/>
    <w:rsid w:val="00CF7D91"/>
    <w:rsid w:val="00D00867"/>
    <w:rsid w:val="00D012FD"/>
    <w:rsid w:val="00D01C62"/>
    <w:rsid w:val="00D021CB"/>
    <w:rsid w:val="00D025B5"/>
    <w:rsid w:val="00D0261A"/>
    <w:rsid w:val="00D026BA"/>
    <w:rsid w:val="00D04DA1"/>
    <w:rsid w:val="00D04DA7"/>
    <w:rsid w:val="00D0521A"/>
    <w:rsid w:val="00D05ED1"/>
    <w:rsid w:val="00D067DD"/>
    <w:rsid w:val="00D06E5F"/>
    <w:rsid w:val="00D074A7"/>
    <w:rsid w:val="00D101EF"/>
    <w:rsid w:val="00D10DC1"/>
    <w:rsid w:val="00D10F1A"/>
    <w:rsid w:val="00D116F8"/>
    <w:rsid w:val="00D11DAA"/>
    <w:rsid w:val="00D11ED5"/>
    <w:rsid w:val="00D12275"/>
    <w:rsid w:val="00D12A34"/>
    <w:rsid w:val="00D12B01"/>
    <w:rsid w:val="00D143D9"/>
    <w:rsid w:val="00D153BD"/>
    <w:rsid w:val="00D1580A"/>
    <w:rsid w:val="00D15E16"/>
    <w:rsid w:val="00D15ED0"/>
    <w:rsid w:val="00D164F5"/>
    <w:rsid w:val="00D17596"/>
    <w:rsid w:val="00D17711"/>
    <w:rsid w:val="00D17A71"/>
    <w:rsid w:val="00D21758"/>
    <w:rsid w:val="00D21D54"/>
    <w:rsid w:val="00D224DB"/>
    <w:rsid w:val="00D22640"/>
    <w:rsid w:val="00D22AED"/>
    <w:rsid w:val="00D23A7A"/>
    <w:rsid w:val="00D24428"/>
    <w:rsid w:val="00D24A11"/>
    <w:rsid w:val="00D24CA7"/>
    <w:rsid w:val="00D25561"/>
    <w:rsid w:val="00D2623D"/>
    <w:rsid w:val="00D26D3A"/>
    <w:rsid w:val="00D271AA"/>
    <w:rsid w:val="00D27785"/>
    <w:rsid w:val="00D27B44"/>
    <w:rsid w:val="00D30086"/>
    <w:rsid w:val="00D30148"/>
    <w:rsid w:val="00D31494"/>
    <w:rsid w:val="00D33347"/>
    <w:rsid w:val="00D33783"/>
    <w:rsid w:val="00D33E49"/>
    <w:rsid w:val="00D33FAE"/>
    <w:rsid w:val="00D34053"/>
    <w:rsid w:val="00D3459A"/>
    <w:rsid w:val="00D35100"/>
    <w:rsid w:val="00D353D2"/>
    <w:rsid w:val="00D35743"/>
    <w:rsid w:val="00D35BCD"/>
    <w:rsid w:val="00D36ED9"/>
    <w:rsid w:val="00D4000A"/>
    <w:rsid w:val="00D40045"/>
    <w:rsid w:val="00D40059"/>
    <w:rsid w:val="00D414C0"/>
    <w:rsid w:val="00D41DA1"/>
    <w:rsid w:val="00D43373"/>
    <w:rsid w:val="00D438FE"/>
    <w:rsid w:val="00D44CE8"/>
    <w:rsid w:val="00D4525E"/>
    <w:rsid w:val="00D45AA4"/>
    <w:rsid w:val="00D45EE3"/>
    <w:rsid w:val="00D46586"/>
    <w:rsid w:val="00D47168"/>
    <w:rsid w:val="00D4766E"/>
    <w:rsid w:val="00D47C89"/>
    <w:rsid w:val="00D50618"/>
    <w:rsid w:val="00D50620"/>
    <w:rsid w:val="00D50698"/>
    <w:rsid w:val="00D509E9"/>
    <w:rsid w:val="00D511EC"/>
    <w:rsid w:val="00D523CB"/>
    <w:rsid w:val="00D52923"/>
    <w:rsid w:val="00D52AC2"/>
    <w:rsid w:val="00D5304B"/>
    <w:rsid w:val="00D53B1C"/>
    <w:rsid w:val="00D54C46"/>
    <w:rsid w:val="00D54EF3"/>
    <w:rsid w:val="00D567B5"/>
    <w:rsid w:val="00D57025"/>
    <w:rsid w:val="00D5742C"/>
    <w:rsid w:val="00D57BC4"/>
    <w:rsid w:val="00D60439"/>
    <w:rsid w:val="00D61031"/>
    <w:rsid w:val="00D611F9"/>
    <w:rsid w:val="00D61AFD"/>
    <w:rsid w:val="00D61C1B"/>
    <w:rsid w:val="00D626B0"/>
    <w:rsid w:val="00D62BE1"/>
    <w:rsid w:val="00D62F0B"/>
    <w:rsid w:val="00D6360A"/>
    <w:rsid w:val="00D63C25"/>
    <w:rsid w:val="00D640E7"/>
    <w:rsid w:val="00D64205"/>
    <w:rsid w:val="00D654A2"/>
    <w:rsid w:val="00D65BA6"/>
    <w:rsid w:val="00D663F9"/>
    <w:rsid w:val="00D67701"/>
    <w:rsid w:val="00D70726"/>
    <w:rsid w:val="00D70C04"/>
    <w:rsid w:val="00D7185D"/>
    <w:rsid w:val="00D72A25"/>
    <w:rsid w:val="00D72FBF"/>
    <w:rsid w:val="00D743AF"/>
    <w:rsid w:val="00D747AB"/>
    <w:rsid w:val="00D74905"/>
    <w:rsid w:val="00D74C85"/>
    <w:rsid w:val="00D7646F"/>
    <w:rsid w:val="00D76728"/>
    <w:rsid w:val="00D76C83"/>
    <w:rsid w:val="00D771C2"/>
    <w:rsid w:val="00D776A3"/>
    <w:rsid w:val="00D77B38"/>
    <w:rsid w:val="00D77FE6"/>
    <w:rsid w:val="00D801DE"/>
    <w:rsid w:val="00D80B17"/>
    <w:rsid w:val="00D80E24"/>
    <w:rsid w:val="00D80EC2"/>
    <w:rsid w:val="00D8234B"/>
    <w:rsid w:val="00D83228"/>
    <w:rsid w:val="00D84B60"/>
    <w:rsid w:val="00D84C92"/>
    <w:rsid w:val="00D85074"/>
    <w:rsid w:val="00D8570D"/>
    <w:rsid w:val="00D8617D"/>
    <w:rsid w:val="00D865DE"/>
    <w:rsid w:val="00D86B91"/>
    <w:rsid w:val="00D90125"/>
    <w:rsid w:val="00D9134B"/>
    <w:rsid w:val="00D92104"/>
    <w:rsid w:val="00D92982"/>
    <w:rsid w:val="00D92A64"/>
    <w:rsid w:val="00D92CE7"/>
    <w:rsid w:val="00D939F5"/>
    <w:rsid w:val="00D93C82"/>
    <w:rsid w:val="00D95309"/>
    <w:rsid w:val="00D959D3"/>
    <w:rsid w:val="00DA02B8"/>
    <w:rsid w:val="00DA0B0D"/>
    <w:rsid w:val="00DA0D43"/>
    <w:rsid w:val="00DA1B12"/>
    <w:rsid w:val="00DA2863"/>
    <w:rsid w:val="00DA2EED"/>
    <w:rsid w:val="00DA3384"/>
    <w:rsid w:val="00DA393C"/>
    <w:rsid w:val="00DA3F18"/>
    <w:rsid w:val="00DA3FE0"/>
    <w:rsid w:val="00DA4C8B"/>
    <w:rsid w:val="00DA513E"/>
    <w:rsid w:val="00DA54C9"/>
    <w:rsid w:val="00DA5750"/>
    <w:rsid w:val="00DA5C93"/>
    <w:rsid w:val="00DA6593"/>
    <w:rsid w:val="00DA6739"/>
    <w:rsid w:val="00DA675E"/>
    <w:rsid w:val="00DA6789"/>
    <w:rsid w:val="00DA6AEB"/>
    <w:rsid w:val="00DA6CAE"/>
    <w:rsid w:val="00DA6ED5"/>
    <w:rsid w:val="00DA7671"/>
    <w:rsid w:val="00DA7E78"/>
    <w:rsid w:val="00DB065E"/>
    <w:rsid w:val="00DB1A9E"/>
    <w:rsid w:val="00DB2B43"/>
    <w:rsid w:val="00DB31D6"/>
    <w:rsid w:val="00DB3D87"/>
    <w:rsid w:val="00DB4005"/>
    <w:rsid w:val="00DB6268"/>
    <w:rsid w:val="00DB62CE"/>
    <w:rsid w:val="00DB7117"/>
    <w:rsid w:val="00DB768B"/>
    <w:rsid w:val="00DB7909"/>
    <w:rsid w:val="00DC04DC"/>
    <w:rsid w:val="00DC245B"/>
    <w:rsid w:val="00DC28DE"/>
    <w:rsid w:val="00DC346E"/>
    <w:rsid w:val="00DC34EB"/>
    <w:rsid w:val="00DC380C"/>
    <w:rsid w:val="00DC414A"/>
    <w:rsid w:val="00DC4A02"/>
    <w:rsid w:val="00DC5269"/>
    <w:rsid w:val="00DC55C3"/>
    <w:rsid w:val="00DC5C98"/>
    <w:rsid w:val="00DC7214"/>
    <w:rsid w:val="00DC7A6B"/>
    <w:rsid w:val="00DC7FC8"/>
    <w:rsid w:val="00DD050A"/>
    <w:rsid w:val="00DD0D6B"/>
    <w:rsid w:val="00DD2027"/>
    <w:rsid w:val="00DD28EC"/>
    <w:rsid w:val="00DD2B16"/>
    <w:rsid w:val="00DD37EA"/>
    <w:rsid w:val="00DD4518"/>
    <w:rsid w:val="00DD4EB3"/>
    <w:rsid w:val="00DD51A0"/>
    <w:rsid w:val="00DD59C3"/>
    <w:rsid w:val="00DD5C2C"/>
    <w:rsid w:val="00DD73D0"/>
    <w:rsid w:val="00DE0E9A"/>
    <w:rsid w:val="00DE24F4"/>
    <w:rsid w:val="00DE2656"/>
    <w:rsid w:val="00DE2CF9"/>
    <w:rsid w:val="00DE3830"/>
    <w:rsid w:val="00DE3C8F"/>
    <w:rsid w:val="00DE41EE"/>
    <w:rsid w:val="00DE454A"/>
    <w:rsid w:val="00DE4C86"/>
    <w:rsid w:val="00DE5159"/>
    <w:rsid w:val="00DE65E1"/>
    <w:rsid w:val="00DE6EAC"/>
    <w:rsid w:val="00DE76E7"/>
    <w:rsid w:val="00DF04A7"/>
    <w:rsid w:val="00DF16B1"/>
    <w:rsid w:val="00DF19EA"/>
    <w:rsid w:val="00DF1BB8"/>
    <w:rsid w:val="00DF1BEF"/>
    <w:rsid w:val="00DF1E3E"/>
    <w:rsid w:val="00DF1E5B"/>
    <w:rsid w:val="00DF2275"/>
    <w:rsid w:val="00DF34E9"/>
    <w:rsid w:val="00DF36EA"/>
    <w:rsid w:val="00DF375A"/>
    <w:rsid w:val="00DF3764"/>
    <w:rsid w:val="00DF3F5E"/>
    <w:rsid w:val="00DF3FBA"/>
    <w:rsid w:val="00DF4CC7"/>
    <w:rsid w:val="00DF558A"/>
    <w:rsid w:val="00DF5653"/>
    <w:rsid w:val="00DF5664"/>
    <w:rsid w:val="00DF58E4"/>
    <w:rsid w:val="00DF65BA"/>
    <w:rsid w:val="00E005BD"/>
    <w:rsid w:val="00E006CB"/>
    <w:rsid w:val="00E00853"/>
    <w:rsid w:val="00E022B7"/>
    <w:rsid w:val="00E02304"/>
    <w:rsid w:val="00E02798"/>
    <w:rsid w:val="00E02BAE"/>
    <w:rsid w:val="00E039BA"/>
    <w:rsid w:val="00E03B76"/>
    <w:rsid w:val="00E053BE"/>
    <w:rsid w:val="00E0596E"/>
    <w:rsid w:val="00E06F66"/>
    <w:rsid w:val="00E078EA"/>
    <w:rsid w:val="00E10534"/>
    <w:rsid w:val="00E11600"/>
    <w:rsid w:val="00E11E17"/>
    <w:rsid w:val="00E1298D"/>
    <w:rsid w:val="00E12991"/>
    <w:rsid w:val="00E131F4"/>
    <w:rsid w:val="00E14040"/>
    <w:rsid w:val="00E143E8"/>
    <w:rsid w:val="00E154B0"/>
    <w:rsid w:val="00E15BB0"/>
    <w:rsid w:val="00E15E77"/>
    <w:rsid w:val="00E16071"/>
    <w:rsid w:val="00E16E15"/>
    <w:rsid w:val="00E172FE"/>
    <w:rsid w:val="00E17550"/>
    <w:rsid w:val="00E176F5"/>
    <w:rsid w:val="00E1771D"/>
    <w:rsid w:val="00E20235"/>
    <w:rsid w:val="00E20518"/>
    <w:rsid w:val="00E2298B"/>
    <w:rsid w:val="00E24001"/>
    <w:rsid w:val="00E24BC5"/>
    <w:rsid w:val="00E253CC"/>
    <w:rsid w:val="00E254CF"/>
    <w:rsid w:val="00E259F8"/>
    <w:rsid w:val="00E272FC"/>
    <w:rsid w:val="00E27A83"/>
    <w:rsid w:val="00E27D9D"/>
    <w:rsid w:val="00E30D6E"/>
    <w:rsid w:val="00E32825"/>
    <w:rsid w:val="00E32DA2"/>
    <w:rsid w:val="00E334BB"/>
    <w:rsid w:val="00E336FB"/>
    <w:rsid w:val="00E33818"/>
    <w:rsid w:val="00E33B4D"/>
    <w:rsid w:val="00E34668"/>
    <w:rsid w:val="00E356E5"/>
    <w:rsid w:val="00E36815"/>
    <w:rsid w:val="00E36F81"/>
    <w:rsid w:val="00E37F4A"/>
    <w:rsid w:val="00E41DFD"/>
    <w:rsid w:val="00E42692"/>
    <w:rsid w:val="00E42A37"/>
    <w:rsid w:val="00E43242"/>
    <w:rsid w:val="00E43423"/>
    <w:rsid w:val="00E44C8F"/>
    <w:rsid w:val="00E452F1"/>
    <w:rsid w:val="00E4537F"/>
    <w:rsid w:val="00E454C1"/>
    <w:rsid w:val="00E454F9"/>
    <w:rsid w:val="00E45765"/>
    <w:rsid w:val="00E4600F"/>
    <w:rsid w:val="00E46AC3"/>
    <w:rsid w:val="00E47811"/>
    <w:rsid w:val="00E47CEA"/>
    <w:rsid w:val="00E50045"/>
    <w:rsid w:val="00E50145"/>
    <w:rsid w:val="00E506FE"/>
    <w:rsid w:val="00E5098C"/>
    <w:rsid w:val="00E51373"/>
    <w:rsid w:val="00E5167D"/>
    <w:rsid w:val="00E523AE"/>
    <w:rsid w:val="00E52E13"/>
    <w:rsid w:val="00E53931"/>
    <w:rsid w:val="00E54131"/>
    <w:rsid w:val="00E5433D"/>
    <w:rsid w:val="00E54A90"/>
    <w:rsid w:val="00E562D3"/>
    <w:rsid w:val="00E5640D"/>
    <w:rsid w:val="00E56C7C"/>
    <w:rsid w:val="00E56F46"/>
    <w:rsid w:val="00E57C11"/>
    <w:rsid w:val="00E60213"/>
    <w:rsid w:val="00E624B9"/>
    <w:rsid w:val="00E63036"/>
    <w:rsid w:val="00E632C2"/>
    <w:rsid w:val="00E63792"/>
    <w:rsid w:val="00E64BF6"/>
    <w:rsid w:val="00E661B2"/>
    <w:rsid w:val="00E67716"/>
    <w:rsid w:val="00E67EFE"/>
    <w:rsid w:val="00E71464"/>
    <w:rsid w:val="00E71E24"/>
    <w:rsid w:val="00E72730"/>
    <w:rsid w:val="00E74D29"/>
    <w:rsid w:val="00E74D35"/>
    <w:rsid w:val="00E75643"/>
    <w:rsid w:val="00E75A56"/>
    <w:rsid w:val="00E804C6"/>
    <w:rsid w:val="00E80846"/>
    <w:rsid w:val="00E8098F"/>
    <w:rsid w:val="00E80BBD"/>
    <w:rsid w:val="00E818E2"/>
    <w:rsid w:val="00E8267B"/>
    <w:rsid w:val="00E82D6F"/>
    <w:rsid w:val="00E835FF"/>
    <w:rsid w:val="00E83C2F"/>
    <w:rsid w:val="00E83C74"/>
    <w:rsid w:val="00E83CEE"/>
    <w:rsid w:val="00E85317"/>
    <w:rsid w:val="00E85AAD"/>
    <w:rsid w:val="00E85AB4"/>
    <w:rsid w:val="00E86550"/>
    <w:rsid w:val="00E86661"/>
    <w:rsid w:val="00E87431"/>
    <w:rsid w:val="00E87890"/>
    <w:rsid w:val="00E87C3B"/>
    <w:rsid w:val="00E90B63"/>
    <w:rsid w:val="00E90D26"/>
    <w:rsid w:val="00E91938"/>
    <w:rsid w:val="00E91F18"/>
    <w:rsid w:val="00E9226D"/>
    <w:rsid w:val="00E92811"/>
    <w:rsid w:val="00E930AC"/>
    <w:rsid w:val="00E935B2"/>
    <w:rsid w:val="00E93BCD"/>
    <w:rsid w:val="00E9414C"/>
    <w:rsid w:val="00E9426E"/>
    <w:rsid w:val="00E94A14"/>
    <w:rsid w:val="00E952F8"/>
    <w:rsid w:val="00E96C10"/>
    <w:rsid w:val="00E97515"/>
    <w:rsid w:val="00EA0F32"/>
    <w:rsid w:val="00EA1063"/>
    <w:rsid w:val="00EA1953"/>
    <w:rsid w:val="00EA1A3E"/>
    <w:rsid w:val="00EA2065"/>
    <w:rsid w:val="00EA2255"/>
    <w:rsid w:val="00EA416C"/>
    <w:rsid w:val="00EA4EBF"/>
    <w:rsid w:val="00EA5849"/>
    <w:rsid w:val="00EA5941"/>
    <w:rsid w:val="00EA5CFC"/>
    <w:rsid w:val="00EA6680"/>
    <w:rsid w:val="00EA73C3"/>
    <w:rsid w:val="00EA74D2"/>
    <w:rsid w:val="00EA7D02"/>
    <w:rsid w:val="00EB0F4F"/>
    <w:rsid w:val="00EB18D2"/>
    <w:rsid w:val="00EB1A48"/>
    <w:rsid w:val="00EB21E5"/>
    <w:rsid w:val="00EB2247"/>
    <w:rsid w:val="00EB2805"/>
    <w:rsid w:val="00EB3BBC"/>
    <w:rsid w:val="00EB3C83"/>
    <w:rsid w:val="00EB42BC"/>
    <w:rsid w:val="00EB5002"/>
    <w:rsid w:val="00EB60CE"/>
    <w:rsid w:val="00EB6144"/>
    <w:rsid w:val="00EB632B"/>
    <w:rsid w:val="00EB6854"/>
    <w:rsid w:val="00EB69C6"/>
    <w:rsid w:val="00EB6DAE"/>
    <w:rsid w:val="00EB7D53"/>
    <w:rsid w:val="00EC1320"/>
    <w:rsid w:val="00EC2DF5"/>
    <w:rsid w:val="00EC2E60"/>
    <w:rsid w:val="00EC31FA"/>
    <w:rsid w:val="00EC430E"/>
    <w:rsid w:val="00EC58DD"/>
    <w:rsid w:val="00EC5D8E"/>
    <w:rsid w:val="00EC64BC"/>
    <w:rsid w:val="00EC6C2F"/>
    <w:rsid w:val="00EC70A7"/>
    <w:rsid w:val="00EC71AA"/>
    <w:rsid w:val="00EC777A"/>
    <w:rsid w:val="00ED05B8"/>
    <w:rsid w:val="00ED0F0A"/>
    <w:rsid w:val="00ED160F"/>
    <w:rsid w:val="00ED1C2E"/>
    <w:rsid w:val="00ED1E81"/>
    <w:rsid w:val="00ED3199"/>
    <w:rsid w:val="00ED44B0"/>
    <w:rsid w:val="00ED4AC2"/>
    <w:rsid w:val="00ED4B69"/>
    <w:rsid w:val="00ED5E34"/>
    <w:rsid w:val="00ED6742"/>
    <w:rsid w:val="00ED69C3"/>
    <w:rsid w:val="00ED75F9"/>
    <w:rsid w:val="00ED7D4C"/>
    <w:rsid w:val="00EE057C"/>
    <w:rsid w:val="00EE09B5"/>
    <w:rsid w:val="00EE0A2E"/>
    <w:rsid w:val="00EE1B4B"/>
    <w:rsid w:val="00EE1C23"/>
    <w:rsid w:val="00EE20AD"/>
    <w:rsid w:val="00EE2D81"/>
    <w:rsid w:val="00EE3146"/>
    <w:rsid w:val="00EE32DD"/>
    <w:rsid w:val="00EE3AE4"/>
    <w:rsid w:val="00EE45A1"/>
    <w:rsid w:val="00EE47B2"/>
    <w:rsid w:val="00EE5D6F"/>
    <w:rsid w:val="00EE628D"/>
    <w:rsid w:val="00EE75B4"/>
    <w:rsid w:val="00EE799C"/>
    <w:rsid w:val="00EF0317"/>
    <w:rsid w:val="00EF0DE6"/>
    <w:rsid w:val="00EF16AE"/>
    <w:rsid w:val="00EF1CE2"/>
    <w:rsid w:val="00EF300D"/>
    <w:rsid w:val="00EF3096"/>
    <w:rsid w:val="00EF4B37"/>
    <w:rsid w:val="00EF50BB"/>
    <w:rsid w:val="00EF53FF"/>
    <w:rsid w:val="00EF556A"/>
    <w:rsid w:val="00EF6000"/>
    <w:rsid w:val="00EF6313"/>
    <w:rsid w:val="00EF69D3"/>
    <w:rsid w:val="00EF6BF7"/>
    <w:rsid w:val="00EF7DB0"/>
    <w:rsid w:val="00F00192"/>
    <w:rsid w:val="00F00B2B"/>
    <w:rsid w:val="00F00CE0"/>
    <w:rsid w:val="00F01DF6"/>
    <w:rsid w:val="00F01E85"/>
    <w:rsid w:val="00F02D32"/>
    <w:rsid w:val="00F0340D"/>
    <w:rsid w:val="00F03C1A"/>
    <w:rsid w:val="00F04517"/>
    <w:rsid w:val="00F0500C"/>
    <w:rsid w:val="00F059A6"/>
    <w:rsid w:val="00F05C37"/>
    <w:rsid w:val="00F05E50"/>
    <w:rsid w:val="00F06233"/>
    <w:rsid w:val="00F076B1"/>
    <w:rsid w:val="00F0796D"/>
    <w:rsid w:val="00F07D6C"/>
    <w:rsid w:val="00F10F90"/>
    <w:rsid w:val="00F11518"/>
    <w:rsid w:val="00F116F1"/>
    <w:rsid w:val="00F1246B"/>
    <w:rsid w:val="00F1359F"/>
    <w:rsid w:val="00F13946"/>
    <w:rsid w:val="00F13F8A"/>
    <w:rsid w:val="00F14A72"/>
    <w:rsid w:val="00F162B9"/>
    <w:rsid w:val="00F16B44"/>
    <w:rsid w:val="00F16CDE"/>
    <w:rsid w:val="00F1708C"/>
    <w:rsid w:val="00F1721D"/>
    <w:rsid w:val="00F20E0F"/>
    <w:rsid w:val="00F20E45"/>
    <w:rsid w:val="00F21666"/>
    <w:rsid w:val="00F22D0B"/>
    <w:rsid w:val="00F23756"/>
    <w:rsid w:val="00F24097"/>
    <w:rsid w:val="00F241BA"/>
    <w:rsid w:val="00F2523A"/>
    <w:rsid w:val="00F25FFA"/>
    <w:rsid w:val="00F30F54"/>
    <w:rsid w:val="00F310D2"/>
    <w:rsid w:val="00F316D2"/>
    <w:rsid w:val="00F32711"/>
    <w:rsid w:val="00F333F9"/>
    <w:rsid w:val="00F33E9B"/>
    <w:rsid w:val="00F34069"/>
    <w:rsid w:val="00F36AB2"/>
    <w:rsid w:val="00F36F3D"/>
    <w:rsid w:val="00F376F1"/>
    <w:rsid w:val="00F40109"/>
    <w:rsid w:val="00F40456"/>
    <w:rsid w:val="00F40939"/>
    <w:rsid w:val="00F40A47"/>
    <w:rsid w:val="00F40A96"/>
    <w:rsid w:val="00F413C0"/>
    <w:rsid w:val="00F426AB"/>
    <w:rsid w:val="00F427A8"/>
    <w:rsid w:val="00F42B1B"/>
    <w:rsid w:val="00F4309D"/>
    <w:rsid w:val="00F441C6"/>
    <w:rsid w:val="00F448F9"/>
    <w:rsid w:val="00F44CA2"/>
    <w:rsid w:val="00F45181"/>
    <w:rsid w:val="00F45680"/>
    <w:rsid w:val="00F47093"/>
    <w:rsid w:val="00F4747F"/>
    <w:rsid w:val="00F4770C"/>
    <w:rsid w:val="00F477BD"/>
    <w:rsid w:val="00F47B97"/>
    <w:rsid w:val="00F50080"/>
    <w:rsid w:val="00F51B84"/>
    <w:rsid w:val="00F51C86"/>
    <w:rsid w:val="00F5338F"/>
    <w:rsid w:val="00F53491"/>
    <w:rsid w:val="00F54DC0"/>
    <w:rsid w:val="00F5526F"/>
    <w:rsid w:val="00F56EA4"/>
    <w:rsid w:val="00F56FA6"/>
    <w:rsid w:val="00F57ED3"/>
    <w:rsid w:val="00F603CD"/>
    <w:rsid w:val="00F604E2"/>
    <w:rsid w:val="00F60709"/>
    <w:rsid w:val="00F61DE9"/>
    <w:rsid w:val="00F62A19"/>
    <w:rsid w:val="00F63B2F"/>
    <w:rsid w:val="00F641B6"/>
    <w:rsid w:val="00F6454E"/>
    <w:rsid w:val="00F64B6E"/>
    <w:rsid w:val="00F65A1C"/>
    <w:rsid w:val="00F65B1F"/>
    <w:rsid w:val="00F65F76"/>
    <w:rsid w:val="00F66F50"/>
    <w:rsid w:val="00F67393"/>
    <w:rsid w:val="00F67B93"/>
    <w:rsid w:val="00F67CC0"/>
    <w:rsid w:val="00F70CAF"/>
    <w:rsid w:val="00F716AB"/>
    <w:rsid w:val="00F716C1"/>
    <w:rsid w:val="00F721FB"/>
    <w:rsid w:val="00F72445"/>
    <w:rsid w:val="00F724D6"/>
    <w:rsid w:val="00F72BB5"/>
    <w:rsid w:val="00F72CFD"/>
    <w:rsid w:val="00F77681"/>
    <w:rsid w:val="00F77E04"/>
    <w:rsid w:val="00F80EEE"/>
    <w:rsid w:val="00F814AB"/>
    <w:rsid w:val="00F82FF8"/>
    <w:rsid w:val="00F8330D"/>
    <w:rsid w:val="00F8385A"/>
    <w:rsid w:val="00F842B7"/>
    <w:rsid w:val="00F84305"/>
    <w:rsid w:val="00F84524"/>
    <w:rsid w:val="00F8485C"/>
    <w:rsid w:val="00F8576F"/>
    <w:rsid w:val="00F85EC8"/>
    <w:rsid w:val="00F86066"/>
    <w:rsid w:val="00F87149"/>
    <w:rsid w:val="00F87FFE"/>
    <w:rsid w:val="00F909AF"/>
    <w:rsid w:val="00F9104F"/>
    <w:rsid w:val="00F91B48"/>
    <w:rsid w:val="00F91FAE"/>
    <w:rsid w:val="00F9207B"/>
    <w:rsid w:val="00F92147"/>
    <w:rsid w:val="00F93915"/>
    <w:rsid w:val="00F939E5"/>
    <w:rsid w:val="00F945C0"/>
    <w:rsid w:val="00F94DC9"/>
    <w:rsid w:val="00F954C9"/>
    <w:rsid w:val="00F9694B"/>
    <w:rsid w:val="00F9784E"/>
    <w:rsid w:val="00F979D9"/>
    <w:rsid w:val="00FA0073"/>
    <w:rsid w:val="00FA21B9"/>
    <w:rsid w:val="00FA252B"/>
    <w:rsid w:val="00FA4CF0"/>
    <w:rsid w:val="00FA5937"/>
    <w:rsid w:val="00FA5AF3"/>
    <w:rsid w:val="00FA5DB2"/>
    <w:rsid w:val="00FA5E11"/>
    <w:rsid w:val="00FA5E24"/>
    <w:rsid w:val="00FA61AA"/>
    <w:rsid w:val="00FA61AC"/>
    <w:rsid w:val="00FA69A4"/>
    <w:rsid w:val="00FA6A9B"/>
    <w:rsid w:val="00FA7684"/>
    <w:rsid w:val="00FA779F"/>
    <w:rsid w:val="00FA77D8"/>
    <w:rsid w:val="00FA7D02"/>
    <w:rsid w:val="00FB1279"/>
    <w:rsid w:val="00FB1495"/>
    <w:rsid w:val="00FB205C"/>
    <w:rsid w:val="00FB22AE"/>
    <w:rsid w:val="00FB238A"/>
    <w:rsid w:val="00FB2A14"/>
    <w:rsid w:val="00FB329E"/>
    <w:rsid w:val="00FB3332"/>
    <w:rsid w:val="00FB4AFD"/>
    <w:rsid w:val="00FB51BF"/>
    <w:rsid w:val="00FB53A2"/>
    <w:rsid w:val="00FB5DE2"/>
    <w:rsid w:val="00FB609D"/>
    <w:rsid w:val="00FB7009"/>
    <w:rsid w:val="00FB700A"/>
    <w:rsid w:val="00FB708C"/>
    <w:rsid w:val="00FB7D04"/>
    <w:rsid w:val="00FC0400"/>
    <w:rsid w:val="00FC081D"/>
    <w:rsid w:val="00FC12B0"/>
    <w:rsid w:val="00FC15EB"/>
    <w:rsid w:val="00FC2928"/>
    <w:rsid w:val="00FC2F48"/>
    <w:rsid w:val="00FC42A9"/>
    <w:rsid w:val="00FC65A9"/>
    <w:rsid w:val="00FC664B"/>
    <w:rsid w:val="00FC7166"/>
    <w:rsid w:val="00FD0075"/>
    <w:rsid w:val="00FD0370"/>
    <w:rsid w:val="00FD03C3"/>
    <w:rsid w:val="00FD08A5"/>
    <w:rsid w:val="00FD145A"/>
    <w:rsid w:val="00FD1694"/>
    <w:rsid w:val="00FD2C07"/>
    <w:rsid w:val="00FD3CD2"/>
    <w:rsid w:val="00FD6187"/>
    <w:rsid w:val="00FD7636"/>
    <w:rsid w:val="00FD76BE"/>
    <w:rsid w:val="00FD7C25"/>
    <w:rsid w:val="00FE0847"/>
    <w:rsid w:val="00FE14CF"/>
    <w:rsid w:val="00FE17EC"/>
    <w:rsid w:val="00FE1F21"/>
    <w:rsid w:val="00FE3229"/>
    <w:rsid w:val="00FE32D1"/>
    <w:rsid w:val="00FE417A"/>
    <w:rsid w:val="00FE4286"/>
    <w:rsid w:val="00FE4B09"/>
    <w:rsid w:val="00FE74C3"/>
    <w:rsid w:val="00FE7DE7"/>
    <w:rsid w:val="00FF03C5"/>
    <w:rsid w:val="00FF087D"/>
    <w:rsid w:val="00FF179D"/>
    <w:rsid w:val="00FF215C"/>
    <w:rsid w:val="00FF2C5A"/>
    <w:rsid w:val="00FF35BA"/>
    <w:rsid w:val="00FF3D43"/>
    <w:rsid w:val="00FF3D51"/>
    <w:rsid w:val="00FF3E3A"/>
    <w:rsid w:val="00FF3F0E"/>
    <w:rsid w:val="00FF483D"/>
    <w:rsid w:val="00FF49E8"/>
    <w:rsid w:val="00FF5FA8"/>
    <w:rsid w:val="00FF672F"/>
    <w:rsid w:val="00FF67FF"/>
    <w:rsid w:val="00FF6889"/>
    <w:rsid w:val="00FF7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5D669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9C6"/>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FootnoteText">
    <w:name w:val="footnote text"/>
    <w:basedOn w:val="Normal"/>
    <w:link w:val="FootnoteTextChar"/>
    <w:uiPriority w:val="99"/>
    <w:unhideWhenUsed/>
    <w:rsid w:val="00EB69C6"/>
    <w:pPr>
      <w:spacing w:after="0" w:line="240" w:lineRule="auto"/>
    </w:pPr>
    <w:rPr>
      <w:sz w:val="20"/>
      <w:szCs w:val="20"/>
    </w:rPr>
  </w:style>
  <w:style w:type="character" w:customStyle="1" w:styleId="FootnoteTextChar">
    <w:name w:val="Footnote Text Char"/>
    <w:basedOn w:val="DefaultParagraphFont"/>
    <w:link w:val="FootnoteText"/>
    <w:uiPriority w:val="99"/>
    <w:rsid w:val="00EB69C6"/>
    <w:rPr>
      <w:lang w:eastAsia="en-US"/>
    </w:rPr>
  </w:style>
  <w:style w:type="character" w:styleId="FootnoteReference">
    <w:name w:val="footnote reference"/>
    <w:basedOn w:val="DefaultParagraphFont"/>
    <w:uiPriority w:val="99"/>
    <w:unhideWhenUsed/>
    <w:rsid w:val="00EB69C6"/>
    <w:rPr>
      <w:vertAlign w:val="superscript"/>
    </w:rPr>
  </w:style>
  <w:style w:type="paragraph" w:styleId="Caption">
    <w:name w:val="caption"/>
    <w:basedOn w:val="Normal"/>
    <w:next w:val="Normal"/>
    <w:uiPriority w:val="35"/>
    <w:unhideWhenUsed/>
    <w:qFormat/>
    <w:rsid w:val="00EB69C6"/>
    <w:pPr>
      <w:spacing w:after="80"/>
    </w:pPr>
    <w:rPr>
      <w:b/>
      <w:bCs/>
      <w:sz w:val="20"/>
      <w:szCs w:val="18"/>
    </w:rPr>
  </w:style>
  <w:style w:type="paragraph" w:customStyle="1" w:styleId="Note">
    <w:name w:val="Note"/>
    <w:basedOn w:val="Normal"/>
    <w:uiPriority w:val="99"/>
    <w:rsid w:val="00EB69C6"/>
    <w:pPr>
      <w:widowControl w:val="0"/>
      <w:suppressAutoHyphens/>
      <w:autoSpaceDE w:val="0"/>
      <w:autoSpaceDN w:val="0"/>
      <w:adjustRightInd w:val="0"/>
      <w:spacing w:after="0" w:line="200" w:lineRule="atLeast"/>
      <w:textAlignment w:val="center"/>
    </w:pPr>
    <w:rPr>
      <w:rFonts w:eastAsia="Times New Roman" w:cs="AGaramondPro-Regular"/>
      <w:color w:val="000000"/>
      <w:sz w:val="16"/>
      <w:szCs w:val="16"/>
      <w:lang w:val="en-US"/>
    </w:rPr>
  </w:style>
  <w:style w:type="paragraph" w:customStyle="1" w:styleId="TableheaderTable">
    <w:name w:val="Table header (Table)"/>
    <w:basedOn w:val="Normal"/>
    <w:autoRedefine/>
    <w:uiPriority w:val="99"/>
    <w:qFormat/>
    <w:rsid w:val="00C76398"/>
    <w:pPr>
      <w:widowControl w:val="0"/>
      <w:suppressAutoHyphens/>
      <w:autoSpaceDE w:val="0"/>
      <w:autoSpaceDN w:val="0"/>
      <w:adjustRightInd w:val="0"/>
      <w:spacing w:after="113" w:line="220" w:lineRule="atLeast"/>
      <w:ind w:left="1418" w:hanging="1418"/>
      <w:textAlignment w:val="center"/>
    </w:pPr>
    <w:rPr>
      <w:rFonts w:eastAsia="Times New Roman" w:cs="AGaramondPro-Regular"/>
      <w:b/>
      <w:bCs/>
      <w:spacing w:val="-2"/>
      <w:sz w:val="24"/>
      <w:szCs w:val="24"/>
      <w:lang w:val="en-US"/>
    </w:rPr>
  </w:style>
  <w:style w:type="character" w:styleId="CommentReference">
    <w:name w:val="annotation reference"/>
    <w:basedOn w:val="DefaultParagraphFont"/>
    <w:uiPriority w:val="99"/>
    <w:semiHidden/>
    <w:unhideWhenUsed/>
    <w:rsid w:val="002A24A6"/>
    <w:rPr>
      <w:sz w:val="16"/>
      <w:szCs w:val="16"/>
    </w:rPr>
  </w:style>
  <w:style w:type="paragraph" w:styleId="CommentText">
    <w:name w:val="annotation text"/>
    <w:basedOn w:val="Normal"/>
    <w:link w:val="CommentTextChar"/>
    <w:uiPriority w:val="99"/>
    <w:unhideWhenUsed/>
    <w:rsid w:val="002A24A6"/>
    <w:pPr>
      <w:spacing w:line="240" w:lineRule="auto"/>
    </w:pPr>
    <w:rPr>
      <w:sz w:val="20"/>
      <w:szCs w:val="20"/>
    </w:rPr>
  </w:style>
  <w:style w:type="character" w:customStyle="1" w:styleId="CommentTextChar">
    <w:name w:val="Comment Text Char"/>
    <w:basedOn w:val="DefaultParagraphFont"/>
    <w:link w:val="CommentText"/>
    <w:uiPriority w:val="99"/>
    <w:rsid w:val="002A24A6"/>
    <w:rPr>
      <w:lang w:eastAsia="en-US"/>
    </w:rPr>
  </w:style>
  <w:style w:type="paragraph" w:styleId="CommentSubject">
    <w:name w:val="annotation subject"/>
    <w:basedOn w:val="CommentText"/>
    <w:next w:val="CommentText"/>
    <w:link w:val="CommentSubjectChar"/>
    <w:uiPriority w:val="99"/>
    <w:semiHidden/>
    <w:unhideWhenUsed/>
    <w:rsid w:val="002A24A6"/>
    <w:rPr>
      <w:b/>
      <w:bCs/>
    </w:rPr>
  </w:style>
  <w:style w:type="character" w:customStyle="1" w:styleId="CommentSubjectChar">
    <w:name w:val="Comment Subject Char"/>
    <w:basedOn w:val="CommentTextChar"/>
    <w:link w:val="CommentSubject"/>
    <w:uiPriority w:val="99"/>
    <w:semiHidden/>
    <w:rsid w:val="002A24A6"/>
    <w:rPr>
      <w:b/>
      <w:bCs/>
      <w:lang w:eastAsia="en-US"/>
    </w:rPr>
  </w:style>
  <w:style w:type="paragraph" w:styleId="Revision">
    <w:name w:val="Revision"/>
    <w:hidden/>
    <w:uiPriority w:val="99"/>
    <w:semiHidden/>
    <w:rsid w:val="002A24A6"/>
    <w:rPr>
      <w:sz w:val="22"/>
      <w:szCs w:val="22"/>
      <w:lang w:eastAsia="en-US"/>
    </w:rPr>
  </w:style>
  <w:style w:type="table" w:customStyle="1" w:styleId="MediumShading1-Accent12">
    <w:name w:val="Medium Shading 1 - Accent 12"/>
    <w:basedOn w:val="TableNormal"/>
    <w:uiPriority w:val="63"/>
    <w:rsid w:val="00E2023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ReportTitle">
    <w:name w:val="Report Title"/>
    <w:basedOn w:val="Normal"/>
    <w:uiPriority w:val="11"/>
    <w:qFormat/>
    <w:rsid w:val="0083160C"/>
    <w:rPr>
      <w:b/>
      <w:color w:val="17365D" w:themeColor="text2" w:themeShade="BF"/>
      <w:sz w:val="52"/>
    </w:rPr>
  </w:style>
  <w:style w:type="paragraph" w:styleId="TOCHeading">
    <w:name w:val="TOC Heading"/>
    <w:basedOn w:val="Heading1"/>
    <w:next w:val="Normal"/>
    <w:uiPriority w:val="39"/>
    <w:unhideWhenUsed/>
    <w:qFormat/>
    <w:rsid w:val="00C76398"/>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1">
    <w:name w:val="toc 1"/>
    <w:basedOn w:val="Normal"/>
    <w:next w:val="Normal"/>
    <w:autoRedefine/>
    <w:uiPriority w:val="39"/>
    <w:unhideWhenUsed/>
    <w:rsid w:val="00C76398"/>
    <w:pPr>
      <w:spacing w:after="100"/>
    </w:pPr>
  </w:style>
  <w:style w:type="paragraph" w:styleId="TOC2">
    <w:name w:val="toc 2"/>
    <w:basedOn w:val="Normal"/>
    <w:next w:val="Normal"/>
    <w:autoRedefine/>
    <w:uiPriority w:val="39"/>
    <w:unhideWhenUsed/>
    <w:rsid w:val="00C76398"/>
    <w:pPr>
      <w:tabs>
        <w:tab w:val="right" w:leader="dot" w:pos="9202"/>
      </w:tabs>
      <w:spacing w:after="100"/>
      <w:ind w:left="220"/>
    </w:pPr>
  </w:style>
  <w:style w:type="paragraph" w:styleId="TOC3">
    <w:name w:val="toc 3"/>
    <w:basedOn w:val="Normal"/>
    <w:next w:val="Normal"/>
    <w:autoRedefine/>
    <w:uiPriority w:val="39"/>
    <w:unhideWhenUsed/>
    <w:rsid w:val="00C76398"/>
    <w:pPr>
      <w:spacing w:after="100"/>
      <w:ind w:left="440"/>
    </w:pPr>
  </w:style>
  <w:style w:type="character" w:styleId="Hyperlink">
    <w:name w:val="Hyperlink"/>
    <w:basedOn w:val="DefaultParagraphFont"/>
    <w:uiPriority w:val="99"/>
    <w:unhideWhenUsed/>
    <w:rsid w:val="00C76398"/>
    <w:rPr>
      <w:color w:val="0000FF" w:themeColor="hyperlink"/>
      <w:u w:val="single"/>
    </w:rPr>
  </w:style>
  <w:style w:type="character" w:styleId="Emphasis">
    <w:name w:val="Emphasis"/>
    <w:basedOn w:val="DefaultParagraphFont"/>
    <w:uiPriority w:val="20"/>
    <w:qFormat/>
    <w:rsid w:val="005169D4"/>
    <w:rPr>
      <w:i/>
      <w:iCs/>
      <w:sz w:val="24"/>
      <w:szCs w:val="24"/>
      <w:bdr w:val="none" w:sz="0" w:space="0" w:color="auto" w:frame="1"/>
      <w:vertAlign w:val="baseline"/>
    </w:rPr>
  </w:style>
  <w:style w:type="paragraph" w:customStyle="1" w:styleId="Default">
    <w:name w:val="Default"/>
    <w:rsid w:val="00E41DFD"/>
    <w:pPr>
      <w:autoSpaceDE w:val="0"/>
      <w:autoSpaceDN w:val="0"/>
      <w:adjustRightInd w:val="0"/>
    </w:pPr>
    <w:rPr>
      <w:rFonts w:ascii="Calibri" w:hAnsi="Calibri" w:cs="Calibri"/>
      <w:color w:val="000000"/>
      <w:sz w:val="24"/>
      <w:szCs w:val="24"/>
    </w:rPr>
  </w:style>
  <w:style w:type="paragraph" w:customStyle="1" w:styleId="Text">
    <w:name w:val="Text"/>
    <w:basedOn w:val="Normal"/>
    <w:autoRedefine/>
    <w:uiPriority w:val="99"/>
    <w:rsid w:val="00ED69C3"/>
    <w:pPr>
      <w:widowControl w:val="0"/>
      <w:suppressAutoHyphens/>
      <w:autoSpaceDE w:val="0"/>
      <w:autoSpaceDN w:val="0"/>
      <w:adjustRightInd w:val="0"/>
      <w:spacing w:before="170" w:after="0" w:line="280" w:lineRule="atLeast"/>
      <w:textAlignment w:val="center"/>
    </w:pPr>
    <w:rPr>
      <w:rFonts w:eastAsia="Times New Roman" w:cs="AGaramondPro-Regular"/>
      <w:color w:val="000000"/>
      <w:szCs w:val="20"/>
      <w:lang w:val="en-US"/>
    </w:rPr>
  </w:style>
  <w:style w:type="paragraph" w:customStyle="1" w:styleId="TableHeader">
    <w:name w:val="Table Header"/>
    <w:basedOn w:val="Normal"/>
    <w:autoRedefine/>
    <w:uiPriority w:val="99"/>
    <w:rsid w:val="00ED69C3"/>
    <w:pPr>
      <w:widowControl w:val="0"/>
      <w:suppressAutoHyphens/>
      <w:autoSpaceDE w:val="0"/>
      <w:autoSpaceDN w:val="0"/>
      <w:adjustRightInd w:val="0"/>
      <w:spacing w:after="0" w:line="280" w:lineRule="atLeast"/>
      <w:ind w:left="1134" w:hanging="1134"/>
      <w:textAlignment w:val="center"/>
    </w:pPr>
    <w:rPr>
      <w:rFonts w:eastAsia="Times New Roman" w:cs="MyriadPro-Regular"/>
      <w:color w:val="FFFFFF"/>
      <w:lang w:val="en-GB"/>
    </w:rPr>
  </w:style>
  <w:style w:type="table" w:styleId="GridTable4-Accent1">
    <w:name w:val="Grid Table 4 Accent 1"/>
    <w:basedOn w:val="TableNormal"/>
    <w:uiPriority w:val="49"/>
    <w:rsid w:val="00C819B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9A284B"/>
    <w:rPr>
      <w:color w:val="808080"/>
    </w:rPr>
  </w:style>
  <w:style w:type="paragraph" w:styleId="EndnoteText">
    <w:name w:val="endnote text"/>
    <w:basedOn w:val="Normal"/>
    <w:link w:val="EndnoteTextChar"/>
    <w:uiPriority w:val="99"/>
    <w:semiHidden/>
    <w:unhideWhenUsed/>
    <w:rsid w:val="00B523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3A7"/>
    <w:rPr>
      <w:lang w:eastAsia="en-US"/>
    </w:rPr>
  </w:style>
  <w:style w:type="character" w:styleId="EndnoteReference">
    <w:name w:val="endnote reference"/>
    <w:basedOn w:val="DefaultParagraphFont"/>
    <w:uiPriority w:val="99"/>
    <w:semiHidden/>
    <w:unhideWhenUsed/>
    <w:rsid w:val="00B523A7"/>
    <w:rPr>
      <w:vertAlign w:val="superscript"/>
    </w:rPr>
  </w:style>
  <w:style w:type="paragraph" w:styleId="BodyText">
    <w:name w:val="Body Text"/>
    <w:link w:val="BodyTextChar"/>
    <w:qFormat/>
    <w:rsid w:val="00C2780F"/>
    <w:pPr>
      <w:spacing w:before="120" w:after="120" w:line="264" w:lineRule="auto"/>
    </w:pPr>
    <w:rPr>
      <w:rFonts w:ascii="Calibri" w:hAnsi="Calibri"/>
      <w:color w:val="000000"/>
      <w:sz w:val="24"/>
      <w:szCs w:val="22"/>
    </w:rPr>
  </w:style>
  <w:style w:type="character" w:customStyle="1" w:styleId="BodyTextChar">
    <w:name w:val="Body Text Char"/>
    <w:basedOn w:val="DefaultParagraphFont"/>
    <w:link w:val="BodyText"/>
    <w:rsid w:val="00C2780F"/>
    <w:rPr>
      <w:rFonts w:ascii="Calibri" w:hAnsi="Calibri"/>
      <w:color w:val="000000"/>
      <w:sz w:val="24"/>
      <w:szCs w:val="22"/>
    </w:rPr>
  </w:style>
  <w:style w:type="table" w:styleId="ListTable4-Accent1">
    <w:name w:val="List Table 4 Accent 1"/>
    <w:basedOn w:val="TableNormal"/>
    <w:uiPriority w:val="49"/>
    <w:rsid w:val="00250F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A2661E"/>
    <w:rPr>
      <w:color w:val="800080" w:themeColor="followedHyperlink"/>
      <w:u w:val="single"/>
    </w:rPr>
  </w:style>
  <w:style w:type="paragraph" w:customStyle="1" w:styleId="CoverTitle">
    <w:name w:val="Cover Title"/>
    <w:basedOn w:val="Normal"/>
    <w:uiPriority w:val="5"/>
    <w:qFormat/>
    <w:rsid w:val="00025519"/>
    <w:pPr>
      <w:spacing w:after="360"/>
    </w:pPr>
    <w:rPr>
      <w:rFonts w:eastAsiaTheme="majorEastAsia" w:cstheme="majorBidi"/>
      <w:color w:val="1F497D" w:themeColor="text2"/>
      <w:spacing w:val="-5"/>
      <w:sz w:val="56"/>
      <w:szCs w:val="52"/>
    </w:rPr>
  </w:style>
  <w:style w:type="table" w:styleId="GridTable5Dark-Accent1">
    <w:name w:val="Grid Table 5 Dark Accent 1"/>
    <w:basedOn w:val="TableNormal"/>
    <w:uiPriority w:val="50"/>
    <w:rsid w:val="00D747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250">
      <w:bodyDiv w:val="1"/>
      <w:marLeft w:val="0"/>
      <w:marRight w:val="0"/>
      <w:marTop w:val="0"/>
      <w:marBottom w:val="0"/>
      <w:divBdr>
        <w:top w:val="none" w:sz="0" w:space="0" w:color="auto"/>
        <w:left w:val="none" w:sz="0" w:space="0" w:color="auto"/>
        <w:bottom w:val="none" w:sz="0" w:space="0" w:color="auto"/>
        <w:right w:val="none" w:sz="0" w:space="0" w:color="auto"/>
      </w:divBdr>
    </w:div>
    <w:div w:id="61491880">
      <w:bodyDiv w:val="1"/>
      <w:marLeft w:val="0"/>
      <w:marRight w:val="0"/>
      <w:marTop w:val="0"/>
      <w:marBottom w:val="0"/>
      <w:divBdr>
        <w:top w:val="none" w:sz="0" w:space="0" w:color="auto"/>
        <w:left w:val="none" w:sz="0" w:space="0" w:color="auto"/>
        <w:bottom w:val="none" w:sz="0" w:space="0" w:color="auto"/>
        <w:right w:val="none" w:sz="0" w:space="0" w:color="auto"/>
      </w:divBdr>
    </w:div>
    <w:div w:id="116486943">
      <w:bodyDiv w:val="1"/>
      <w:marLeft w:val="0"/>
      <w:marRight w:val="0"/>
      <w:marTop w:val="0"/>
      <w:marBottom w:val="0"/>
      <w:divBdr>
        <w:top w:val="none" w:sz="0" w:space="0" w:color="auto"/>
        <w:left w:val="none" w:sz="0" w:space="0" w:color="auto"/>
        <w:bottom w:val="none" w:sz="0" w:space="0" w:color="auto"/>
        <w:right w:val="none" w:sz="0" w:space="0" w:color="auto"/>
      </w:divBdr>
    </w:div>
    <w:div w:id="119610571">
      <w:bodyDiv w:val="1"/>
      <w:marLeft w:val="0"/>
      <w:marRight w:val="0"/>
      <w:marTop w:val="0"/>
      <w:marBottom w:val="0"/>
      <w:divBdr>
        <w:top w:val="none" w:sz="0" w:space="0" w:color="auto"/>
        <w:left w:val="none" w:sz="0" w:space="0" w:color="auto"/>
        <w:bottom w:val="none" w:sz="0" w:space="0" w:color="auto"/>
        <w:right w:val="none" w:sz="0" w:space="0" w:color="auto"/>
      </w:divBdr>
    </w:div>
    <w:div w:id="353117236">
      <w:bodyDiv w:val="1"/>
      <w:marLeft w:val="0"/>
      <w:marRight w:val="0"/>
      <w:marTop w:val="0"/>
      <w:marBottom w:val="0"/>
      <w:divBdr>
        <w:top w:val="none" w:sz="0" w:space="0" w:color="auto"/>
        <w:left w:val="none" w:sz="0" w:space="0" w:color="auto"/>
        <w:bottom w:val="none" w:sz="0" w:space="0" w:color="auto"/>
        <w:right w:val="none" w:sz="0" w:space="0" w:color="auto"/>
      </w:divBdr>
    </w:div>
    <w:div w:id="369302158">
      <w:bodyDiv w:val="1"/>
      <w:marLeft w:val="0"/>
      <w:marRight w:val="0"/>
      <w:marTop w:val="0"/>
      <w:marBottom w:val="0"/>
      <w:divBdr>
        <w:top w:val="none" w:sz="0" w:space="0" w:color="auto"/>
        <w:left w:val="none" w:sz="0" w:space="0" w:color="auto"/>
        <w:bottom w:val="none" w:sz="0" w:space="0" w:color="auto"/>
        <w:right w:val="none" w:sz="0" w:space="0" w:color="auto"/>
      </w:divBdr>
    </w:div>
    <w:div w:id="627273367">
      <w:bodyDiv w:val="1"/>
      <w:marLeft w:val="0"/>
      <w:marRight w:val="0"/>
      <w:marTop w:val="0"/>
      <w:marBottom w:val="0"/>
      <w:divBdr>
        <w:top w:val="none" w:sz="0" w:space="0" w:color="auto"/>
        <w:left w:val="none" w:sz="0" w:space="0" w:color="auto"/>
        <w:bottom w:val="none" w:sz="0" w:space="0" w:color="auto"/>
        <w:right w:val="none" w:sz="0" w:space="0" w:color="auto"/>
      </w:divBdr>
    </w:div>
    <w:div w:id="967391466">
      <w:bodyDiv w:val="1"/>
      <w:marLeft w:val="0"/>
      <w:marRight w:val="0"/>
      <w:marTop w:val="0"/>
      <w:marBottom w:val="0"/>
      <w:divBdr>
        <w:top w:val="none" w:sz="0" w:space="0" w:color="auto"/>
        <w:left w:val="none" w:sz="0" w:space="0" w:color="auto"/>
        <w:bottom w:val="none" w:sz="0" w:space="0" w:color="auto"/>
        <w:right w:val="none" w:sz="0" w:space="0" w:color="auto"/>
      </w:divBdr>
    </w:div>
    <w:div w:id="1125926943">
      <w:bodyDiv w:val="1"/>
      <w:marLeft w:val="0"/>
      <w:marRight w:val="0"/>
      <w:marTop w:val="0"/>
      <w:marBottom w:val="0"/>
      <w:divBdr>
        <w:top w:val="none" w:sz="0" w:space="0" w:color="auto"/>
        <w:left w:val="none" w:sz="0" w:space="0" w:color="auto"/>
        <w:bottom w:val="none" w:sz="0" w:space="0" w:color="auto"/>
        <w:right w:val="none" w:sz="0" w:space="0" w:color="auto"/>
      </w:divBdr>
    </w:div>
    <w:div w:id="1189218310">
      <w:bodyDiv w:val="1"/>
      <w:marLeft w:val="0"/>
      <w:marRight w:val="0"/>
      <w:marTop w:val="0"/>
      <w:marBottom w:val="0"/>
      <w:divBdr>
        <w:top w:val="none" w:sz="0" w:space="0" w:color="auto"/>
        <w:left w:val="none" w:sz="0" w:space="0" w:color="auto"/>
        <w:bottom w:val="none" w:sz="0" w:space="0" w:color="auto"/>
        <w:right w:val="none" w:sz="0" w:space="0" w:color="auto"/>
      </w:divBdr>
    </w:div>
    <w:div w:id="1310789162">
      <w:bodyDiv w:val="1"/>
      <w:marLeft w:val="0"/>
      <w:marRight w:val="0"/>
      <w:marTop w:val="0"/>
      <w:marBottom w:val="0"/>
      <w:divBdr>
        <w:top w:val="none" w:sz="0" w:space="0" w:color="auto"/>
        <w:left w:val="none" w:sz="0" w:space="0" w:color="auto"/>
        <w:bottom w:val="none" w:sz="0" w:space="0" w:color="auto"/>
        <w:right w:val="none" w:sz="0" w:space="0" w:color="auto"/>
      </w:divBdr>
    </w:div>
    <w:div w:id="1345090708">
      <w:bodyDiv w:val="1"/>
      <w:marLeft w:val="0"/>
      <w:marRight w:val="0"/>
      <w:marTop w:val="0"/>
      <w:marBottom w:val="0"/>
      <w:divBdr>
        <w:top w:val="none" w:sz="0" w:space="0" w:color="auto"/>
        <w:left w:val="none" w:sz="0" w:space="0" w:color="auto"/>
        <w:bottom w:val="none" w:sz="0" w:space="0" w:color="auto"/>
        <w:right w:val="none" w:sz="0" w:space="0" w:color="auto"/>
      </w:divBdr>
    </w:div>
    <w:div w:id="1474445588">
      <w:bodyDiv w:val="1"/>
      <w:marLeft w:val="0"/>
      <w:marRight w:val="0"/>
      <w:marTop w:val="0"/>
      <w:marBottom w:val="0"/>
      <w:divBdr>
        <w:top w:val="none" w:sz="0" w:space="0" w:color="auto"/>
        <w:left w:val="none" w:sz="0" w:space="0" w:color="auto"/>
        <w:bottom w:val="none" w:sz="0" w:space="0" w:color="auto"/>
        <w:right w:val="none" w:sz="0" w:space="0" w:color="auto"/>
      </w:divBdr>
    </w:div>
    <w:div w:id="1475179693">
      <w:bodyDiv w:val="1"/>
      <w:marLeft w:val="0"/>
      <w:marRight w:val="0"/>
      <w:marTop w:val="0"/>
      <w:marBottom w:val="0"/>
      <w:divBdr>
        <w:top w:val="none" w:sz="0" w:space="0" w:color="auto"/>
        <w:left w:val="none" w:sz="0" w:space="0" w:color="auto"/>
        <w:bottom w:val="none" w:sz="0" w:space="0" w:color="auto"/>
        <w:right w:val="none" w:sz="0" w:space="0" w:color="auto"/>
      </w:divBdr>
    </w:div>
    <w:div w:id="1475485885">
      <w:bodyDiv w:val="1"/>
      <w:marLeft w:val="0"/>
      <w:marRight w:val="0"/>
      <w:marTop w:val="0"/>
      <w:marBottom w:val="0"/>
      <w:divBdr>
        <w:top w:val="none" w:sz="0" w:space="0" w:color="auto"/>
        <w:left w:val="none" w:sz="0" w:space="0" w:color="auto"/>
        <w:bottom w:val="none" w:sz="0" w:space="0" w:color="auto"/>
        <w:right w:val="none" w:sz="0" w:space="0" w:color="auto"/>
      </w:divBdr>
    </w:div>
    <w:div w:id="1562667184">
      <w:bodyDiv w:val="1"/>
      <w:marLeft w:val="0"/>
      <w:marRight w:val="0"/>
      <w:marTop w:val="0"/>
      <w:marBottom w:val="0"/>
      <w:divBdr>
        <w:top w:val="none" w:sz="0" w:space="0" w:color="auto"/>
        <w:left w:val="none" w:sz="0" w:space="0" w:color="auto"/>
        <w:bottom w:val="none" w:sz="0" w:space="0" w:color="auto"/>
        <w:right w:val="none" w:sz="0" w:space="0" w:color="auto"/>
      </w:divBdr>
    </w:div>
    <w:div w:id="1562670085">
      <w:bodyDiv w:val="1"/>
      <w:marLeft w:val="0"/>
      <w:marRight w:val="0"/>
      <w:marTop w:val="0"/>
      <w:marBottom w:val="0"/>
      <w:divBdr>
        <w:top w:val="none" w:sz="0" w:space="0" w:color="auto"/>
        <w:left w:val="none" w:sz="0" w:space="0" w:color="auto"/>
        <w:bottom w:val="none" w:sz="0" w:space="0" w:color="auto"/>
        <w:right w:val="none" w:sz="0" w:space="0" w:color="auto"/>
      </w:divBdr>
    </w:div>
    <w:div w:id="1610427025">
      <w:bodyDiv w:val="1"/>
      <w:marLeft w:val="0"/>
      <w:marRight w:val="0"/>
      <w:marTop w:val="0"/>
      <w:marBottom w:val="0"/>
      <w:divBdr>
        <w:top w:val="none" w:sz="0" w:space="0" w:color="auto"/>
        <w:left w:val="none" w:sz="0" w:space="0" w:color="auto"/>
        <w:bottom w:val="none" w:sz="0" w:space="0" w:color="auto"/>
        <w:right w:val="none" w:sz="0" w:space="0" w:color="auto"/>
      </w:divBdr>
    </w:div>
    <w:div w:id="1639450708">
      <w:bodyDiv w:val="1"/>
      <w:marLeft w:val="0"/>
      <w:marRight w:val="0"/>
      <w:marTop w:val="0"/>
      <w:marBottom w:val="0"/>
      <w:divBdr>
        <w:top w:val="none" w:sz="0" w:space="0" w:color="auto"/>
        <w:left w:val="none" w:sz="0" w:space="0" w:color="auto"/>
        <w:bottom w:val="none" w:sz="0" w:space="0" w:color="auto"/>
        <w:right w:val="none" w:sz="0" w:space="0" w:color="auto"/>
      </w:divBdr>
    </w:div>
    <w:div w:id="1674410734">
      <w:bodyDiv w:val="1"/>
      <w:marLeft w:val="0"/>
      <w:marRight w:val="0"/>
      <w:marTop w:val="0"/>
      <w:marBottom w:val="0"/>
      <w:divBdr>
        <w:top w:val="none" w:sz="0" w:space="0" w:color="auto"/>
        <w:left w:val="none" w:sz="0" w:space="0" w:color="auto"/>
        <w:bottom w:val="none" w:sz="0" w:space="0" w:color="auto"/>
        <w:right w:val="none" w:sz="0" w:space="0" w:color="auto"/>
      </w:divBdr>
    </w:div>
    <w:div w:id="18497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emo.com.au/Electricity/Wholesale-Electricity-Market-WEM/Planning-and-forecasting/WEM-Electricity-Statement-of-Opportunities" TargetMode="External"/><Relationship Id="rId18" Type="http://schemas.openxmlformats.org/officeDocument/2006/relationships/hyperlink" Target="http://www.utilicom.nt.gov.au/Newsroom/Lists/Posts/Post.aspx?ID=24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emo.com.au/Electricity/National-Electricity-Market-NEM/Planning-and-forecasting/NEM-Electricity-Statement-of-Opportunities" TargetMode="External"/><Relationship Id="rId17" Type="http://schemas.openxmlformats.org/officeDocument/2006/relationships/hyperlink" Target="https://www.aemo.com.au/-/media/Files/Electricity/NEM/Planning_and_Forecasting/NEFR/2016/Projections-of-Gas-and-Electricity-Used-in-LNG.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ea.org/weo20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mo.com.au/-/media/Files/Gas/National_Planning_and_Forecasting/WA_GSOO/2016/2016-WA-Gas-Statement-of-Opportunities.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nergynetworks.com.au/sites/default/files/climateworks_australia_gas-electricity_substitution_projections_to_2050_september_2016.pdf" TargetMode="External"/><Relationship Id="rId23" Type="http://schemas.openxmlformats.org/officeDocument/2006/relationships/footer" Target="footer2.xml"/><Relationship Id="rId10" Type="http://schemas.openxmlformats.org/officeDocument/2006/relationships/hyperlink" Target="https://www.aemo.com.au/-/media/Files/Gas/National_Planning_and_Forecasting/NGFR/2016/2016-National-Gas-Forecasting-Report-NGFR-Final.pdf" TargetMode="External"/><Relationship Id="rId19" Type="http://schemas.openxmlformats.org/officeDocument/2006/relationships/hyperlink" Target="http://dx.doi.org/10.1787/agr_outlook-2017-en" TargetMode="External"/><Relationship Id="rId4" Type="http://schemas.openxmlformats.org/officeDocument/2006/relationships/settings" Target="settings.xml"/><Relationship Id="rId9" Type="http://schemas.openxmlformats.org/officeDocument/2006/relationships/hyperlink" Target="https://www.acif.com.au/" TargetMode="External"/><Relationship Id="rId14" Type="http://schemas.openxmlformats.org/officeDocument/2006/relationships/hyperlink" Target="https://industry.gov.au/Office-of-the-Chief-Economist/Publications/Documents/aep/aep-2014-v2.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BB05-7556-4028-B782-F2DAA260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AA40B0A7.dotm</Template>
  <TotalTime>0</TotalTime>
  <Pages>21</Pages>
  <Words>7549</Words>
  <Characters>43033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Methodology for the 2017 Projections</vt:lpstr>
    </vt:vector>
  </TitlesOfParts>
  <Company/>
  <LinksUpToDate>false</LinksUpToDate>
  <CharactersWithSpaces>50482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for the 2017 Projections</dc:title>
  <dc:subject/>
  <dc:creator/>
  <cp:keywords/>
  <dc:description/>
  <cp:lastModifiedBy/>
  <cp:revision>1</cp:revision>
  <dcterms:created xsi:type="dcterms:W3CDTF">2018-05-11T03:39:00Z</dcterms:created>
  <dcterms:modified xsi:type="dcterms:W3CDTF">2018-05-11T03:39:00Z</dcterms:modified>
</cp:coreProperties>
</file>