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6CBA9" w14:textId="552995DC" w:rsidR="00B36B97" w:rsidRDefault="00EC4983">
      <w:pPr>
        <w:pStyle w:val="Body"/>
      </w:pPr>
      <w:r>
        <w:t xml:space="preserve"> </w:t>
      </w:r>
    </w:p>
    <w:p w14:paraId="69DFD48E" w14:textId="77777777" w:rsidR="00B36B97" w:rsidRDefault="00B36B97">
      <w:pPr>
        <w:pStyle w:val="Body"/>
        <w:spacing w:after="0"/>
        <w:jc w:val="center"/>
        <w:rPr>
          <w:b/>
          <w:bCs/>
          <w:sz w:val="16"/>
          <w:szCs w:val="16"/>
        </w:rPr>
      </w:pPr>
    </w:p>
    <w:p w14:paraId="4AEA3456" w14:textId="77777777" w:rsidR="00B36B97" w:rsidRDefault="00D45F65">
      <w:pPr>
        <w:pStyle w:val="Body"/>
        <w:spacing w:after="0"/>
        <w:jc w:val="center"/>
        <w:rPr>
          <w:b/>
          <w:bCs/>
        </w:rPr>
      </w:pPr>
      <w:bookmarkStart w:id="0" w:name="_GoBack"/>
      <w:r>
        <w:rPr>
          <w:b/>
          <w:bCs/>
          <w:lang w:val="en-US"/>
        </w:rPr>
        <w:t>Department of the Environment and Energy</w:t>
      </w:r>
    </w:p>
    <w:p w14:paraId="15E69E89" w14:textId="0A81AC6A" w:rsidR="00B36B97" w:rsidRDefault="00D45F65">
      <w:pPr>
        <w:pStyle w:val="Body"/>
        <w:spacing w:after="160"/>
        <w:jc w:val="center"/>
        <w:rPr>
          <w:b/>
          <w:bCs/>
        </w:rPr>
      </w:pPr>
      <w:r>
        <w:rPr>
          <w:b/>
          <w:bCs/>
          <w:lang w:val="en-US"/>
        </w:rPr>
        <w:t>2018</w:t>
      </w:r>
      <w:r w:rsidR="000E1BAF">
        <w:rPr>
          <w:b/>
          <w:bCs/>
          <w:lang w:val="en-US"/>
        </w:rPr>
        <w:t>-19</w:t>
      </w:r>
      <w:r>
        <w:rPr>
          <w:b/>
          <w:bCs/>
          <w:lang w:val="en-US"/>
        </w:rPr>
        <w:t xml:space="preserve"> Annual Report Environmental Indicators</w:t>
      </w:r>
      <w:bookmarkEnd w:id="0"/>
    </w:p>
    <w:p w14:paraId="4B5CB8B3" w14:textId="7777777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The following performance indicators should be read in conjunction with the Department</w:t>
      </w:r>
      <w:r>
        <w:rPr>
          <w:sz w:val="20"/>
          <w:szCs w:val="20"/>
        </w:rPr>
        <w:t xml:space="preserve">’s </w:t>
      </w:r>
      <w:r>
        <w:rPr>
          <w:sz w:val="20"/>
          <w:szCs w:val="20"/>
          <w:lang w:val="fr-FR"/>
        </w:rPr>
        <w:t xml:space="preserve">Annual Report. </w:t>
      </w:r>
    </w:p>
    <w:p w14:paraId="3F267714" w14:textId="77777777" w:rsidR="00B36B97" w:rsidRDefault="00D45F65">
      <w:pPr>
        <w:pStyle w:val="Body"/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Sites and Staffing</w:t>
      </w:r>
    </w:p>
    <w:p w14:paraId="41B3221E" w14:textId="77777777" w:rsidR="00B36B97" w:rsidRDefault="00D45F65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The Department operates nationally, with office facilities in:</w:t>
      </w:r>
    </w:p>
    <w:p w14:paraId="1030A94D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Canberra, ACT</w:t>
      </w:r>
    </w:p>
    <w:p w14:paraId="35DB9EA1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Darwin, NT</w:t>
      </w:r>
    </w:p>
    <w:p w14:paraId="45614E0B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Jabiru, NT</w:t>
      </w:r>
    </w:p>
    <w:p w14:paraId="40FBE7BE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Kingston, TAS</w:t>
      </w:r>
    </w:p>
    <w:p w14:paraId="1AF64582" w14:textId="77777777" w:rsidR="00B36B97" w:rsidRDefault="00B36B97">
      <w:pPr>
        <w:pStyle w:val="Body"/>
        <w:spacing w:after="0"/>
        <w:rPr>
          <w:sz w:val="20"/>
          <w:szCs w:val="20"/>
        </w:rPr>
      </w:pPr>
    </w:p>
    <w:p w14:paraId="74D54BC3" w14:textId="77777777" w:rsidR="00B36B97" w:rsidRDefault="00D45F65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The Department also has laboratories and workshops in:</w:t>
      </w:r>
    </w:p>
    <w:p w14:paraId="35C8793E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Darwin, NT</w:t>
      </w:r>
    </w:p>
    <w:p w14:paraId="66E00DAC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Jabiru, NT</w:t>
      </w:r>
    </w:p>
    <w:p w14:paraId="3C796AA2" w14:textId="77777777" w:rsidR="00B36B97" w:rsidRDefault="00D45F6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Hobart Port, TAS</w:t>
      </w:r>
    </w:p>
    <w:p w14:paraId="04975975" w14:textId="694A7E70" w:rsidR="00CC604E" w:rsidRPr="000A190E" w:rsidRDefault="00D45F65" w:rsidP="000A190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Kingston, TAS</w:t>
      </w:r>
    </w:p>
    <w:p w14:paraId="5DE8BE52" w14:textId="77777777" w:rsidR="00CC604E" w:rsidRDefault="00CC604E" w:rsidP="00CC604E">
      <w:pPr>
        <w:pStyle w:val="ListBullet"/>
        <w:numPr>
          <w:ilvl w:val="0"/>
          <w:numId w:val="0"/>
        </w:numPr>
      </w:pPr>
    </w:p>
    <w:p w14:paraId="4F9A310F" w14:textId="5FC6B5D0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 total area of these premises </w:t>
      </w:r>
      <w:r w:rsidR="001C6DBD">
        <w:rPr>
          <w:sz w:val="20"/>
          <w:szCs w:val="20"/>
          <w:lang w:val="en-US"/>
        </w:rPr>
        <w:t xml:space="preserve">has increased to </w:t>
      </w:r>
      <w:r w:rsidR="000A190E">
        <w:rPr>
          <w:sz w:val="20"/>
          <w:szCs w:val="20"/>
          <w:lang w:val="en-US"/>
        </w:rPr>
        <w:t>99,455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  <w:vertAlign w:val="superscript"/>
        </w:rPr>
        <w:t>2</w:t>
      </w:r>
      <w:r w:rsidR="001C6DBD">
        <w:rPr>
          <w:sz w:val="20"/>
          <w:szCs w:val="20"/>
          <w:lang w:val="en-US"/>
        </w:rPr>
        <w:t xml:space="preserve"> compared to 2017-18</w:t>
      </w:r>
      <w:r>
        <w:rPr>
          <w:sz w:val="20"/>
          <w:szCs w:val="20"/>
          <w:lang w:val="en-US"/>
        </w:rPr>
        <w:t xml:space="preserve"> accommodation footprint</w:t>
      </w:r>
      <w:r w:rsidR="001C6DBD">
        <w:rPr>
          <w:sz w:val="20"/>
          <w:szCs w:val="20"/>
          <w:lang w:val="en-US"/>
        </w:rPr>
        <w:t xml:space="preserve"> of 86,478m</w:t>
      </w:r>
      <w:r w:rsidR="001C6DBD"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val="en-US"/>
        </w:rPr>
        <w:t xml:space="preserve">. </w:t>
      </w:r>
      <w:r w:rsidR="001C6DB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</w:t>
      </w:r>
      <w:r w:rsidR="001C6DBD">
        <w:rPr>
          <w:sz w:val="20"/>
          <w:szCs w:val="20"/>
          <w:lang w:val="en-US"/>
        </w:rPr>
        <w:t xml:space="preserve">increase </w:t>
      </w:r>
      <w:r>
        <w:rPr>
          <w:sz w:val="20"/>
          <w:szCs w:val="20"/>
          <w:lang w:val="en-US"/>
        </w:rPr>
        <w:t xml:space="preserve">in space leased by the Department can be attributed </w:t>
      </w:r>
      <w:r w:rsidR="000A190E">
        <w:rPr>
          <w:sz w:val="20"/>
          <w:szCs w:val="20"/>
          <w:lang w:val="en-US"/>
        </w:rPr>
        <w:t>to a</w:t>
      </w:r>
      <w:r w:rsidR="006C28A4">
        <w:rPr>
          <w:sz w:val="20"/>
          <w:szCs w:val="20"/>
          <w:lang w:val="en-US"/>
        </w:rPr>
        <w:t xml:space="preserve">dditional facilities and smaller site buildings for the Australian Antarctic Division </w:t>
      </w:r>
      <w:r w:rsidR="00714572">
        <w:rPr>
          <w:sz w:val="20"/>
          <w:szCs w:val="20"/>
          <w:lang w:val="en-US"/>
        </w:rPr>
        <w:t xml:space="preserve">being </w:t>
      </w:r>
      <w:r w:rsidR="00393D25">
        <w:rPr>
          <w:sz w:val="20"/>
          <w:szCs w:val="20"/>
          <w:lang w:val="en-US"/>
        </w:rPr>
        <w:t xml:space="preserve">included </w:t>
      </w:r>
      <w:r w:rsidR="00714572">
        <w:rPr>
          <w:sz w:val="20"/>
          <w:szCs w:val="20"/>
          <w:lang w:val="en-US"/>
        </w:rPr>
        <w:t>in 2018-19 data.</w:t>
      </w:r>
    </w:p>
    <w:p w14:paraId="6958F6B2" w14:textId="7777777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Antarctic operations are based out of one research station on Macquarie Island and three Antarctic research stations (Casey, Davis and Mawson).</w:t>
      </w:r>
    </w:p>
    <w:p w14:paraId="14FCFA3C" w14:textId="7CD54A40" w:rsidR="00B36B97" w:rsidRPr="005C663D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The Department also has a number of staff located in other states and territories as well as overseas</w:t>
      </w:r>
      <w:r w:rsidR="00C2752E">
        <w:rPr>
          <w:sz w:val="20"/>
          <w:szCs w:val="20"/>
          <w:lang w:val="en-US"/>
        </w:rPr>
        <w:t xml:space="preserve"> under agreements with other state and Commonwealth Government agencies</w:t>
      </w:r>
      <w:r>
        <w:rPr>
          <w:sz w:val="20"/>
          <w:szCs w:val="20"/>
          <w:lang w:val="en-US"/>
        </w:rPr>
        <w:t xml:space="preserve">. </w:t>
      </w:r>
      <w:r w:rsidR="0038457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environmental management and reporting for these sites is completed by the organisations responsible for </w:t>
      </w:r>
      <w:r w:rsidRPr="005C663D">
        <w:rPr>
          <w:sz w:val="20"/>
          <w:szCs w:val="20"/>
          <w:lang w:val="en-US"/>
        </w:rPr>
        <w:t>these locations.</w:t>
      </w:r>
    </w:p>
    <w:p w14:paraId="721A2773" w14:textId="40745EC5" w:rsidR="00B36B97" w:rsidRDefault="00D45F65">
      <w:pPr>
        <w:pStyle w:val="Body"/>
        <w:rPr>
          <w:sz w:val="20"/>
          <w:szCs w:val="20"/>
        </w:rPr>
      </w:pPr>
      <w:r w:rsidRPr="005C663D">
        <w:rPr>
          <w:rFonts w:cs="Arial Unicode MS"/>
          <w:sz w:val="20"/>
          <w:szCs w:val="20"/>
        </w:rPr>
        <w:t>During 2018</w:t>
      </w:r>
      <w:r w:rsidR="006167BF">
        <w:rPr>
          <w:rFonts w:cs="Arial Unicode MS"/>
          <w:sz w:val="20"/>
          <w:szCs w:val="20"/>
        </w:rPr>
        <w:t>-19</w:t>
      </w:r>
      <w:r w:rsidRPr="005C663D">
        <w:rPr>
          <w:rFonts w:cs="Arial Unicode MS"/>
          <w:sz w:val="20"/>
          <w:szCs w:val="20"/>
        </w:rPr>
        <w:t xml:space="preserve">, the Department saw </w:t>
      </w:r>
      <w:r w:rsidR="00EB3A0E">
        <w:rPr>
          <w:rFonts w:cs="Arial Unicode MS"/>
          <w:sz w:val="20"/>
          <w:szCs w:val="20"/>
        </w:rPr>
        <w:t xml:space="preserve">less than 1% </w:t>
      </w:r>
      <w:r w:rsidR="006167BF">
        <w:rPr>
          <w:rFonts w:cs="Arial Unicode MS"/>
          <w:sz w:val="20"/>
          <w:szCs w:val="20"/>
        </w:rPr>
        <w:t>dec</w:t>
      </w:r>
      <w:r w:rsidR="006167BF" w:rsidRPr="005C663D">
        <w:rPr>
          <w:rFonts w:cs="Arial Unicode MS"/>
          <w:sz w:val="20"/>
          <w:szCs w:val="20"/>
        </w:rPr>
        <w:t>rease</w:t>
      </w:r>
      <w:r w:rsidR="006167BF">
        <w:rPr>
          <w:rFonts w:cs="Arial Unicode MS"/>
          <w:sz w:val="20"/>
          <w:szCs w:val="20"/>
        </w:rPr>
        <w:t xml:space="preserve"> in staff</w:t>
      </w:r>
      <w:r w:rsidR="00230E75">
        <w:rPr>
          <w:rFonts w:cs="Arial Unicode MS"/>
          <w:sz w:val="20"/>
          <w:szCs w:val="20"/>
        </w:rPr>
        <w:t>ing</w:t>
      </w:r>
      <w:r w:rsidR="006167BF">
        <w:rPr>
          <w:rFonts w:cs="Arial Unicode MS"/>
          <w:sz w:val="20"/>
          <w:szCs w:val="20"/>
        </w:rPr>
        <w:t xml:space="preserve"> numbers with </w:t>
      </w:r>
      <w:r w:rsidR="00230E75" w:rsidRPr="00B84DDE">
        <w:rPr>
          <w:rFonts w:cs="Arial Unicode MS"/>
          <w:sz w:val="20"/>
          <w:szCs w:val="20"/>
        </w:rPr>
        <w:t xml:space="preserve">2,214 in </w:t>
      </w:r>
      <w:r w:rsidR="00230E75" w:rsidRPr="00B84DDE">
        <w:rPr>
          <w:rFonts w:eastAsia="Arial Unicode MS" w:cs="Arial Unicode MS"/>
          <w:sz w:val="20"/>
          <w:szCs w:val="20"/>
          <w:lang w:val="en-US"/>
        </w:rPr>
        <w:t>total</w:t>
      </w:r>
      <w:r w:rsidRPr="00B84DDE">
        <w:rPr>
          <w:rFonts w:eastAsia="Arial Unicode MS" w:cs="Arial Unicode MS"/>
          <w:sz w:val="20"/>
          <w:szCs w:val="20"/>
          <w:lang w:val="en-US"/>
        </w:rPr>
        <w:t xml:space="preserve"> </w:t>
      </w:r>
      <w:r w:rsidR="00230E75" w:rsidRPr="00B84DDE">
        <w:rPr>
          <w:rFonts w:eastAsia="Arial Unicode MS" w:cs="Arial Unicode MS"/>
          <w:sz w:val="20"/>
          <w:szCs w:val="20"/>
          <w:lang w:val="en-US"/>
        </w:rPr>
        <w:t>ba</w:t>
      </w:r>
      <w:r w:rsidRPr="00B84DDE">
        <w:rPr>
          <w:rFonts w:eastAsia="Arial Unicode MS" w:cs="Arial Unicode MS"/>
          <w:sz w:val="20"/>
          <w:szCs w:val="20"/>
          <w:lang w:val="en-US"/>
        </w:rPr>
        <w:t xml:space="preserve">sed </w:t>
      </w:r>
      <w:r w:rsidR="00230E75" w:rsidRPr="00B84DDE">
        <w:rPr>
          <w:rFonts w:eastAsia="Arial Unicode MS" w:cs="Arial Unicode MS"/>
          <w:sz w:val="20"/>
          <w:szCs w:val="20"/>
          <w:lang w:val="en-US"/>
        </w:rPr>
        <w:t xml:space="preserve">in Australian </w:t>
      </w:r>
      <w:r w:rsidRPr="00B84DDE">
        <w:rPr>
          <w:rFonts w:eastAsia="Arial Unicode MS" w:cs="Arial Unicode MS"/>
          <w:sz w:val="20"/>
          <w:szCs w:val="20"/>
          <w:lang w:val="en-US"/>
        </w:rPr>
        <w:t xml:space="preserve">offices </w:t>
      </w:r>
      <w:r w:rsidR="00EC4983" w:rsidRPr="00B84DDE">
        <w:rPr>
          <w:rFonts w:eastAsia="Arial Unicode MS" w:cs="Arial Unicode MS"/>
          <w:sz w:val="20"/>
          <w:szCs w:val="20"/>
          <w:lang w:val="en-US"/>
        </w:rPr>
        <w:t>and</w:t>
      </w:r>
      <w:r w:rsidR="005C663D" w:rsidRPr="00B84DDE">
        <w:rPr>
          <w:rFonts w:eastAsia="Arial Unicode MS" w:cs="Arial Unicode MS"/>
          <w:sz w:val="20"/>
          <w:szCs w:val="20"/>
          <w:lang w:val="en-US"/>
        </w:rPr>
        <w:t xml:space="preserve"> </w:t>
      </w:r>
      <w:r w:rsidR="00230E75" w:rsidRPr="00B84DDE">
        <w:rPr>
          <w:rFonts w:eastAsia="Arial Unicode MS" w:cs="Arial Unicode MS"/>
          <w:sz w:val="20"/>
          <w:szCs w:val="20"/>
          <w:lang w:val="en-US"/>
        </w:rPr>
        <w:t xml:space="preserve">117 </w:t>
      </w:r>
      <w:r w:rsidR="005C663D" w:rsidRPr="00B84DDE">
        <w:rPr>
          <w:rFonts w:eastAsia="Arial Unicode MS" w:cs="Arial Unicode MS"/>
          <w:sz w:val="20"/>
          <w:szCs w:val="20"/>
          <w:lang w:val="en-US"/>
        </w:rPr>
        <w:t>i</w:t>
      </w:r>
      <w:r w:rsidRPr="00B84DDE">
        <w:rPr>
          <w:rFonts w:eastAsia="Arial Unicode MS" w:cs="Arial Unicode MS"/>
          <w:sz w:val="20"/>
          <w:szCs w:val="20"/>
          <w:lang w:val="en-US"/>
        </w:rPr>
        <w:t>nvolved in Antarctic operations.</w:t>
      </w:r>
    </w:p>
    <w:p w14:paraId="706854EB" w14:textId="77777777" w:rsidR="00B36B97" w:rsidRDefault="00D45F65">
      <w:pPr>
        <w:pStyle w:val="Body"/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Environmental Management</w:t>
      </w:r>
    </w:p>
    <w:p w14:paraId="6D8EBC2C" w14:textId="7777777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Due to the diverse nature of the Department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s operations the day-to-day management of environmental performance is completed at a local level.</w:t>
      </w:r>
    </w:p>
    <w:p w14:paraId="17D5C71E" w14:textId="06199685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 Department is committed to planning, implementing and monitoring measures to improve environmental performance across all offices and tenancies. </w:t>
      </w:r>
      <w:r w:rsidR="0056751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 Department approaches the reduction of operational environmental impacts strategically by reviewing available data and focusing on continuous improvement, with the support of our outsourced property services provider.</w:t>
      </w:r>
    </w:p>
    <w:p w14:paraId="7F44895C" w14:textId="1266A941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Although no dedicated Environmental Management System </w:t>
      </w:r>
      <w:r w:rsidR="002F0E9B">
        <w:rPr>
          <w:sz w:val="20"/>
          <w:szCs w:val="20"/>
          <w:lang w:val="en-US"/>
        </w:rPr>
        <w:t xml:space="preserve">(EMS) </w:t>
      </w:r>
      <w:r>
        <w:rPr>
          <w:sz w:val="20"/>
          <w:szCs w:val="20"/>
          <w:lang w:val="en-US"/>
        </w:rPr>
        <w:t>is in place at offices and laboratories based in Canberra and the Northern Territory, operations are conducted in a manner consistent with the Department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s aim to minimise the ecological impact on the environment.</w:t>
      </w:r>
    </w:p>
    <w:p w14:paraId="035688DC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29CD0BE8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3A4E8EA9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72C3B8E4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79321A07" w14:textId="77777777" w:rsidR="00EE1B6E" w:rsidRDefault="00EE1B6E">
      <w:pPr>
        <w:pStyle w:val="Body"/>
        <w:spacing w:after="120"/>
        <w:rPr>
          <w:sz w:val="20"/>
          <w:szCs w:val="20"/>
          <w:lang w:val="en-US"/>
        </w:rPr>
      </w:pPr>
    </w:p>
    <w:p w14:paraId="5998F850" w14:textId="20DC6200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Australian Antarctic Division</w:t>
      </w:r>
      <w:r w:rsidR="004234E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continue</w:t>
      </w:r>
      <w:r w:rsidR="00C03379">
        <w:rPr>
          <w:sz w:val="20"/>
          <w:szCs w:val="20"/>
          <w:lang w:val="en-US"/>
        </w:rPr>
        <w:t>d</w:t>
      </w:r>
      <w:r w:rsidR="0011636C">
        <w:rPr>
          <w:sz w:val="20"/>
          <w:szCs w:val="20"/>
          <w:lang w:val="en-US"/>
        </w:rPr>
        <w:t xml:space="preserve"> to</w:t>
      </w:r>
      <w:r>
        <w:rPr>
          <w:sz w:val="20"/>
          <w:szCs w:val="20"/>
          <w:lang w:val="en-US"/>
        </w:rPr>
        <w:t xml:space="preserve"> demonstrate </w:t>
      </w:r>
      <w:r w:rsidR="00E6393D">
        <w:rPr>
          <w:sz w:val="20"/>
          <w:szCs w:val="20"/>
          <w:lang w:val="en-US"/>
        </w:rPr>
        <w:t xml:space="preserve">leadership in environment protection across all its activities in Australia and Antarctica against </w:t>
      </w:r>
      <w:r>
        <w:rPr>
          <w:sz w:val="20"/>
          <w:szCs w:val="20"/>
          <w:lang w:val="en-US"/>
        </w:rPr>
        <w:t xml:space="preserve">ISO 14001 </w:t>
      </w:r>
      <w:r w:rsidR="00E6393D">
        <w:rPr>
          <w:sz w:val="20"/>
          <w:szCs w:val="20"/>
          <w:lang w:val="en-US"/>
        </w:rPr>
        <w:t xml:space="preserve">and </w:t>
      </w:r>
      <w:r>
        <w:rPr>
          <w:sz w:val="20"/>
          <w:szCs w:val="20"/>
          <w:lang w:val="en-US"/>
        </w:rPr>
        <w:t>through its EMS.</w:t>
      </w:r>
      <w:r w:rsidR="00272B67">
        <w:rPr>
          <w:sz w:val="20"/>
          <w:szCs w:val="20"/>
          <w:lang w:val="en-US"/>
        </w:rPr>
        <w:t xml:space="preserve">  Environmental performance </w:t>
      </w:r>
      <w:r w:rsidR="002F0E9B">
        <w:rPr>
          <w:sz w:val="20"/>
          <w:szCs w:val="20"/>
          <w:lang w:val="en-US"/>
        </w:rPr>
        <w:t xml:space="preserve">was </w:t>
      </w:r>
      <w:r w:rsidR="00272B67">
        <w:rPr>
          <w:sz w:val="20"/>
          <w:szCs w:val="20"/>
          <w:lang w:val="en-US"/>
        </w:rPr>
        <w:t>at the forefront</w:t>
      </w:r>
      <w:r w:rsidR="00C2752E">
        <w:rPr>
          <w:sz w:val="20"/>
          <w:szCs w:val="20"/>
          <w:lang w:val="en-US"/>
        </w:rPr>
        <w:t>,</w:t>
      </w:r>
      <w:r w:rsidR="00272B67">
        <w:rPr>
          <w:sz w:val="20"/>
          <w:szCs w:val="20"/>
          <w:lang w:val="en-US"/>
        </w:rPr>
        <w:t xml:space="preserve"> with regular communication to staff and public.</w:t>
      </w:r>
    </w:p>
    <w:p w14:paraId="5C7B0E12" w14:textId="114E0F0B" w:rsidR="00B36B97" w:rsidRDefault="00D45F65">
      <w:pPr>
        <w:pStyle w:val="Body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  <w:lang w:val="en-US"/>
        </w:rPr>
        <w:t>Staff based in other states</w:t>
      </w:r>
      <w:r w:rsidR="005F791A">
        <w:rPr>
          <w:rFonts w:eastAsia="Arial Unicode MS" w:cs="Arial Unicode MS"/>
          <w:sz w:val="20"/>
          <w:szCs w:val="20"/>
          <w:lang w:val="en-US"/>
        </w:rPr>
        <w:t>,</w:t>
      </w:r>
      <w:r>
        <w:rPr>
          <w:rFonts w:eastAsia="Arial Unicode MS" w:cs="Arial Unicode MS"/>
          <w:sz w:val="20"/>
          <w:szCs w:val="20"/>
          <w:lang w:val="en-US"/>
        </w:rPr>
        <w:t xml:space="preserve"> territories </w:t>
      </w:r>
      <w:r w:rsidR="005F791A">
        <w:rPr>
          <w:rFonts w:eastAsia="Arial Unicode MS" w:cs="Arial Unicode MS"/>
          <w:sz w:val="20"/>
          <w:szCs w:val="20"/>
          <w:lang w:val="en-US"/>
        </w:rPr>
        <w:t xml:space="preserve">or </w:t>
      </w:r>
      <w:r>
        <w:rPr>
          <w:rFonts w:eastAsia="Arial Unicode MS" w:cs="Arial Unicode MS"/>
          <w:sz w:val="20"/>
          <w:szCs w:val="20"/>
          <w:lang w:val="en-US"/>
        </w:rPr>
        <w:t>overseas endeavour to meet environmental best practice wherever practicable.</w:t>
      </w:r>
    </w:p>
    <w:p w14:paraId="77D7AFCA" w14:textId="77777777" w:rsidR="00B36B97" w:rsidRDefault="00D45F65">
      <w:pPr>
        <w:pStyle w:val="Body"/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Energy</w:t>
      </w:r>
    </w:p>
    <w:p w14:paraId="287FBDC3" w14:textId="4AF07B26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Electricity and gas usage for national operations </w:t>
      </w:r>
      <w:r w:rsidR="004557A3">
        <w:rPr>
          <w:sz w:val="20"/>
          <w:szCs w:val="20"/>
          <w:lang w:val="en-US"/>
        </w:rPr>
        <w:t>de</w:t>
      </w:r>
      <w:r>
        <w:rPr>
          <w:sz w:val="20"/>
          <w:szCs w:val="20"/>
          <w:lang w:val="en-US"/>
        </w:rPr>
        <w:t>creased in the 20</w:t>
      </w:r>
      <w:r w:rsidR="004557A3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8</w:t>
      </w:r>
      <w:r w:rsidR="004557A3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period, and usage per person also </w:t>
      </w:r>
      <w:r w:rsidR="004557A3">
        <w:rPr>
          <w:sz w:val="20"/>
          <w:szCs w:val="20"/>
          <w:lang w:val="en-US"/>
        </w:rPr>
        <w:t>de</w:t>
      </w:r>
      <w:r>
        <w:rPr>
          <w:sz w:val="20"/>
          <w:szCs w:val="20"/>
          <w:lang w:val="en-US"/>
        </w:rPr>
        <w:t xml:space="preserve">creased. </w:t>
      </w:r>
      <w:r w:rsidR="004557A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Electricity usage in the 2018</w:t>
      </w:r>
      <w:r w:rsidR="004557A3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 equates to </w:t>
      </w:r>
      <w:r w:rsidR="004557A3">
        <w:rPr>
          <w:sz w:val="20"/>
          <w:szCs w:val="20"/>
          <w:lang w:val="en-US"/>
        </w:rPr>
        <w:t>2</w:t>
      </w:r>
      <w:r w:rsidR="002F0E9B">
        <w:rPr>
          <w:sz w:val="20"/>
          <w:szCs w:val="20"/>
          <w:lang w:val="en-US"/>
        </w:rPr>
        <w:t>98</w:t>
      </w:r>
      <w:r>
        <w:rPr>
          <w:sz w:val="20"/>
          <w:szCs w:val="20"/>
          <w:lang w:val="en-US"/>
        </w:rPr>
        <w:t xml:space="preserve"> MJ/m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val="en-US"/>
        </w:rPr>
        <w:t xml:space="preserve">. </w:t>
      </w:r>
      <w:r w:rsidR="006A1A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 Department continues to promote energy efficiency practices to staff and installs energy saving devices wherever practicable.</w:t>
      </w:r>
    </w:p>
    <w:p w14:paraId="479FB28A" w14:textId="5DEAF66A" w:rsidR="00B36B97" w:rsidRDefault="00D45F65">
      <w:pPr>
        <w:pStyle w:val="Body"/>
        <w:spacing w:after="120"/>
        <w:rPr>
          <w:sz w:val="20"/>
          <w:szCs w:val="20"/>
          <w:shd w:val="clear" w:color="auto" w:fill="FFFF00"/>
        </w:rPr>
      </w:pPr>
      <w:r>
        <w:rPr>
          <w:sz w:val="20"/>
          <w:szCs w:val="20"/>
          <w:lang w:val="en-US"/>
        </w:rPr>
        <w:t>Practices undertaken throughout the 2018</w:t>
      </w:r>
      <w:r w:rsidR="00A637D2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 included</w:t>
      </w:r>
      <w:r w:rsidR="002F0E9B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test and </w:t>
      </w:r>
      <w:r w:rsidRPr="00CC604E">
        <w:rPr>
          <w:sz w:val="20"/>
          <w:szCs w:val="20"/>
          <w:lang w:val="en-US"/>
        </w:rPr>
        <w:t>tagging</w:t>
      </w:r>
      <w:r w:rsidR="002F0E9B">
        <w:rPr>
          <w:sz w:val="20"/>
          <w:szCs w:val="20"/>
          <w:lang w:val="en-US"/>
        </w:rPr>
        <w:t>;</w:t>
      </w:r>
      <w:r w:rsidRPr="00CC604E">
        <w:rPr>
          <w:sz w:val="20"/>
          <w:szCs w:val="20"/>
          <w:lang w:val="en-US"/>
        </w:rPr>
        <w:t xml:space="preserve"> and condition reports of electrical equipment to assist in ensuring efficient use of electricity. </w:t>
      </w:r>
      <w:r w:rsidR="00A637D2" w:rsidRPr="00CC604E">
        <w:rPr>
          <w:sz w:val="20"/>
          <w:szCs w:val="20"/>
          <w:lang w:val="en-US"/>
        </w:rPr>
        <w:t xml:space="preserve"> </w:t>
      </w:r>
      <w:r w:rsidRPr="00CC604E">
        <w:rPr>
          <w:sz w:val="20"/>
          <w:szCs w:val="20"/>
          <w:lang w:val="en-US"/>
        </w:rPr>
        <w:t>Canberra-based sites also continued to purchase 100% Green Power to offset greenhouse gas emissions.</w:t>
      </w:r>
      <w:r>
        <w:rPr>
          <w:sz w:val="20"/>
          <w:szCs w:val="20"/>
          <w:lang w:val="en-US"/>
        </w:rPr>
        <w:t xml:space="preserve"> </w:t>
      </w:r>
    </w:p>
    <w:p w14:paraId="549123A9" w14:textId="63DEA1F7" w:rsidR="00B36B97" w:rsidRDefault="00D45F65">
      <w:pPr>
        <w:pStyle w:val="Body"/>
        <w:spacing w:after="120"/>
        <w:rPr>
          <w:color w:val="FF0000"/>
          <w:sz w:val="20"/>
          <w:szCs w:val="20"/>
          <w:u w:color="FF0000"/>
        </w:rPr>
      </w:pPr>
      <w:r w:rsidRPr="004A07FC">
        <w:rPr>
          <w:sz w:val="20"/>
          <w:szCs w:val="20"/>
          <w:lang w:val="en-US"/>
        </w:rPr>
        <w:t>The solar power system operating at the Department</w:t>
      </w:r>
      <w:r w:rsidRPr="004A07FC">
        <w:rPr>
          <w:sz w:val="20"/>
          <w:szCs w:val="20"/>
        </w:rPr>
        <w:t>’</w:t>
      </w:r>
      <w:r w:rsidRPr="004A07FC">
        <w:rPr>
          <w:sz w:val="20"/>
          <w:szCs w:val="20"/>
          <w:lang w:val="en-US"/>
        </w:rPr>
        <w:t xml:space="preserve">s Kingston premises produced </w:t>
      </w:r>
      <w:r w:rsidR="00393387" w:rsidRPr="004A07FC">
        <w:rPr>
          <w:sz w:val="20"/>
          <w:szCs w:val="20"/>
          <w:lang w:val="en-US"/>
        </w:rPr>
        <w:t>1,660,644</w:t>
      </w:r>
      <w:r w:rsidRPr="004A07FC">
        <w:rPr>
          <w:sz w:val="20"/>
          <w:szCs w:val="20"/>
          <w:lang w:val="en-US"/>
        </w:rPr>
        <w:t xml:space="preserve"> MJ of renewable energy</w:t>
      </w:r>
      <w:r w:rsidR="004A07FC" w:rsidRPr="004A07FC">
        <w:rPr>
          <w:sz w:val="20"/>
          <w:szCs w:val="20"/>
          <w:lang w:val="en-US"/>
        </w:rPr>
        <w:t xml:space="preserve"> and </w:t>
      </w:r>
      <w:r w:rsidRPr="004A07FC">
        <w:rPr>
          <w:sz w:val="20"/>
          <w:szCs w:val="20"/>
          <w:lang w:val="en-US"/>
        </w:rPr>
        <w:t xml:space="preserve">directly contributes to the Tasmanian power network. </w:t>
      </w:r>
    </w:p>
    <w:p w14:paraId="5F11E7D4" w14:textId="7C5AE44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Antarctic operations reported an increase in energy use, despite a decreased number of expeditioners. </w:t>
      </w:r>
      <w:r w:rsidR="00A637D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Environmental training is provided by the Australian Antarctic Division to all expeditioners, and energy efficient </w:t>
      </w:r>
      <w:proofErr w:type="spellStart"/>
      <w:r w:rsidR="00D65D0B">
        <w:rPr>
          <w:sz w:val="20"/>
          <w:szCs w:val="20"/>
          <w:lang w:val="en-US"/>
        </w:rPr>
        <w:t>behaviour</w:t>
      </w:r>
      <w:proofErr w:type="spellEnd"/>
      <w:r>
        <w:rPr>
          <w:sz w:val="20"/>
          <w:szCs w:val="20"/>
          <w:lang w:val="en-US"/>
        </w:rPr>
        <w:t xml:space="preserve"> is promoted across all stations.</w:t>
      </w:r>
    </w:p>
    <w:p w14:paraId="4CF79D43" w14:textId="77777777" w:rsidR="00B36B97" w:rsidRDefault="00D45F65">
      <w:pPr>
        <w:pStyle w:val="Body"/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Water</w:t>
      </w:r>
    </w:p>
    <w:p w14:paraId="5258E6BC" w14:textId="5A19005D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Due to the type of services available at the Jabiru Field Station, water consumption figures for the 2018</w:t>
      </w:r>
      <w:r w:rsidR="00D65D0B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 are unavailable for this location. </w:t>
      </w:r>
    </w:p>
    <w:p w14:paraId="405741DF" w14:textId="58ABB101" w:rsidR="007C58F0" w:rsidRDefault="00D45F65" w:rsidP="007C58F0">
      <w:pPr>
        <w:pStyle w:val="Body"/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Reportable water consumption within the Department’s Australian-based operations decreased</w:t>
      </w:r>
      <w:r w:rsidR="00D108FE">
        <w:rPr>
          <w:sz w:val="20"/>
          <w:szCs w:val="20"/>
          <w:lang w:val="en-US"/>
        </w:rPr>
        <w:t xml:space="preserve"> slightly </w:t>
      </w:r>
      <w:r>
        <w:rPr>
          <w:sz w:val="20"/>
          <w:szCs w:val="20"/>
          <w:lang w:val="en-US"/>
        </w:rPr>
        <w:t>throughout the 2018</w:t>
      </w:r>
      <w:r w:rsidR="00D65D0B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</w:t>
      </w:r>
      <w:r w:rsidR="007C58F0">
        <w:rPr>
          <w:sz w:val="20"/>
          <w:szCs w:val="20"/>
          <w:lang w:val="en-US"/>
        </w:rPr>
        <w:t xml:space="preserve"> while </w:t>
      </w:r>
      <w:r>
        <w:rPr>
          <w:sz w:val="20"/>
          <w:szCs w:val="20"/>
          <w:lang w:val="en-US"/>
        </w:rPr>
        <w:t>Antarctic operations reported a</w:t>
      </w:r>
      <w:r w:rsidR="007C58F0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 xml:space="preserve"> </w:t>
      </w:r>
      <w:r w:rsidR="001E655A">
        <w:rPr>
          <w:sz w:val="20"/>
          <w:szCs w:val="20"/>
          <w:lang w:val="en-US"/>
        </w:rPr>
        <w:t>in</w:t>
      </w:r>
      <w:r>
        <w:rPr>
          <w:sz w:val="20"/>
          <w:szCs w:val="20"/>
          <w:lang w:val="en-US"/>
        </w:rPr>
        <w:t>crease in water consumption</w:t>
      </w:r>
      <w:r w:rsidR="001E655A">
        <w:rPr>
          <w:sz w:val="20"/>
          <w:szCs w:val="20"/>
          <w:lang w:val="en-US"/>
        </w:rPr>
        <w:t xml:space="preserve"> for the </w:t>
      </w:r>
      <w:r w:rsidR="007C58F0">
        <w:rPr>
          <w:sz w:val="20"/>
          <w:szCs w:val="20"/>
          <w:lang w:val="en-US"/>
        </w:rPr>
        <w:t xml:space="preserve">same </w:t>
      </w:r>
      <w:r>
        <w:rPr>
          <w:sz w:val="20"/>
          <w:szCs w:val="20"/>
          <w:lang w:val="en-US"/>
        </w:rPr>
        <w:t>period</w:t>
      </w:r>
      <w:r w:rsidR="007C58F0">
        <w:rPr>
          <w:sz w:val="20"/>
          <w:szCs w:val="20"/>
          <w:lang w:val="en-US"/>
        </w:rPr>
        <w:t xml:space="preserve"> overall.</w:t>
      </w:r>
    </w:p>
    <w:p w14:paraId="746C2964" w14:textId="3EA7204D" w:rsidR="00B36B97" w:rsidRDefault="00D54A41" w:rsidP="007C58F0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Water saving </w:t>
      </w:r>
      <w:proofErr w:type="spellStart"/>
      <w:r>
        <w:rPr>
          <w:sz w:val="20"/>
          <w:szCs w:val="20"/>
          <w:lang w:val="en-US"/>
        </w:rPr>
        <w:t>behaviours</w:t>
      </w:r>
      <w:proofErr w:type="spellEnd"/>
      <w:r>
        <w:rPr>
          <w:sz w:val="20"/>
          <w:szCs w:val="20"/>
          <w:lang w:val="en-US"/>
        </w:rPr>
        <w:t xml:space="preserve"> are promoted t</w:t>
      </w:r>
      <w:r w:rsidR="00D45F65">
        <w:rPr>
          <w:sz w:val="20"/>
          <w:szCs w:val="20"/>
          <w:lang w:val="en-US"/>
        </w:rPr>
        <w:t xml:space="preserve">o </w:t>
      </w:r>
      <w:r>
        <w:rPr>
          <w:sz w:val="20"/>
          <w:szCs w:val="20"/>
          <w:lang w:val="en-US"/>
        </w:rPr>
        <w:t xml:space="preserve">all </w:t>
      </w:r>
      <w:r w:rsidR="00D45F65">
        <w:rPr>
          <w:sz w:val="20"/>
          <w:szCs w:val="20"/>
          <w:lang w:val="en-US"/>
        </w:rPr>
        <w:t>expeditioners involved in the Department’s Antarctic ope</w:t>
      </w:r>
      <w:r w:rsidR="007C58F0">
        <w:rPr>
          <w:sz w:val="20"/>
          <w:szCs w:val="20"/>
          <w:lang w:val="en-US"/>
        </w:rPr>
        <w:t>rations</w:t>
      </w:r>
      <w:r>
        <w:rPr>
          <w:sz w:val="20"/>
          <w:szCs w:val="20"/>
          <w:lang w:val="en-US"/>
        </w:rPr>
        <w:t xml:space="preserve"> and g</w:t>
      </w:r>
      <w:r w:rsidR="00C30DE6">
        <w:rPr>
          <w:sz w:val="20"/>
          <w:szCs w:val="20"/>
          <w:lang w:val="en-US"/>
        </w:rPr>
        <w:t>eneral staf</w:t>
      </w:r>
      <w:r w:rsidR="00127F44">
        <w:rPr>
          <w:sz w:val="20"/>
          <w:szCs w:val="20"/>
          <w:lang w:val="en-US"/>
        </w:rPr>
        <w:t xml:space="preserve">f </w:t>
      </w:r>
      <w:r>
        <w:rPr>
          <w:sz w:val="20"/>
          <w:szCs w:val="20"/>
          <w:lang w:val="en-US"/>
        </w:rPr>
        <w:t>across a</w:t>
      </w:r>
      <w:r w:rsidR="00127F44">
        <w:rPr>
          <w:sz w:val="20"/>
          <w:szCs w:val="20"/>
          <w:lang w:val="en-US"/>
        </w:rPr>
        <w:t xml:space="preserve">ll Australian-based </w:t>
      </w:r>
      <w:r w:rsidR="004A30E0">
        <w:rPr>
          <w:sz w:val="20"/>
          <w:szCs w:val="20"/>
          <w:lang w:val="en-US"/>
        </w:rPr>
        <w:t>operations</w:t>
      </w:r>
      <w:r w:rsidR="00127F44">
        <w:rPr>
          <w:sz w:val="20"/>
          <w:szCs w:val="20"/>
          <w:lang w:val="en-US"/>
        </w:rPr>
        <w:t>.</w:t>
      </w:r>
    </w:p>
    <w:p w14:paraId="747CDC0F" w14:textId="77777777" w:rsidR="00B36B97" w:rsidRDefault="00D45F65">
      <w:pPr>
        <w:pStyle w:val="Body"/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Transport</w:t>
      </w:r>
    </w:p>
    <w:p w14:paraId="751319AA" w14:textId="34D29557" w:rsidR="00B36B97" w:rsidRPr="00CF2549" w:rsidRDefault="00D45F65">
      <w:pPr>
        <w:pStyle w:val="Body"/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</w:t>
      </w:r>
      <w:r w:rsidR="00790480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 xml:space="preserve">epartmental fleet vehicles </w:t>
      </w:r>
      <w:r w:rsidR="00CF2549">
        <w:rPr>
          <w:sz w:val="20"/>
          <w:szCs w:val="20"/>
          <w:lang w:val="en-US"/>
        </w:rPr>
        <w:t>in</w:t>
      </w:r>
      <w:r>
        <w:rPr>
          <w:sz w:val="20"/>
          <w:szCs w:val="20"/>
          <w:lang w:val="en-US"/>
        </w:rPr>
        <w:t>creased in 2018</w:t>
      </w:r>
      <w:r w:rsidR="00CF2549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</w:t>
      </w:r>
      <w:r w:rsidR="00CF2549">
        <w:rPr>
          <w:sz w:val="20"/>
          <w:szCs w:val="20"/>
          <w:lang w:val="en-US"/>
        </w:rPr>
        <w:t xml:space="preserve">with </w:t>
      </w:r>
      <w:r w:rsidR="006F07BE">
        <w:rPr>
          <w:sz w:val="20"/>
          <w:szCs w:val="20"/>
          <w:lang w:val="en-US"/>
        </w:rPr>
        <w:t xml:space="preserve">a </w:t>
      </w:r>
      <w:r w:rsidR="00CF2549">
        <w:rPr>
          <w:sz w:val="20"/>
          <w:szCs w:val="20"/>
          <w:lang w:val="en-US"/>
        </w:rPr>
        <w:t xml:space="preserve">continued increase </w:t>
      </w:r>
      <w:r w:rsidR="00790480">
        <w:rPr>
          <w:sz w:val="20"/>
          <w:szCs w:val="20"/>
          <w:lang w:val="en-US"/>
        </w:rPr>
        <w:t xml:space="preserve">in the use </w:t>
      </w:r>
      <w:r w:rsidR="00CF2549">
        <w:rPr>
          <w:sz w:val="20"/>
          <w:szCs w:val="20"/>
          <w:lang w:val="en-US"/>
        </w:rPr>
        <w:t xml:space="preserve">of diesel fuel </w:t>
      </w:r>
      <w:r w:rsidR="008F352A">
        <w:rPr>
          <w:sz w:val="20"/>
          <w:szCs w:val="20"/>
          <w:lang w:val="en-US"/>
        </w:rPr>
        <w:t>in remote areas across Australia.</w:t>
      </w:r>
      <w:r>
        <w:rPr>
          <w:sz w:val="20"/>
          <w:szCs w:val="20"/>
          <w:lang w:val="en-US"/>
        </w:rPr>
        <w:t xml:space="preserve"> </w:t>
      </w:r>
    </w:p>
    <w:p w14:paraId="78CC9673" w14:textId="1C9827EA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Due to the changing nature of the Department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 xml:space="preserve">s operational requirements </w:t>
      </w:r>
      <w:r w:rsidR="006F07BE">
        <w:rPr>
          <w:sz w:val="20"/>
          <w:szCs w:val="20"/>
          <w:lang w:val="en-US"/>
        </w:rPr>
        <w:t xml:space="preserve">large </w:t>
      </w:r>
      <w:r>
        <w:rPr>
          <w:sz w:val="20"/>
          <w:szCs w:val="20"/>
          <w:lang w:val="en-US"/>
        </w:rPr>
        <w:t>fluctuations in fuel consumption is expected.</w:t>
      </w:r>
    </w:p>
    <w:p w14:paraId="5BB4B82E" w14:textId="77777777" w:rsidR="00B36B97" w:rsidRDefault="00D45F65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3F0AA709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16B6D472" w14:textId="77777777" w:rsidR="00B36B97" w:rsidRDefault="00B36B97">
      <w:pPr>
        <w:pStyle w:val="Body"/>
        <w:spacing w:after="120"/>
        <w:rPr>
          <w:sz w:val="20"/>
          <w:szCs w:val="20"/>
        </w:rPr>
      </w:pPr>
    </w:p>
    <w:p w14:paraId="7F00DA86" w14:textId="77777777" w:rsidR="00B36B97" w:rsidRDefault="00D45F65">
      <w:pPr>
        <w:pStyle w:val="Body"/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Resource Efficiency and Waste</w:t>
      </w:r>
    </w:p>
    <w:p w14:paraId="5ECC40F6" w14:textId="7777777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Due to the type of services available at the Jabiru Field Station, waste figures are not available for this location. Waste data for the Department</w:t>
      </w:r>
      <w:r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 xml:space="preserve">s 51 Allara Street premises is unavailable due to the multi-tenanted nature of this building. </w:t>
      </w:r>
    </w:p>
    <w:p w14:paraId="5CE507FD" w14:textId="53E97F98" w:rsidR="00B36B97" w:rsidRDefault="00074A0E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 w:rsidR="00D45F65">
        <w:rPr>
          <w:sz w:val="20"/>
          <w:szCs w:val="20"/>
          <w:lang w:val="en-US"/>
        </w:rPr>
        <w:t xml:space="preserve">opy paper purchased by the Department </w:t>
      </w:r>
      <w:r>
        <w:rPr>
          <w:sz w:val="20"/>
          <w:szCs w:val="20"/>
          <w:lang w:val="en-US"/>
        </w:rPr>
        <w:t xml:space="preserve">reduced </w:t>
      </w:r>
      <w:r w:rsidR="00D45F65">
        <w:rPr>
          <w:sz w:val="20"/>
          <w:szCs w:val="20"/>
          <w:lang w:val="en-US"/>
        </w:rPr>
        <w:t>in 2018</w:t>
      </w:r>
      <w:r>
        <w:rPr>
          <w:sz w:val="20"/>
          <w:szCs w:val="20"/>
          <w:lang w:val="en-US"/>
        </w:rPr>
        <w:t>-19</w:t>
      </w:r>
      <w:r w:rsidR="00D45F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staff are </w:t>
      </w:r>
      <w:r w:rsidR="000B1B4F">
        <w:rPr>
          <w:sz w:val="20"/>
          <w:szCs w:val="20"/>
          <w:lang w:val="en-US"/>
        </w:rPr>
        <w:t xml:space="preserve">continuously </w:t>
      </w:r>
      <w:r>
        <w:rPr>
          <w:sz w:val="20"/>
          <w:szCs w:val="20"/>
          <w:lang w:val="en-US"/>
        </w:rPr>
        <w:t>encourage</w:t>
      </w:r>
      <w:r w:rsidR="004A6CE8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 xml:space="preserve"> to </w:t>
      </w:r>
      <w:r w:rsidR="000B1B4F">
        <w:rPr>
          <w:sz w:val="20"/>
          <w:szCs w:val="20"/>
          <w:lang w:val="en-US"/>
        </w:rPr>
        <w:t>purchase paper items m</w:t>
      </w:r>
      <w:r w:rsidR="00D45F65">
        <w:rPr>
          <w:sz w:val="20"/>
          <w:szCs w:val="20"/>
          <w:lang w:val="en-US"/>
        </w:rPr>
        <w:t xml:space="preserve">ade from post-consumer recycled content. </w:t>
      </w:r>
      <w:r w:rsidR="000B1B4F">
        <w:rPr>
          <w:sz w:val="20"/>
          <w:szCs w:val="20"/>
          <w:lang w:val="en-US"/>
        </w:rPr>
        <w:t xml:space="preserve"> </w:t>
      </w:r>
      <w:r w:rsidR="00D45F65">
        <w:rPr>
          <w:sz w:val="20"/>
          <w:szCs w:val="20"/>
          <w:lang w:val="en-US"/>
        </w:rPr>
        <w:t xml:space="preserve">Battery and other resource recycling facilities are also made available where practicable. </w:t>
      </w:r>
    </w:p>
    <w:p w14:paraId="597060F5" w14:textId="77777777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>Canberra-based sites continue to participate in the ACT Smart Office Recycling Program.</w:t>
      </w:r>
    </w:p>
    <w:p w14:paraId="47446DFF" w14:textId="20A4EC3C" w:rsidR="00B36B97" w:rsidRDefault="00D45F65">
      <w:pPr>
        <w:pStyle w:val="Body"/>
        <w:spacing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Wastage figures from Antarctic operations </w:t>
      </w:r>
      <w:r w:rsidR="00790480">
        <w:rPr>
          <w:sz w:val="20"/>
          <w:szCs w:val="20"/>
          <w:lang w:val="en-US"/>
        </w:rPr>
        <w:t xml:space="preserve">are </w:t>
      </w:r>
      <w:r w:rsidR="000B1B4F">
        <w:rPr>
          <w:sz w:val="20"/>
          <w:szCs w:val="20"/>
          <w:lang w:val="en-US"/>
        </w:rPr>
        <w:t xml:space="preserve">expected to </w:t>
      </w:r>
      <w:r>
        <w:rPr>
          <w:sz w:val="20"/>
          <w:szCs w:val="20"/>
          <w:lang w:val="en-US"/>
        </w:rPr>
        <w:t>vary greatly depend</w:t>
      </w:r>
      <w:r w:rsidR="000B1B4F">
        <w:rPr>
          <w:sz w:val="20"/>
          <w:szCs w:val="20"/>
          <w:lang w:val="en-US"/>
        </w:rPr>
        <w:t xml:space="preserve">ing </w:t>
      </w:r>
      <w:r>
        <w:rPr>
          <w:sz w:val="20"/>
          <w:szCs w:val="20"/>
          <w:lang w:val="en-US"/>
        </w:rPr>
        <w:t>on the type of works occurring</w:t>
      </w:r>
      <w:r w:rsidR="000B1B4F">
        <w:rPr>
          <w:sz w:val="20"/>
          <w:szCs w:val="20"/>
          <w:lang w:val="en-US"/>
        </w:rPr>
        <w:t xml:space="preserve"> during the </w:t>
      </w:r>
      <w:r w:rsidR="00790480">
        <w:rPr>
          <w:sz w:val="20"/>
          <w:szCs w:val="20"/>
          <w:lang w:val="en-US"/>
        </w:rPr>
        <w:t xml:space="preserve">reporting </w:t>
      </w:r>
      <w:r w:rsidR="000B1B4F">
        <w:rPr>
          <w:sz w:val="20"/>
          <w:szCs w:val="20"/>
          <w:lang w:val="en-US"/>
        </w:rPr>
        <w:t>period</w:t>
      </w:r>
      <w:r>
        <w:rPr>
          <w:sz w:val="20"/>
          <w:szCs w:val="20"/>
          <w:lang w:val="en-US"/>
        </w:rPr>
        <w:t xml:space="preserve">. </w:t>
      </w:r>
      <w:r w:rsidR="000B1B4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This is reflected in the data for the 2018</w:t>
      </w:r>
      <w:r w:rsidR="000B1B4F">
        <w:rPr>
          <w:sz w:val="20"/>
          <w:szCs w:val="20"/>
          <w:lang w:val="en-US"/>
        </w:rPr>
        <w:t>-19</w:t>
      </w:r>
      <w:r>
        <w:rPr>
          <w:sz w:val="20"/>
          <w:szCs w:val="20"/>
          <w:lang w:val="en-US"/>
        </w:rPr>
        <w:t xml:space="preserve"> period when compared to the 2017</w:t>
      </w:r>
      <w:r w:rsidR="000B1B4F">
        <w:rPr>
          <w:sz w:val="20"/>
          <w:szCs w:val="20"/>
          <w:lang w:val="en-US"/>
        </w:rPr>
        <w:t>-18</w:t>
      </w:r>
      <w:r>
        <w:rPr>
          <w:sz w:val="20"/>
          <w:szCs w:val="20"/>
          <w:lang w:val="en-US"/>
        </w:rPr>
        <w:t xml:space="preserve"> period.</w:t>
      </w:r>
    </w:p>
    <w:p w14:paraId="273CA50F" w14:textId="77777777" w:rsidR="00B36B97" w:rsidRDefault="00D45F65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5760481D" w14:textId="77777777" w:rsidR="00B36B97" w:rsidRDefault="00B36B97">
      <w:pPr>
        <w:pStyle w:val="Body"/>
        <w:spacing w:after="120"/>
        <w:rPr>
          <w:sz w:val="20"/>
          <w:szCs w:val="20"/>
          <w:u w:val="single"/>
        </w:rPr>
      </w:pPr>
    </w:p>
    <w:p w14:paraId="00A8F1A1" w14:textId="77777777" w:rsidR="00EE1B6E" w:rsidRDefault="00EE1B6E">
      <w:pPr>
        <w:pStyle w:val="Body"/>
        <w:spacing w:after="120"/>
        <w:rPr>
          <w:sz w:val="20"/>
          <w:szCs w:val="20"/>
          <w:u w:val="single"/>
          <w:lang w:val="en-US"/>
        </w:rPr>
      </w:pPr>
    </w:p>
    <w:p w14:paraId="23BB5F06" w14:textId="77777777" w:rsidR="00B36B97" w:rsidRDefault="00D45F65">
      <w:pPr>
        <w:pStyle w:val="Body"/>
        <w:spacing w:after="120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 xml:space="preserve">Table 1: Summary of Environmental Indicators </w:t>
      </w:r>
      <w:r>
        <w:rPr>
          <w:sz w:val="20"/>
          <w:szCs w:val="20"/>
          <w:u w:val="single"/>
        </w:rPr>
        <w:t xml:space="preserve">– </w:t>
      </w:r>
      <w:r>
        <w:rPr>
          <w:sz w:val="20"/>
          <w:szCs w:val="20"/>
          <w:u w:val="single"/>
          <w:lang w:val="en-US"/>
        </w:rPr>
        <w:t>Australian-based Operations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77"/>
        <w:gridCol w:w="1983"/>
        <w:gridCol w:w="1984"/>
        <w:gridCol w:w="1565"/>
      </w:tblGrid>
      <w:tr w:rsidR="002B7871" w14:paraId="148752A2" w14:textId="77777777" w:rsidTr="00BD7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7" w:type="dxa"/>
            <w:shd w:val="clear" w:color="auto" w:fill="7F7F7F" w:themeFill="text1" w:themeFillTint="80"/>
          </w:tcPr>
          <w:p w14:paraId="1FFDD4B7" w14:textId="77777777" w:rsidR="002B7871" w:rsidRPr="00837410" w:rsidRDefault="002B7871" w:rsidP="00FA367F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Indicator</w:t>
            </w:r>
          </w:p>
        </w:tc>
        <w:tc>
          <w:tcPr>
            <w:tcW w:w="1983" w:type="dxa"/>
            <w:shd w:val="clear" w:color="auto" w:fill="7F7F7F" w:themeFill="text1" w:themeFillTint="80"/>
          </w:tcPr>
          <w:p w14:paraId="67D645AC" w14:textId="3370300E" w:rsidR="002B7871" w:rsidRPr="00837410" w:rsidRDefault="002B7871" w:rsidP="004C51F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2017</w:t>
            </w:r>
            <w:r w:rsidR="004C51F5">
              <w:rPr>
                <w:b/>
                <w:color w:val="FFFFFF" w:themeColor="background1"/>
              </w:rPr>
              <w:t>-18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410">
              <w:rPr>
                <w:b/>
                <w:color w:val="FFFFFF" w:themeColor="background1"/>
              </w:rPr>
              <w:t>Result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223BC57B" w14:textId="1121FB44" w:rsidR="002B7871" w:rsidRPr="00837410" w:rsidRDefault="002B7871" w:rsidP="004C51F5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</w:t>
            </w:r>
            <w:r>
              <w:rPr>
                <w:b/>
                <w:color w:val="FFFFFF" w:themeColor="background1"/>
              </w:rPr>
              <w:t>18</w:t>
            </w:r>
            <w:r w:rsidR="004C51F5">
              <w:rPr>
                <w:b/>
                <w:color w:val="FFFFFF" w:themeColor="background1"/>
              </w:rPr>
              <w:t>-19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410">
              <w:rPr>
                <w:b/>
                <w:color w:val="FFFFFF" w:themeColor="background1"/>
              </w:rPr>
              <w:t>Result</w:t>
            </w:r>
          </w:p>
        </w:tc>
        <w:tc>
          <w:tcPr>
            <w:tcW w:w="1565" w:type="dxa"/>
            <w:shd w:val="clear" w:color="auto" w:fill="7F7F7F" w:themeFill="text1" w:themeFillTint="80"/>
          </w:tcPr>
          <w:p w14:paraId="6A13CC09" w14:textId="77777777" w:rsidR="002B7871" w:rsidRPr="00837410" w:rsidRDefault="002B7871" w:rsidP="00FA367F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% Change</w:t>
            </w:r>
          </w:p>
        </w:tc>
      </w:tr>
      <w:tr w:rsidR="002B7871" w14:paraId="2A4AC6B9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2679D0C4" w14:textId="77777777" w:rsidR="002B7871" w:rsidRDefault="002B7871" w:rsidP="00FA367F">
            <w:pPr>
              <w:rPr>
                <w:sz w:val="20"/>
              </w:rPr>
            </w:pPr>
            <w:r w:rsidRPr="00837410">
              <w:rPr>
                <w:b/>
                <w:sz w:val="20"/>
              </w:rPr>
              <w:t>Staffing</w:t>
            </w:r>
          </w:p>
        </w:tc>
      </w:tr>
      <w:tr w:rsidR="002B7871" w14:paraId="1C540E17" w14:textId="77777777" w:rsidTr="00B8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shd w:val="clear" w:color="auto" w:fill="auto"/>
          </w:tcPr>
          <w:p w14:paraId="11B660AE" w14:textId="76A68BD4" w:rsidR="002B7871" w:rsidRPr="00196265" w:rsidRDefault="00B84DDE" w:rsidP="00FA367F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Average Staffing Levels</w:t>
            </w:r>
          </w:p>
        </w:tc>
        <w:tc>
          <w:tcPr>
            <w:tcW w:w="1983" w:type="dxa"/>
            <w:shd w:val="clear" w:color="auto" w:fill="auto"/>
          </w:tcPr>
          <w:p w14:paraId="1CA7B2E7" w14:textId="1D7A8687" w:rsidR="002B7871" w:rsidRPr="00196265" w:rsidRDefault="004C51F5" w:rsidP="00741C60">
            <w:pPr>
              <w:jc w:val="right"/>
              <w:rPr>
                <w:sz w:val="20"/>
                <w:highlight w:val="yellow"/>
              </w:rPr>
            </w:pPr>
            <w:r w:rsidRPr="00B84DDE">
              <w:rPr>
                <w:sz w:val="20"/>
              </w:rPr>
              <w:t>2,235</w:t>
            </w:r>
          </w:p>
        </w:tc>
        <w:tc>
          <w:tcPr>
            <w:tcW w:w="1984" w:type="dxa"/>
            <w:shd w:val="clear" w:color="auto" w:fill="auto"/>
          </w:tcPr>
          <w:p w14:paraId="68870A87" w14:textId="476D4459" w:rsidR="002B7871" w:rsidRPr="00B84DDE" w:rsidRDefault="00883AAF" w:rsidP="005E748F">
            <w:pPr>
              <w:jc w:val="right"/>
              <w:rPr>
                <w:sz w:val="20"/>
              </w:rPr>
            </w:pPr>
            <w:r w:rsidRPr="00B84DDE">
              <w:rPr>
                <w:sz w:val="20"/>
              </w:rPr>
              <w:t>2</w:t>
            </w:r>
            <w:r w:rsidR="00741C60" w:rsidRPr="00B84DDE">
              <w:rPr>
                <w:sz w:val="20"/>
              </w:rPr>
              <w:t>,214^</w:t>
            </w:r>
          </w:p>
        </w:tc>
        <w:tc>
          <w:tcPr>
            <w:tcW w:w="1565" w:type="dxa"/>
            <w:shd w:val="clear" w:color="auto" w:fill="auto"/>
          </w:tcPr>
          <w:p w14:paraId="1FABC93E" w14:textId="26A9A78B" w:rsidR="002B7871" w:rsidRPr="00B84DDE" w:rsidRDefault="006167BF" w:rsidP="00FA367F">
            <w:pPr>
              <w:jc w:val="right"/>
              <w:rPr>
                <w:sz w:val="20"/>
              </w:rPr>
            </w:pPr>
            <w:r w:rsidRPr="00B84DDE">
              <w:rPr>
                <w:sz w:val="20"/>
              </w:rPr>
              <w:t>-</w:t>
            </w:r>
            <w:r w:rsidR="00741C60" w:rsidRPr="00B84DDE">
              <w:rPr>
                <w:sz w:val="20"/>
              </w:rPr>
              <w:t>0.9</w:t>
            </w:r>
            <w:r w:rsidR="002B7871" w:rsidRPr="00B84DDE">
              <w:rPr>
                <w:sz w:val="20"/>
              </w:rPr>
              <w:t>%</w:t>
            </w:r>
          </w:p>
        </w:tc>
      </w:tr>
      <w:tr w:rsidR="002B7871" w14:paraId="17B71FB2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5FAD5588" w14:textId="77777777" w:rsidR="002B7871" w:rsidRPr="0091294C" w:rsidRDefault="002B7871" w:rsidP="00FA3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Use</w:t>
            </w:r>
          </w:p>
        </w:tc>
      </w:tr>
      <w:tr w:rsidR="0045126B" w14:paraId="7ED16506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bottom w:val="single" w:sz="4" w:space="0" w:color="auto"/>
            </w:tcBorders>
          </w:tcPr>
          <w:p w14:paraId="6747A89C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Total Electricity and Gas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31C444F" w14:textId="16D64CE4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31,491,690 MJ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756A29" w14:textId="2EA1CFBD" w:rsidR="0045126B" w:rsidRDefault="00224DB6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29,673,114 MJ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9766A1A" w14:textId="481336B6" w:rsidR="0045126B" w:rsidRPr="003F2AF5" w:rsidRDefault="000956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-5.8</w:t>
            </w:r>
            <w:r w:rsidR="0045126B">
              <w:rPr>
                <w:sz w:val="20"/>
              </w:rPr>
              <w:t>%</w:t>
            </w:r>
          </w:p>
        </w:tc>
      </w:tr>
      <w:tr w:rsidR="0045126B" w14:paraId="437C07AA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</w:tcPr>
          <w:p w14:paraId="421D8181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Electricity Use per Person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21E" w14:textId="475160F1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14,090 MJ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A9E" w14:textId="2426C108" w:rsidR="0045126B" w:rsidRDefault="000956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13,402 MJ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14:paraId="4806AF33" w14:textId="637E31D9" w:rsidR="0045126B" w:rsidRPr="003F2AF5" w:rsidRDefault="000956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-4.9</w:t>
            </w:r>
            <w:r w:rsidR="0045126B">
              <w:rPr>
                <w:sz w:val="20"/>
              </w:rPr>
              <w:t>%</w:t>
            </w:r>
          </w:p>
        </w:tc>
      </w:tr>
      <w:tr w:rsidR="0045126B" w14:paraId="7CD1CCF5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bottom w:val="nil"/>
              <w:right w:val="nil"/>
            </w:tcBorders>
          </w:tcPr>
          <w:p w14:paraId="083ED589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John Gorton Building, Canberra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6D9294E6" w14:textId="71C73AD8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7,354,760 MJ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B673B3C" w14:textId="07EC07BB" w:rsidR="00C1220A" w:rsidRDefault="00C1220A" w:rsidP="00C1220A">
            <w:pPr>
              <w:jc w:val="right"/>
              <w:rPr>
                <w:sz w:val="20"/>
              </w:rPr>
            </w:pPr>
            <w:r>
              <w:rPr>
                <w:sz w:val="20"/>
              </w:rPr>
              <w:t>5,600,002 MJ</w:t>
            </w:r>
          </w:p>
        </w:tc>
        <w:tc>
          <w:tcPr>
            <w:tcW w:w="1565" w:type="dxa"/>
            <w:tcBorders>
              <w:left w:val="nil"/>
              <w:bottom w:val="nil"/>
            </w:tcBorders>
          </w:tcPr>
          <w:p w14:paraId="3258340E" w14:textId="02D9439D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-23.9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45126B" w14:paraId="69ED938B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74EB985D" w14:textId="69A9430D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51 Allara St, Canberra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411DBA" w14:textId="66C054A5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1,730,462 MJ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1E1874" w14:textId="04F134C1" w:rsidR="0045126B" w:rsidRDefault="00C1220A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1,753.309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1B9CD03E" w14:textId="0CB9CBA7" w:rsidR="0045126B" w:rsidRPr="00224DB6" w:rsidRDefault="00224DB6" w:rsidP="00224DB6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1.3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45126B" w14:paraId="3A2045F1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6168518B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 Pederson Rd, Darwin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A0D399A" w14:textId="656F3C63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5,083,387 MJ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67CFAA" w14:textId="34817CD9" w:rsidR="0045126B" w:rsidRDefault="00C1220A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4,920,631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1969D5F" w14:textId="1907028B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-3.2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45126B" w14:paraId="23B7D32E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0327EEEB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Jabiru Field Station, Jabiru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E0561F9" w14:textId="19185107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437,760 MJ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8C5492" w14:textId="7DB4D190" w:rsidR="0045126B" w:rsidRDefault="00DB1A0C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478,182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6595179D" w14:textId="7307F395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9.2%</w:t>
            </w:r>
          </w:p>
        </w:tc>
      </w:tr>
      <w:tr w:rsidR="0045126B" w14:paraId="62E8AB6E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5E2D49D3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Channel Hwy, Kingston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7613C0" w14:textId="10376D14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16,062,462 MJ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E05608" w14:textId="1CD87A40" w:rsidR="0045126B" w:rsidRDefault="00DB1A0C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16,173,266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2F517455" w14:textId="4B305A5A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0.7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45126B" w14:paraId="4782A082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130590E7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Hobart Port Cargo Facility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7949DA5" w14:textId="3F0FC0A5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802,483 MJ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70B7D4" w14:textId="37D6A352" w:rsidR="0045126B" w:rsidRDefault="00DB1A0C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731,286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2E4927A5" w14:textId="7EDE1806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-8.9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45126B" w14:paraId="365647DA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79548493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Kettering Facility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EE414" w14:textId="6CB31481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20,376 MJ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0A3AA" w14:textId="404451DD" w:rsidR="0045126B" w:rsidRDefault="00DB1A0C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16,438 MJ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240386C7" w14:textId="2B3051B0" w:rsidR="0045126B" w:rsidRPr="00224DB6" w:rsidRDefault="00224DB6" w:rsidP="0045126B">
            <w:pPr>
              <w:jc w:val="right"/>
              <w:rPr>
                <w:sz w:val="20"/>
              </w:rPr>
            </w:pPr>
            <w:r w:rsidRPr="00224DB6">
              <w:rPr>
                <w:sz w:val="20"/>
              </w:rPr>
              <w:t>-19.3</w:t>
            </w:r>
            <w:r w:rsidR="0045126B" w:rsidRPr="00224DB6">
              <w:rPr>
                <w:sz w:val="20"/>
              </w:rPr>
              <w:t>%</w:t>
            </w:r>
          </w:p>
        </w:tc>
      </w:tr>
      <w:tr w:rsidR="002B7871" w14:paraId="0E6D7E40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270F3B95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Greenhouse Gas Emissions</w:t>
            </w:r>
          </w:p>
        </w:tc>
      </w:tr>
      <w:tr w:rsidR="0045126B" w:rsidRPr="00701478" w14:paraId="6CEAFEC6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bottom w:val="single" w:sz="4" w:space="0" w:color="auto"/>
            </w:tcBorders>
          </w:tcPr>
          <w:p w14:paraId="19911CCB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Total Greenhouse Gas Emissions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F0A4C6B" w14:textId="19BC12C5" w:rsidR="0045126B" w:rsidRDefault="0045126B" w:rsidP="0045126B">
            <w:pPr>
              <w:jc w:val="right"/>
              <w:rPr>
                <w:sz w:val="20"/>
              </w:rPr>
            </w:pPr>
            <w:r w:rsidRPr="009E1000">
              <w:rPr>
                <w:sz w:val="20"/>
              </w:rPr>
              <w:t>4,441</w:t>
            </w:r>
            <w:r>
              <w:rPr>
                <w:sz w:val="20"/>
              </w:rPr>
              <w:t xml:space="preserve"> t CO</w:t>
            </w:r>
            <w:r w:rsidRPr="00F90FB4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-e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2994E" w14:textId="613FD315" w:rsidR="0045126B" w:rsidRPr="0067152A" w:rsidRDefault="00BD7E7F" w:rsidP="00BD7E7F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2,129 </w:t>
            </w:r>
            <w:r w:rsidR="00B60775">
              <w:rPr>
                <w:sz w:val="20"/>
              </w:rPr>
              <w:t>t CO</w:t>
            </w:r>
            <w:r w:rsidR="00B60775"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F605007" w14:textId="5BF76EB5" w:rsidR="0045126B" w:rsidRPr="00701478" w:rsidRDefault="00BD7E7F" w:rsidP="0045126B">
            <w:pPr>
              <w:jc w:val="right"/>
              <w:rPr>
                <w:sz w:val="20"/>
              </w:rPr>
            </w:pPr>
            <w:r w:rsidRPr="00701478">
              <w:rPr>
                <w:sz w:val="20"/>
              </w:rPr>
              <w:t>-52.1</w:t>
            </w:r>
            <w:r w:rsidR="0045126B" w:rsidRPr="00701478">
              <w:rPr>
                <w:sz w:val="20"/>
              </w:rPr>
              <w:t>%</w:t>
            </w:r>
          </w:p>
        </w:tc>
      </w:tr>
      <w:tr w:rsidR="0045126B" w14:paraId="4BC3EBA8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bottom w:val="nil"/>
              <w:right w:val="nil"/>
            </w:tcBorders>
          </w:tcPr>
          <w:p w14:paraId="0E3CD0CB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John Gorton Building, Canberra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4E22ADB9" w14:textId="3C02B552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1,961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36F71F8" w14:textId="0F5FFDE0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0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left w:val="nil"/>
              <w:bottom w:val="nil"/>
            </w:tcBorders>
          </w:tcPr>
          <w:p w14:paraId="0573EFD2" w14:textId="0C49296F" w:rsidR="0045126B" w:rsidRPr="00BD7E7F" w:rsidRDefault="00BD7E7F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n/a</w:t>
            </w:r>
          </w:p>
        </w:tc>
      </w:tr>
      <w:tr w:rsidR="0045126B" w14:paraId="4F152CBC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431EC200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51 Allara St, Canberra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E055019" w14:textId="56D80A8E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461 t CO</w:t>
            </w:r>
            <w:r w:rsidRPr="006C007D">
              <w:rPr>
                <w:sz w:val="20"/>
                <w:vertAlign w:val="subscript"/>
              </w:rPr>
              <w:t>2-e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DE773D" w14:textId="349EC2F0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0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D916D25" w14:textId="497EDEE9" w:rsidR="0045126B" w:rsidRPr="00BD7E7F" w:rsidRDefault="00BD7E7F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n/a</w:t>
            </w:r>
          </w:p>
        </w:tc>
      </w:tr>
      <w:tr w:rsidR="0045126B" w14:paraId="56B4A47F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5422A05A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3 Pederson Rd, Darwin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6E7C87" w14:textId="3019D3DA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932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AC2D18" w14:textId="3A46EFE6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998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44ADAB1" w14:textId="44D929C7" w:rsidR="0045126B" w:rsidRPr="00BD7E7F" w:rsidRDefault="0045126B" w:rsidP="00BD7E7F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7.</w:t>
            </w:r>
            <w:r w:rsidR="00BD7E7F" w:rsidRPr="00BD7E7F">
              <w:rPr>
                <w:sz w:val="20"/>
              </w:rPr>
              <w:t>1</w:t>
            </w:r>
            <w:r w:rsidRPr="00BD7E7F">
              <w:rPr>
                <w:sz w:val="20"/>
              </w:rPr>
              <w:t>%</w:t>
            </w:r>
          </w:p>
        </w:tc>
      </w:tr>
      <w:tr w:rsidR="0045126B" w14:paraId="5CBF6C10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6B178110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Jabiru Field Station, Jabiru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FBF3659" w14:textId="7CF8F73C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94F821" w14:textId="4E6E1C00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97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1EFFF750" w14:textId="08E063B3" w:rsidR="0045126B" w:rsidRPr="00BD7E7F" w:rsidRDefault="00BD7E7F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21.3%</w:t>
            </w:r>
          </w:p>
        </w:tc>
      </w:tr>
      <w:tr w:rsidR="0045126B" w14:paraId="6A268FFA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36A17DE6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Channel Hwy, Kingston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67C375" w14:textId="69D5A64D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955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C256B7" w14:textId="713516D8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988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31858405" w14:textId="0F75AE47" w:rsidR="0045126B" w:rsidRPr="00BD7E7F" w:rsidRDefault="00BD7E7F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3.5</w:t>
            </w:r>
            <w:r w:rsidR="0045126B" w:rsidRPr="00BD7E7F">
              <w:rPr>
                <w:sz w:val="20"/>
              </w:rPr>
              <w:t>%</w:t>
            </w:r>
          </w:p>
        </w:tc>
      </w:tr>
      <w:tr w:rsidR="0045126B" w14:paraId="27A97382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  <w:tcBorders>
              <w:top w:val="nil"/>
              <w:bottom w:val="nil"/>
              <w:right w:val="nil"/>
            </w:tcBorders>
          </w:tcPr>
          <w:p w14:paraId="646E53B1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Hobart Port Cargo Facility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78DA063" w14:textId="423AB0E3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51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4EF62C" w14:textId="1CBA5D6C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6346A15E" w14:textId="3E68F7FC" w:rsidR="0045126B" w:rsidRPr="00BD7E7F" w:rsidRDefault="00BD7E7F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-11.8</w:t>
            </w:r>
            <w:r w:rsidR="0045126B" w:rsidRPr="00BD7E7F">
              <w:rPr>
                <w:sz w:val="20"/>
              </w:rPr>
              <w:t>%</w:t>
            </w:r>
          </w:p>
        </w:tc>
      </w:tr>
      <w:tr w:rsidR="0045126B" w14:paraId="6CF66416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top w:val="nil"/>
              <w:right w:val="nil"/>
            </w:tcBorders>
          </w:tcPr>
          <w:p w14:paraId="2AC10C55" w14:textId="77777777" w:rsidR="0045126B" w:rsidRPr="00D124F5" w:rsidRDefault="0045126B" w:rsidP="0045126B">
            <w:pPr>
              <w:jc w:val="right"/>
              <w:rPr>
                <w:i/>
                <w:sz w:val="20"/>
              </w:rPr>
            </w:pPr>
            <w:r w:rsidRPr="00D124F5">
              <w:rPr>
                <w:i/>
                <w:sz w:val="20"/>
              </w:rPr>
              <w:t>Kettering Facility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14:paraId="4B02E501" w14:textId="13B59C68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918462F" w14:textId="49A94EB3" w:rsidR="0045126B" w:rsidRDefault="00B6077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t CO</w:t>
            </w:r>
            <w:r w:rsidRPr="006C007D">
              <w:rPr>
                <w:sz w:val="20"/>
                <w:vertAlign w:val="subscript"/>
              </w:rPr>
              <w:t>2-e</w:t>
            </w:r>
          </w:p>
        </w:tc>
        <w:tc>
          <w:tcPr>
            <w:tcW w:w="1565" w:type="dxa"/>
            <w:tcBorders>
              <w:top w:val="nil"/>
              <w:left w:val="nil"/>
            </w:tcBorders>
          </w:tcPr>
          <w:p w14:paraId="4349455A" w14:textId="77777777" w:rsidR="0045126B" w:rsidRPr="00BD7E7F" w:rsidRDefault="0045126B" w:rsidP="0045126B">
            <w:pPr>
              <w:jc w:val="right"/>
              <w:rPr>
                <w:sz w:val="20"/>
              </w:rPr>
            </w:pPr>
            <w:r w:rsidRPr="00BD7E7F">
              <w:rPr>
                <w:sz w:val="20"/>
              </w:rPr>
              <w:t>0%</w:t>
            </w:r>
          </w:p>
        </w:tc>
      </w:tr>
      <w:tr w:rsidR="002B7871" w14:paraId="694BF578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436A8A64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Transport</w:t>
            </w:r>
          </w:p>
        </w:tc>
      </w:tr>
      <w:tr w:rsidR="0045126B" w14:paraId="0CC8E02F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tcBorders>
              <w:bottom w:val="single" w:sz="4" w:space="0" w:color="auto"/>
            </w:tcBorders>
          </w:tcPr>
          <w:p w14:paraId="2214DFF3" w14:textId="77777777" w:rsidR="0045126B" w:rsidRPr="00A4554F" w:rsidRDefault="0045126B" w:rsidP="0045126B">
            <w:pPr>
              <w:rPr>
                <w:sz w:val="20"/>
              </w:rPr>
            </w:pPr>
            <w:r w:rsidRPr="00A4554F">
              <w:rPr>
                <w:sz w:val="20"/>
              </w:rPr>
              <w:t>Total Number of Fleet Vehicles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5E04193" w14:textId="5716F42A" w:rsidR="0045126B" w:rsidRPr="00A4554F" w:rsidRDefault="0045126B" w:rsidP="0045126B">
            <w:pPr>
              <w:jc w:val="right"/>
              <w:rPr>
                <w:sz w:val="20"/>
              </w:rPr>
            </w:pPr>
            <w:r w:rsidRPr="00A4554F">
              <w:rPr>
                <w:sz w:val="20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06524" w14:textId="1F47A8B2" w:rsidR="0045126B" w:rsidRPr="00A4554F" w:rsidRDefault="000A26CD" w:rsidP="004633F0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633F0">
              <w:rPr>
                <w:sz w:val="20"/>
              </w:rPr>
              <w:t>6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C74ED85" w14:textId="4B0BD1B4" w:rsidR="0045126B" w:rsidRPr="00A4554F" w:rsidRDefault="004633F0" w:rsidP="000A26CD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5126B" w:rsidRPr="00A4554F">
              <w:rPr>
                <w:sz w:val="20"/>
              </w:rPr>
              <w:t>%</w:t>
            </w:r>
          </w:p>
        </w:tc>
      </w:tr>
      <w:tr w:rsidR="0045126B" w14:paraId="3CAC6141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114D2EE3" w14:textId="0938C6E2" w:rsidR="0045126B" w:rsidRPr="00A4554F" w:rsidRDefault="0045126B" w:rsidP="0045126B">
            <w:pPr>
              <w:rPr>
                <w:sz w:val="20"/>
              </w:rPr>
            </w:pPr>
            <w:r w:rsidRPr="00A4554F">
              <w:rPr>
                <w:sz w:val="20"/>
              </w:rPr>
              <w:t>Unleaded Fuel Used by Fleet Vehicles</w:t>
            </w:r>
          </w:p>
        </w:tc>
        <w:tc>
          <w:tcPr>
            <w:tcW w:w="1983" w:type="dxa"/>
          </w:tcPr>
          <w:p w14:paraId="590C7CB3" w14:textId="2705DD42" w:rsidR="0045126B" w:rsidRPr="00A4554F" w:rsidRDefault="0045126B" w:rsidP="0045126B">
            <w:pPr>
              <w:jc w:val="right"/>
              <w:rPr>
                <w:sz w:val="20"/>
              </w:rPr>
            </w:pPr>
            <w:r w:rsidRPr="00A4554F">
              <w:rPr>
                <w:sz w:val="20"/>
              </w:rPr>
              <w:t>4,596 L</w:t>
            </w:r>
          </w:p>
        </w:tc>
        <w:tc>
          <w:tcPr>
            <w:tcW w:w="1984" w:type="dxa"/>
          </w:tcPr>
          <w:p w14:paraId="4F18CEBF" w14:textId="186D37E7" w:rsidR="0045126B" w:rsidRPr="00A4554F" w:rsidRDefault="004633F0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541 L</w:t>
            </w:r>
          </w:p>
        </w:tc>
        <w:tc>
          <w:tcPr>
            <w:tcW w:w="1565" w:type="dxa"/>
          </w:tcPr>
          <w:p w14:paraId="05C04890" w14:textId="62D4843C" w:rsidR="0045126B" w:rsidRPr="00A4554F" w:rsidRDefault="0045126B" w:rsidP="004633F0">
            <w:pPr>
              <w:jc w:val="right"/>
              <w:rPr>
                <w:sz w:val="20"/>
              </w:rPr>
            </w:pPr>
            <w:r w:rsidRPr="00A4554F">
              <w:rPr>
                <w:sz w:val="20"/>
              </w:rPr>
              <w:t>- 8</w:t>
            </w:r>
            <w:r w:rsidR="004633F0">
              <w:rPr>
                <w:sz w:val="20"/>
              </w:rPr>
              <w:t>8.2</w:t>
            </w:r>
            <w:r w:rsidRPr="00A4554F">
              <w:rPr>
                <w:sz w:val="20"/>
              </w:rPr>
              <w:t>%</w:t>
            </w:r>
          </w:p>
        </w:tc>
      </w:tr>
      <w:tr w:rsidR="0045126B" w14:paraId="12E5172B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3C1BC325" w14:textId="77777777" w:rsidR="0045126B" w:rsidRPr="00A4554F" w:rsidRDefault="0045126B" w:rsidP="0045126B">
            <w:pPr>
              <w:rPr>
                <w:sz w:val="20"/>
              </w:rPr>
            </w:pPr>
            <w:r w:rsidRPr="00A4554F">
              <w:rPr>
                <w:sz w:val="20"/>
              </w:rPr>
              <w:t>Diesel Fuel Used by Fleet Vehicles</w:t>
            </w:r>
          </w:p>
        </w:tc>
        <w:tc>
          <w:tcPr>
            <w:tcW w:w="1983" w:type="dxa"/>
          </w:tcPr>
          <w:p w14:paraId="101A35B1" w14:textId="28C28554" w:rsidR="0045126B" w:rsidRPr="00A4554F" w:rsidRDefault="0045126B" w:rsidP="0045126B">
            <w:pPr>
              <w:jc w:val="right"/>
              <w:rPr>
                <w:sz w:val="20"/>
              </w:rPr>
            </w:pPr>
            <w:r w:rsidRPr="00A4554F">
              <w:rPr>
                <w:sz w:val="20"/>
              </w:rPr>
              <w:t>16,722 L</w:t>
            </w:r>
          </w:p>
        </w:tc>
        <w:tc>
          <w:tcPr>
            <w:tcW w:w="1984" w:type="dxa"/>
          </w:tcPr>
          <w:p w14:paraId="588A7335" w14:textId="784DB3C3" w:rsidR="0045126B" w:rsidRPr="00A4554F" w:rsidRDefault="004633F0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26,900 L</w:t>
            </w:r>
          </w:p>
        </w:tc>
        <w:tc>
          <w:tcPr>
            <w:tcW w:w="1565" w:type="dxa"/>
          </w:tcPr>
          <w:p w14:paraId="5272A307" w14:textId="56E132F8" w:rsidR="0045126B" w:rsidRPr="00A4554F" w:rsidRDefault="0045126B" w:rsidP="004633F0">
            <w:pPr>
              <w:jc w:val="right"/>
              <w:rPr>
                <w:sz w:val="20"/>
              </w:rPr>
            </w:pPr>
            <w:r w:rsidRPr="00A4554F">
              <w:rPr>
                <w:sz w:val="20"/>
              </w:rPr>
              <w:t>6</w:t>
            </w:r>
            <w:r w:rsidR="004633F0">
              <w:rPr>
                <w:sz w:val="20"/>
              </w:rPr>
              <w:t>0</w:t>
            </w:r>
            <w:r w:rsidRPr="00A4554F">
              <w:rPr>
                <w:sz w:val="20"/>
              </w:rPr>
              <w:t>.</w:t>
            </w:r>
            <w:r w:rsidR="004633F0">
              <w:rPr>
                <w:sz w:val="20"/>
              </w:rPr>
              <w:t>9</w:t>
            </w:r>
            <w:r w:rsidRPr="00A4554F">
              <w:rPr>
                <w:sz w:val="20"/>
              </w:rPr>
              <w:t>%</w:t>
            </w:r>
          </w:p>
        </w:tc>
      </w:tr>
      <w:tr w:rsidR="002B7871" w14:paraId="67B3A3E4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79B67501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Resource Efficiency and Waste</w:t>
            </w:r>
          </w:p>
        </w:tc>
      </w:tr>
      <w:tr w:rsidR="0045126B" w14:paraId="1186465A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71A35DD5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Office Copy Paper Purchased</w:t>
            </w:r>
          </w:p>
        </w:tc>
        <w:tc>
          <w:tcPr>
            <w:tcW w:w="1983" w:type="dxa"/>
          </w:tcPr>
          <w:p w14:paraId="2353A5D3" w14:textId="1F3035A5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12,170 Reams</w:t>
            </w:r>
          </w:p>
        </w:tc>
        <w:tc>
          <w:tcPr>
            <w:tcW w:w="1984" w:type="dxa"/>
          </w:tcPr>
          <w:p w14:paraId="5B0D436D" w14:textId="379B4E69" w:rsidR="0045126B" w:rsidRDefault="00D14DBD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10,675 reams</w:t>
            </w:r>
          </w:p>
        </w:tc>
        <w:tc>
          <w:tcPr>
            <w:tcW w:w="1565" w:type="dxa"/>
          </w:tcPr>
          <w:p w14:paraId="26E09A25" w14:textId="0ACAE9B9" w:rsidR="0045126B" w:rsidRPr="003F2AF5" w:rsidRDefault="0045126B" w:rsidP="00883AAF">
            <w:pPr>
              <w:jc w:val="right"/>
              <w:rPr>
                <w:sz w:val="20"/>
              </w:rPr>
            </w:pPr>
            <w:r w:rsidRPr="003F2AF5">
              <w:rPr>
                <w:sz w:val="20"/>
              </w:rPr>
              <w:t xml:space="preserve">- </w:t>
            </w:r>
            <w:r w:rsidR="00883AAF">
              <w:rPr>
                <w:sz w:val="20"/>
              </w:rPr>
              <w:t>12.3</w:t>
            </w:r>
            <w:r w:rsidRPr="003F2AF5">
              <w:rPr>
                <w:sz w:val="20"/>
              </w:rPr>
              <w:t>%</w:t>
            </w:r>
          </w:p>
        </w:tc>
      </w:tr>
      <w:tr w:rsidR="0045126B" w14:paraId="6F82518B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6745940E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Copy Paper per Person</w:t>
            </w:r>
          </w:p>
        </w:tc>
        <w:tc>
          <w:tcPr>
            <w:tcW w:w="1983" w:type="dxa"/>
          </w:tcPr>
          <w:p w14:paraId="734DC11D" w14:textId="2845095C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5.4 Reams</w:t>
            </w:r>
          </w:p>
        </w:tc>
        <w:tc>
          <w:tcPr>
            <w:tcW w:w="1984" w:type="dxa"/>
          </w:tcPr>
          <w:p w14:paraId="08F6622F" w14:textId="45E3E0F3" w:rsidR="0045126B" w:rsidRDefault="005E748F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4.8 reams</w:t>
            </w:r>
          </w:p>
        </w:tc>
        <w:tc>
          <w:tcPr>
            <w:tcW w:w="1565" w:type="dxa"/>
          </w:tcPr>
          <w:p w14:paraId="6F21673C" w14:textId="05A144C4" w:rsidR="0045126B" w:rsidRPr="003F2AF5" w:rsidRDefault="0045126B" w:rsidP="005E748F">
            <w:pPr>
              <w:jc w:val="right"/>
              <w:rPr>
                <w:sz w:val="20"/>
              </w:rPr>
            </w:pPr>
            <w:r w:rsidRPr="003F2AF5">
              <w:rPr>
                <w:sz w:val="20"/>
              </w:rPr>
              <w:t xml:space="preserve">- </w:t>
            </w:r>
            <w:r w:rsidR="005E748F">
              <w:rPr>
                <w:sz w:val="20"/>
              </w:rPr>
              <w:t>11.1</w:t>
            </w:r>
            <w:r w:rsidRPr="003F2AF5">
              <w:rPr>
                <w:sz w:val="20"/>
              </w:rPr>
              <w:t>%</w:t>
            </w:r>
          </w:p>
        </w:tc>
      </w:tr>
      <w:tr w:rsidR="0045126B" w14:paraId="35FFC51F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757F3F4C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Office Paper Recycling*</w:t>
            </w:r>
          </w:p>
        </w:tc>
        <w:tc>
          <w:tcPr>
            <w:tcW w:w="1983" w:type="dxa"/>
          </w:tcPr>
          <w:p w14:paraId="2DAC45EA" w14:textId="31962921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125.8 t</w:t>
            </w:r>
          </w:p>
        </w:tc>
        <w:tc>
          <w:tcPr>
            <w:tcW w:w="1984" w:type="dxa"/>
          </w:tcPr>
          <w:p w14:paraId="4502ECDC" w14:textId="2CF623C2" w:rsidR="0045126B" w:rsidRPr="004B4E25" w:rsidRDefault="00EB3A0E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 w:rsidR="00B12C15">
              <w:rPr>
                <w:sz w:val="20"/>
              </w:rPr>
              <w:t>***</w:t>
            </w:r>
          </w:p>
        </w:tc>
        <w:tc>
          <w:tcPr>
            <w:tcW w:w="1565" w:type="dxa"/>
          </w:tcPr>
          <w:p w14:paraId="1C459F5F" w14:textId="7F00F5B2" w:rsidR="0045126B" w:rsidRPr="003F2AF5" w:rsidRDefault="00EB3A0E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45126B" w14:paraId="7827B495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303A0649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Co-Mingled/Cardboard Recycling*^^</w:t>
            </w:r>
          </w:p>
        </w:tc>
        <w:tc>
          <w:tcPr>
            <w:tcW w:w="1983" w:type="dxa"/>
          </w:tcPr>
          <w:p w14:paraId="3D0FF80F" w14:textId="75E81295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49.67 t</w:t>
            </w:r>
          </w:p>
        </w:tc>
        <w:tc>
          <w:tcPr>
            <w:tcW w:w="1984" w:type="dxa"/>
            <w:shd w:val="clear" w:color="auto" w:fill="auto"/>
          </w:tcPr>
          <w:p w14:paraId="28AC339D" w14:textId="79C69899" w:rsidR="0045126B" w:rsidRPr="004B4E25" w:rsidRDefault="00B12C15" w:rsidP="00B12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n/a***</w:t>
            </w:r>
          </w:p>
        </w:tc>
        <w:tc>
          <w:tcPr>
            <w:tcW w:w="1565" w:type="dxa"/>
            <w:shd w:val="clear" w:color="auto" w:fill="auto"/>
          </w:tcPr>
          <w:p w14:paraId="7144D18B" w14:textId="1C5D5E4C" w:rsidR="0045126B" w:rsidRPr="003F2AF5" w:rsidRDefault="00B12C1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45126B" w14:paraId="6C784F4B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2647B855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Organic Waste*^^</w:t>
            </w:r>
          </w:p>
        </w:tc>
        <w:tc>
          <w:tcPr>
            <w:tcW w:w="1983" w:type="dxa"/>
          </w:tcPr>
          <w:p w14:paraId="287766A1" w14:textId="0B297D2A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17.77 t</w:t>
            </w:r>
          </w:p>
        </w:tc>
        <w:tc>
          <w:tcPr>
            <w:tcW w:w="1984" w:type="dxa"/>
            <w:shd w:val="clear" w:color="auto" w:fill="auto"/>
          </w:tcPr>
          <w:p w14:paraId="07A8E87D" w14:textId="52D91E97" w:rsidR="0045126B" w:rsidRPr="004B4E25" w:rsidRDefault="00B12C1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n/a***</w:t>
            </w:r>
          </w:p>
        </w:tc>
        <w:tc>
          <w:tcPr>
            <w:tcW w:w="1565" w:type="dxa"/>
            <w:shd w:val="clear" w:color="auto" w:fill="auto"/>
          </w:tcPr>
          <w:p w14:paraId="75EBA726" w14:textId="171779BC" w:rsidR="0045126B" w:rsidRPr="003F2AF5" w:rsidRDefault="00B12C15" w:rsidP="00B12C15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45126B" w14:paraId="28ABC3EC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5E86DF10" w14:textId="77777777" w:rsidR="0045126B" w:rsidRDefault="0045126B" w:rsidP="0045126B">
            <w:pPr>
              <w:rPr>
                <w:sz w:val="20"/>
              </w:rPr>
            </w:pPr>
            <w:r>
              <w:rPr>
                <w:sz w:val="20"/>
              </w:rPr>
              <w:t>Waste to Landfill*^^</w:t>
            </w:r>
          </w:p>
        </w:tc>
        <w:tc>
          <w:tcPr>
            <w:tcW w:w="1983" w:type="dxa"/>
          </w:tcPr>
          <w:p w14:paraId="77285B86" w14:textId="6C1DB7C4" w:rsidR="0045126B" w:rsidRDefault="0045126B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130.87 t</w:t>
            </w:r>
          </w:p>
        </w:tc>
        <w:tc>
          <w:tcPr>
            <w:tcW w:w="1984" w:type="dxa"/>
            <w:shd w:val="clear" w:color="auto" w:fill="auto"/>
          </w:tcPr>
          <w:p w14:paraId="624C2767" w14:textId="6E776E2E" w:rsidR="0045126B" w:rsidRPr="004B4E25" w:rsidRDefault="00B12C1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n/a***</w:t>
            </w:r>
          </w:p>
        </w:tc>
        <w:tc>
          <w:tcPr>
            <w:tcW w:w="1565" w:type="dxa"/>
            <w:shd w:val="clear" w:color="auto" w:fill="auto"/>
          </w:tcPr>
          <w:p w14:paraId="1E9080D9" w14:textId="060C9D2B" w:rsidR="0045126B" w:rsidRPr="003F2AF5" w:rsidRDefault="00B12C15" w:rsidP="0045126B">
            <w:pPr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2B7871" w14:paraId="5E4DB2F4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0880C53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Water Consumption</w:t>
            </w:r>
          </w:p>
        </w:tc>
      </w:tr>
      <w:tr w:rsidR="002B7871" w14:paraId="6EE45FF7" w14:textId="77777777" w:rsidTr="00BD7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65D71C92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Total Water Use*</w:t>
            </w:r>
          </w:p>
        </w:tc>
        <w:tc>
          <w:tcPr>
            <w:tcW w:w="1983" w:type="dxa"/>
          </w:tcPr>
          <w:p w14:paraId="086FF664" w14:textId="7816A463" w:rsidR="002B7871" w:rsidRDefault="0045126B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28,609 </w:t>
            </w:r>
            <w:proofErr w:type="spellStart"/>
            <w:r>
              <w:rPr>
                <w:sz w:val="20"/>
              </w:rPr>
              <w:t>kL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A4C1CA4" w14:textId="3BEFD549" w:rsidR="002B7871" w:rsidRDefault="00A55C0C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27,514</w:t>
            </w:r>
            <w:r w:rsidR="0008224E">
              <w:rPr>
                <w:sz w:val="20"/>
              </w:rPr>
              <w:t>**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14:paraId="64F38FE6" w14:textId="64E16D52" w:rsidR="002B7871" w:rsidRPr="003F2AF5" w:rsidRDefault="00D65D0B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-3.8%</w:t>
            </w:r>
          </w:p>
        </w:tc>
      </w:tr>
      <w:tr w:rsidR="002B7871" w14:paraId="1B1733E1" w14:textId="77777777" w:rsidTr="00BD7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209" w:type="dxa"/>
            <w:gridSpan w:val="4"/>
          </w:tcPr>
          <w:p w14:paraId="4FA85D26" w14:textId="77777777" w:rsidR="0008224E" w:rsidRPr="00D65D0B" w:rsidRDefault="0008224E" w:rsidP="0008224E">
            <w:pPr>
              <w:rPr>
                <w:i/>
                <w:sz w:val="14"/>
              </w:rPr>
            </w:pPr>
            <w:r w:rsidRPr="00D65D0B">
              <w:rPr>
                <w:i/>
                <w:sz w:val="14"/>
              </w:rPr>
              <w:t>^ ASL figure includes Parks Australia and Australian Antarctic Division.</w:t>
            </w:r>
          </w:p>
          <w:p w14:paraId="5C15E96A" w14:textId="550FD149" w:rsidR="0008224E" w:rsidRPr="00D65D0B" w:rsidRDefault="0008224E" w:rsidP="0008224E">
            <w:pPr>
              <w:rPr>
                <w:i/>
                <w:sz w:val="14"/>
              </w:rPr>
            </w:pPr>
            <w:r w:rsidRPr="00D65D0B">
              <w:rPr>
                <w:i/>
                <w:sz w:val="14"/>
              </w:rPr>
              <w:t>^^ Due to the multi-tenanted nature of 51 Allara Street premises, waste figures for the 2018-19 period are unavailable.</w:t>
            </w:r>
          </w:p>
          <w:p w14:paraId="03574980" w14:textId="3A260D7A" w:rsidR="002B7871" w:rsidRPr="00D65D0B" w:rsidRDefault="002B7871" w:rsidP="00FA367F">
            <w:pPr>
              <w:rPr>
                <w:i/>
                <w:sz w:val="14"/>
              </w:rPr>
            </w:pPr>
            <w:r w:rsidRPr="00D65D0B">
              <w:rPr>
                <w:i/>
                <w:sz w:val="14"/>
              </w:rPr>
              <w:t>*</w:t>
            </w:r>
            <w:r w:rsidR="00A55C0C" w:rsidRPr="00D65D0B">
              <w:rPr>
                <w:i/>
                <w:sz w:val="14"/>
              </w:rPr>
              <w:t xml:space="preserve"> </w:t>
            </w:r>
            <w:r w:rsidRPr="00D65D0B">
              <w:rPr>
                <w:i/>
                <w:sz w:val="14"/>
              </w:rPr>
              <w:t>Due to the regional location and type of services available in Jabiru, water consumption and</w:t>
            </w:r>
            <w:r w:rsidR="00741C60" w:rsidRPr="00D65D0B">
              <w:rPr>
                <w:i/>
                <w:sz w:val="14"/>
              </w:rPr>
              <w:t xml:space="preserve"> waste figures are unavailable.</w:t>
            </w:r>
          </w:p>
          <w:p w14:paraId="7AD61ADF" w14:textId="7511F244" w:rsidR="0008224E" w:rsidRDefault="0008224E" w:rsidP="00FA367F">
            <w:pPr>
              <w:rPr>
                <w:i/>
                <w:sz w:val="14"/>
              </w:rPr>
            </w:pPr>
            <w:r w:rsidRPr="00701478">
              <w:rPr>
                <w:i/>
                <w:sz w:val="14"/>
              </w:rPr>
              <w:t xml:space="preserve">** </w:t>
            </w:r>
            <w:r w:rsidR="00D65D0B" w:rsidRPr="00701478">
              <w:rPr>
                <w:i/>
                <w:sz w:val="14"/>
              </w:rPr>
              <w:t>Data for the John Gorton Building was not provided and only an estimated consumption was included in the total figure.</w:t>
            </w:r>
          </w:p>
          <w:p w14:paraId="76CAC70E" w14:textId="7C990016" w:rsidR="00B12C15" w:rsidRPr="00D65D0B" w:rsidRDefault="00B12C15" w:rsidP="00FA367F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*** Data was not provided at the time of the report.</w:t>
            </w:r>
          </w:p>
          <w:p w14:paraId="2F0983EF" w14:textId="30FFB029" w:rsidR="0008224E" w:rsidRPr="00D65D0B" w:rsidRDefault="0008224E" w:rsidP="00741C60">
            <w:pPr>
              <w:rPr>
                <w:i/>
                <w:sz w:val="14"/>
              </w:rPr>
            </w:pPr>
          </w:p>
        </w:tc>
      </w:tr>
    </w:tbl>
    <w:p w14:paraId="56C6B440" w14:textId="77777777" w:rsidR="002B7871" w:rsidRDefault="002B7871">
      <w:pPr>
        <w:pStyle w:val="Body"/>
        <w:spacing w:after="120"/>
        <w:rPr>
          <w:sz w:val="20"/>
          <w:szCs w:val="20"/>
          <w:u w:val="single"/>
        </w:rPr>
      </w:pPr>
    </w:p>
    <w:p w14:paraId="6CBBC8AF" w14:textId="77777777" w:rsidR="002141C3" w:rsidRDefault="002141C3">
      <w:pPr>
        <w:pStyle w:val="Body"/>
        <w:spacing w:after="0"/>
        <w:rPr>
          <w:sz w:val="20"/>
          <w:szCs w:val="20"/>
          <w:lang w:val="en-US"/>
        </w:rPr>
        <w:sectPr w:rsidR="002141C3" w:rsidSect="002141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440" w:bottom="1440" w:left="1440" w:header="425" w:footer="425" w:gutter="0"/>
          <w:pgNumType w:start="1"/>
          <w:cols w:space="720"/>
          <w:docGrid w:linePitch="326"/>
        </w:sectPr>
      </w:pPr>
    </w:p>
    <w:p w14:paraId="6C4A5845" w14:textId="77777777" w:rsidR="00EE1B6E" w:rsidRDefault="00EE1B6E">
      <w:pPr>
        <w:pStyle w:val="Body"/>
        <w:spacing w:after="120"/>
        <w:rPr>
          <w:sz w:val="20"/>
          <w:szCs w:val="20"/>
          <w:u w:val="single"/>
          <w:lang w:val="en-US"/>
        </w:rPr>
      </w:pPr>
    </w:p>
    <w:p w14:paraId="508D827D" w14:textId="77777777" w:rsidR="00B36B97" w:rsidRDefault="00D45F65">
      <w:pPr>
        <w:pStyle w:val="Body"/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 xml:space="preserve">Table 2: Summary of Environmental Indicators </w:t>
      </w:r>
      <w:r>
        <w:rPr>
          <w:sz w:val="20"/>
          <w:szCs w:val="20"/>
          <w:u w:val="single"/>
        </w:rPr>
        <w:t xml:space="preserve">– </w:t>
      </w:r>
      <w:r>
        <w:rPr>
          <w:sz w:val="20"/>
          <w:szCs w:val="20"/>
          <w:u w:val="single"/>
          <w:lang w:val="en-US"/>
        </w:rPr>
        <w:t>Antarctic Operations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77"/>
        <w:gridCol w:w="1983"/>
        <w:gridCol w:w="1984"/>
        <w:gridCol w:w="1565"/>
      </w:tblGrid>
      <w:tr w:rsidR="002B7871" w14:paraId="7CF17258" w14:textId="77777777" w:rsidTr="00F0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7" w:type="dxa"/>
            <w:shd w:val="clear" w:color="auto" w:fill="7F7F7F" w:themeFill="text1" w:themeFillTint="80"/>
          </w:tcPr>
          <w:p w14:paraId="45931A09" w14:textId="77777777" w:rsidR="002B7871" w:rsidRPr="00837410" w:rsidRDefault="002B7871" w:rsidP="00FA367F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Indicator</w:t>
            </w:r>
          </w:p>
        </w:tc>
        <w:tc>
          <w:tcPr>
            <w:tcW w:w="1983" w:type="dxa"/>
            <w:shd w:val="clear" w:color="auto" w:fill="7F7F7F" w:themeFill="text1" w:themeFillTint="80"/>
          </w:tcPr>
          <w:p w14:paraId="375AAFE6" w14:textId="1FD178E6" w:rsidR="002B7871" w:rsidRPr="00837410" w:rsidRDefault="002B7871" w:rsidP="00E345D7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</w:t>
            </w:r>
            <w:r w:rsidR="00E345D7">
              <w:rPr>
                <w:b/>
                <w:color w:val="FFFFFF" w:themeColor="background1"/>
              </w:rPr>
              <w:t>7-18</w:t>
            </w:r>
            <w:r w:rsidRPr="00837410">
              <w:rPr>
                <w:b/>
                <w:color w:val="FFFFFF" w:themeColor="background1"/>
              </w:rPr>
              <w:t xml:space="preserve"> Result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2D1AE239" w14:textId="7C1A954C" w:rsidR="002B7871" w:rsidRPr="00837410" w:rsidRDefault="002B7871" w:rsidP="00E345D7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201</w:t>
            </w:r>
            <w:r>
              <w:rPr>
                <w:b/>
                <w:color w:val="FFFFFF" w:themeColor="background1"/>
              </w:rPr>
              <w:t>8</w:t>
            </w:r>
            <w:r w:rsidR="00E345D7">
              <w:rPr>
                <w:b/>
                <w:color w:val="FFFFFF" w:themeColor="background1"/>
              </w:rPr>
              <w:t>-19</w:t>
            </w:r>
            <w:r w:rsidRPr="00837410">
              <w:rPr>
                <w:b/>
                <w:color w:val="FFFFFF" w:themeColor="background1"/>
              </w:rPr>
              <w:t xml:space="preserve"> Result</w:t>
            </w:r>
          </w:p>
        </w:tc>
        <w:tc>
          <w:tcPr>
            <w:tcW w:w="1565" w:type="dxa"/>
            <w:shd w:val="clear" w:color="auto" w:fill="7F7F7F" w:themeFill="text1" w:themeFillTint="80"/>
          </w:tcPr>
          <w:p w14:paraId="7B656C1C" w14:textId="77777777" w:rsidR="002B7871" w:rsidRPr="00837410" w:rsidRDefault="002B7871" w:rsidP="00FA367F">
            <w:pPr>
              <w:jc w:val="center"/>
              <w:rPr>
                <w:b/>
                <w:color w:val="FFFFFF" w:themeColor="background1"/>
              </w:rPr>
            </w:pPr>
            <w:r w:rsidRPr="00837410">
              <w:rPr>
                <w:b/>
                <w:color w:val="FFFFFF" w:themeColor="background1"/>
              </w:rPr>
              <w:t>% Change</w:t>
            </w:r>
          </w:p>
        </w:tc>
      </w:tr>
      <w:tr w:rsidR="002B7871" w14:paraId="3C150288" w14:textId="77777777" w:rsidTr="00701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55BC83B1" w14:textId="77777777" w:rsidR="002B7871" w:rsidRDefault="002B7871" w:rsidP="00FA367F">
            <w:pPr>
              <w:rPr>
                <w:sz w:val="20"/>
              </w:rPr>
            </w:pPr>
            <w:r w:rsidRPr="00837410">
              <w:rPr>
                <w:b/>
                <w:sz w:val="20"/>
              </w:rPr>
              <w:t>Staffing</w:t>
            </w:r>
          </w:p>
        </w:tc>
      </w:tr>
      <w:tr w:rsidR="002B7871" w14:paraId="7D72EB1C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0D0EDE19" w14:textId="77777777" w:rsidR="002B7871" w:rsidRPr="00B84DDE" w:rsidRDefault="002B7871" w:rsidP="00FA367F">
            <w:pPr>
              <w:rPr>
                <w:sz w:val="20"/>
              </w:rPr>
            </w:pPr>
            <w:r w:rsidRPr="00B84DDE">
              <w:rPr>
                <w:sz w:val="20"/>
              </w:rPr>
              <w:t xml:space="preserve">Average Staffing Levels </w:t>
            </w:r>
          </w:p>
        </w:tc>
        <w:tc>
          <w:tcPr>
            <w:tcW w:w="1983" w:type="dxa"/>
          </w:tcPr>
          <w:p w14:paraId="0E6B0B86" w14:textId="391CB18D" w:rsidR="002B7871" w:rsidRPr="00B84DDE" w:rsidRDefault="002B7871" w:rsidP="00F06A60">
            <w:pPr>
              <w:jc w:val="right"/>
              <w:rPr>
                <w:sz w:val="20"/>
              </w:rPr>
            </w:pPr>
            <w:r w:rsidRPr="00B84DDE">
              <w:rPr>
                <w:sz w:val="20"/>
              </w:rPr>
              <w:t>1</w:t>
            </w:r>
            <w:r w:rsidR="00E345D7" w:rsidRPr="00B84DDE">
              <w:rPr>
                <w:sz w:val="20"/>
              </w:rPr>
              <w:t>33</w:t>
            </w:r>
          </w:p>
        </w:tc>
        <w:tc>
          <w:tcPr>
            <w:tcW w:w="1984" w:type="dxa"/>
          </w:tcPr>
          <w:p w14:paraId="3BA5CE20" w14:textId="3B383727" w:rsidR="00F06A60" w:rsidRPr="00B84DDE" w:rsidRDefault="00E345D7" w:rsidP="00F06A60">
            <w:pPr>
              <w:jc w:val="right"/>
              <w:rPr>
                <w:sz w:val="20"/>
              </w:rPr>
            </w:pPr>
            <w:r w:rsidRPr="00B84DDE">
              <w:rPr>
                <w:sz w:val="20"/>
              </w:rPr>
              <w:t>117*</w:t>
            </w:r>
          </w:p>
        </w:tc>
        <w:tc>
          <w:tcPr>
            <w:tcW w:w="1565" w:type="dxa"/>
          </w:tcPr>
          <w:p w14:paraId="62E16F2D" w14:textId="694AD6B7" w:rsidR="002B7871" w:rsidRPr="00B84DDE" w:rsidRDefault="002B7871" w:rsidP="00E345D7">
            <w:pPr>
              <w:jc w:val="right"/>
              <w:rPr>
                <w:sz w:val="20"/>
              </w:rPr>
            </w:pPr>
            <w:r w:rsidRPr="00B84DDE">
              <w:rPr>
                <w:sz w:val="20"/>
              </w:rPr>
              <w:t xml:space="preserve">- </w:t>
            </w:r>
            <w:r w:rsidR="00E345D7" w:rsidRPr="00B84DDE">
              <w:rPr>
                <w:sz w:val="20"/>
              </w:rPr>
              <w:t>12</w:t>
            </w:r>
            <w:r w:rsidRPr="00B84DDE">
              <w:rPr>
                <w:sz w:val="20"/>
              </w:rPr>
              <w:t>%</w:t>
            </w:r>
          </w:p>
        </w:tc>
      </w:tr>
      <w:tr w:rsidR="002B7871" w14:paraId="273B3BBF" w14:textId="77777777" w:rsidTr="00701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3CB2823D" w14:textId="77777777" w:rsidR="002B7871" w:rsidRPr="00B95AAE" w:rsidRDefault="002B7871" w:rsidP="00FA367F">
            <w:pPr>
              <w:rPr>
                <w:b/>
                <w:sz w:val="20"/>
              </w:rPr>
            </w:pPr>
            <w:r w:rsidRPr="00B95AAE">
              <w:rPr>
                <w:b/>
                <w:sz w:val="20"/>
              </w:rPr>
              <w:t>Energy Use</w:t>
            </w:r>
          </w:p>
        </w:tc>
      </w:tr>
      <w:tr w:rsidR="002B7871" w14:paraId="6047DE53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266FE335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Electricity Generated by Diesel</w:t>
            </w:r>
          </w:p>
        </w:tc>
        <w:tc>
          <w:tcPr>
            <w:tcW w:w="1983" w:type="dxa"/>
          </w:tcPr>
          <w:p w14:paraId="2D6C3369" w14:textId="7C4EB77A" w:rsidR="002B7871" w:rsidRDefault="00E345D7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20,558,009 MJ</w:t>
            </w:r>
          </w:p>
        </w:tc>
        <w:tc>
          <w:tcPr>
            <w:tcW w:w="1984" w:type="dxa"/>
          </w:tcPr>
          <w:p w14:paraId="2AFCFDBD" w14:textId="5BA92B52" w:rsidR="002B7871" w:rsidRDefault="00E345D7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21,001,702 MJ</w:t>
            </w:r>
          </w:p>
        </w:tc>
        <w:tc>
          <w:tcPr>
            <w:tcW w:w="1565" w:type="dxa"/>
          </w:tcPr>
          <w:p w14:paraId="469F1726" w14:textId="20CDE35E" w:rsidR="002B7871" w:rsidRPr="003F2AF5" w:rsidRDefault="002B7871" w:rsidP="00FA367F">
            <w:pPr>
              <w:jc w:val="right"/>
              <w:rPr>
                <w:sz w:val="20"/>
              </w:rPr>
            </w:pPr>
            <w:r w:rsidRPr="003F2AF5">
              <w:rPr>
                <w:sz w:val="20"/>
              </w:rPr>
              <w:t>2%</w:t>
            </w:r>
          </w:p>
        </w:tc>
      </w:tr>
      <w:tr w:rsidR="002B7871" w14:paraId="121CB09C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</w:tcPr>
          <w:p w14:paraId="402907F8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Renewable Energy Generated</w:t>
            </w:r>
          </w:p>
        </w:tc>
        <w:tc>
          <w:tcPr>
            <w:tcW w:w="1983" w:type="dxa"/>
          </w:tcPr>
          <w:p w14:paraId="01238B91" w14:textId="11875063" w:rsidR="002B7871" w:rsidRDefault="00E345D7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4,044,575 </w:t>
            </w:r>
            <w:r w:rsidR="002B7871">
              <w:rPr>
                <w:sz w:val="20"/>
              </w:rPr>
              <w:t>MJ</w:t>
            </w:r>
          </w:p>
        </w:tc>
        <w:tc>
          <w:tcPr>
            <w:tcW w:w="1984" w:type="dxa"/>
          </w:tcPr>
          <w:p w14:paraId="4BADDE51" w14:textId="50E5BA94" w:rsidR="002B7871" w:rsidRDefault="00E345D7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2,435,677 MJ</w:t>
            </w:r>
          </w:p>
        </w:tc>
        <w:tc>
          <w:tcPr>
            <w:tcW w:w="1565" w:type="dxa"/>
          </w:tcPr>
          <w:p w14:paraId="68369C72" w14:textId="34AA3CF7" w:rsidR="002B7871" w:rsidRPr="003F2AF5" w:rsidRDefault="002B7871" w:rsidP="00E440FA">
            <w:pPr>
              <w:jc w:val="right"/>
              <w:rPr>
                <w:sz w:val="20"/>
              </w:rPr>
            </w:pPr>
            <w:r w:rsidRPr="003F2AF5">
              <w:rPr>
                <w:sz w:val="20"/>
              </w:rPr>
              <w:t xml:space="preserve">- </w:t>
            </w:r>
            <w:r w:rsidR="00E440FA">
              <w:rPr>
                <w:sz w:val="20"/>
              </w:rPr>
              <w:t>40</w:t>
            </w:r>
            <w:r w:rsidRPr="003F2AF5">
              <w:rPr>
                <w:sz w:val="20"/>
              </w:rPr>
              <w:t>%</w:t>
            </w:r>
          </w:p>
        </w:tc>
      </w:tr>
      <w:tr w:rsidR="002B7871" w14:paraId="216EBC4D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71B0196D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Electricity Use per Person</w:t>
            </w:r>
          </w:p>
        </w:tc>
        <w:tc>
          <w:tcPr>
            <w:tcW w:w="1983" w:type="dxa"/>
          </w:tcPr>
          <w:p w14:paraId="0BCC52C0" w14:textId="78B0E7D7" w:rsidR="002B7871" w:rsidRDefault="00E440F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184,982 </w:t>
            </w:r>
            <w:r w:rsidR="002B7871">
              <w:rPr>
                <w:sz w:val="20"/>
              </w:rPr>
              <w:t>MJ</w:t>
            </w:r>
          </w:p>
        </w:tc>
        <w:tc>
          <w:tcPr>
            <w:tcW w:w="1984" w:type="dxa"/>
          </w:tcPr>
          <w:p w14:paraId="388F55CF" w14:textId="35BB112D" w:rsidR="002B7871" w:rsidRDefault="00E440F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200,319 </w:t>
            </w:r>
            <w:r w:rsidR="002B7871">
              <w:rPr>
                <w:sz w:val="20"/>
              </w:rPr>
              <w:t>MJ</w:t>
            </w:r>
          </w:p>
        </w:tc>
        <w:tc>
          <w:tcPr>
            <w:tcW w:w="1565" w:type="dxa"/>
          </w:tcPr>
          <w:p w14:paraId="6DDBB9AB" w14:textId="2E314127" w:rsidR="002B7871" w:rsidRPr="003F2AF5" w:rsidRDefault="002B7871" w:rsidP="00E440FA">
            <w:pPr>
              <w:jc w:val="right"/>
              <w:rPr>
                <w:sz w:val="20"/>
              </w:rPr>
            </w:pPr>
            <w:r w:rsidRPr="003F2AF5">
              <w:rPr>
                <w:sz w:val="20"/>
              </w:rPr>
              <w:t>8%</w:t>
            </w:r>
          </w:p>
        </w:tc>
      </w:tr>
      <w:tr w:rsidR="002B7871" w14:paraId="583FF39C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677" w:type="dxa"/>
          </w:tcPr>
          <w:p w14:paraId="303A8E18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Operational Diesel Fuel</w:t>
            </w:r>
          </w:p>
        </w:tc>
        <w:tc>
          <w:tcPr>
            <w:tcW w:w="1983" w:type="dxa"/>
          </w:tcPr>
          <w:p w14:paraId="516A0A6E" w14:textId="02A69A7B" w:rsidR="002B7871" w:rsidRDefault="00E440F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2,248,119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984" w:type="dxa"/>
          </w:tcPr>
          <w:p w14:paraId="6C1F0463" w14:textId="06ADD98C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2,389,550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565" w:type="dxa"/>
          </w:tcPr>
          <w:p w14:paraId="7CF82F6A" w14:textId="18D37F91" w:rsidR="002B7871" w:rsidRPr="003F2AF5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2B7871" w:rsidRPr="003F2AF5">
              <w:rPr>
                <w:sz w:val="20"/>
              </w:rPr>
              <w:t>%</w:t>
            </w:r>
          </w:p>
        </w:tc>
      </w:tr>
      <w:tr w:rsidR="002B7871" w14:paraId="5C299C7C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28719C7D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Marine Diesel Oil (Shipping)</w:t>
            </w:r>
          </w:p>
        </w:tc>
        <w:tc>
          <w:tcPr>
            <w:tcW w:w="1983" w:type="dxa"/>
          </w:tcPr>
          <w:p w14:paraId="298D21B5" w14:textId="02B7DA51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2,572,183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984" w:type="dxa"/>
          </w:tcPr>
          <w:p w14:paraId="2652DC5F" w14:textId="623F1929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2,847,618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565" w:type="dxa"/>
          </w:tcPr>
          <w:p w14:paraId="53DCE427" w14:textId="79E45468" w:rsidR="002B7871" w:rsidRPr="003F2AF5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2B7871" w:rsidRPr="003F2AF5">
              <w:rPr>
                <w:sz w:val="20"/>
              </w:rPr>
              <w:t>%</w:t>
            </w:r>
          </w:p>
        </w:tc>
      </w:tr>
      <w:tr w:rsidR="002B7871" w14:paraId="1D68E4DE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</w:tcPr>
          <w:p w14:paraId="4365259A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 xml:space="preserve">Aircraft Fuel </w:t>
            </w:r>
          </w:p>
        </w:tc>
        <w:tc>
          <w:tcPr>
            <w:tcW w:w="1983" w:type="dxa"/>
          </w:tcPr>
          <w:p w14:paraId="1A6055A5" w14:textId="4A5AE93E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1,571,285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984" w:type="dxa"/>
          </w:tcPr>
          <w:p w14:paraId="7CC26677" w14:textId="021C3F45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1,554,293 </w:t>
            </w:r>
            <w:r w:rsidR="002B7871">
              <w:rPr>
                <w:sz w:val="20"/>
              </w:rPr>
              <w:t>L</w:t>
            </w:r>
          </w:p>
        </w:tc>
        <w:tc>
          <w:tcPr>
            <w:tcW w:w="1565" w:type="dxa"/>
          </w:tcPr>
          <w:p w14:paraId="48E1E707" w14:textId="10B3E9A6" w:rsidR="002B7871" w:rsidRPr="003F2AF5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2B7871" w:rsidRPr="003F2AF5">
              <w:rPr>
                <w:sz w:val="20"/>
              </w:rPr>
              <w:t>1%</w:t>
            </w:r>
          </w:p>
        </w:tc>
      </w:tr>
      <w:tr w:rsidR="002B7871" w14:paraId="4BA1B868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5C20CCA6" w14:textId="77777777" w:rsidR="002B7871" w:rsidRPr="00482D00" w:rsidRDefault="002B7871" w:rsidP="00FA367F">
            <w:pPr>
              <w:rPr>
                <w:sz w:val="20"/>
              </w:rPr>
            </w:pPr>
            <w:r w:rsidRPr="00482D00">
              <w:rPr>
                <w:sz w:val="20"/>
              </w:rPr>
              <w:t>Total Number of Operational Vehicles</w:t>
            </w:r>
          </w:p>
        </w:tc>
        <w:tc>
          <w:tcPr>
            <w:tcW w:w="1983" w:type="dxa"/>
          </w:tcPr>
          <w:p w14:paraId="7157D864" w14:textId="60C8A511" w:rsidR="002B7871" w:rsidRPr="00482D00" w:rsidRDefault="001C5A49" w:rsidP="00FA367F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>174</w:t>
            </w:r>
          </w:p>
        </w:tc>
        <w:tc>
          <w:tcPr>
            <w:tcW w:w="1984" w:type="dxa"/>
          </w:tcPr>
          <w:p w14:paraId="5215573C" w14:textId="44975647" w:rsidR="002B7871" w:rsidRPr="00482D00" w:rsidRDefault="00482D00" w:rsidP="00FA367F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>175</w:t>
            </w:r>
          </w:p>
        </w:tc>
        <w:tc>
          <w:tcPr>
            <w:tcW w:w="1565" w:type="dxa"/>
          </w:tcPr>
          <w:p w14:paraId="17C069A6" w14:textId="7CD5B689" w:rsidR="002B7871" w:rsidRPr="00482D00" w:rsidRDefault="00482D00" w:rsidP="00FA367F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>0.6</w:t>
            </w:r>
            <w:r w:rsidR="002B7871" w:rsidRPr="00482D00">
              <w:rPr>
                <w:sz w:val="20"/>
              </w:rPr>
              <w:t>%</w:t>
            </w:r>
          </w:p>
        </w:tc>
      </w:tr>
      <w:tr w:rsidR="002B7871" w14:paraId="3B123874" w14:textId="77777777" w:rsidTr="00701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62C42FA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Greenhouse Gas Emissions</w:t>
            </w:r>
          </w:p>
        </w:tc>
      </w:tr>
      <w:tr w:rsidR="002B7871" w14:paraId="6AEBAD32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450C867E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Station Emissions – Diesel Fuel</w:t>
            </w:r>
          </w:p>
        </w:tc>
        <w:tc>
          <w:tcPr>
            <w:tcW w:w="1983" w:type="dxa"/>
          </w:tcPr>
          <w:p w14:paraId="0C906D23" w14:textId="357F7AE5" w:rsidR="002B7871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6,031 </w:t>
            </w:r>
            <w:r w:rsidR="002B7871">
              <w:rPr>
                <w:sz w:val="20"/>
              </w:rPr>
              <w:t>t CO</w:t>
            </w:r>
            <w:r w:rsidR="002B7871" w:rsidRPr="00F90FB4">
              <w:rPr>
                <w:sz w:val="20"/>
                <w:vertAlign w:val="subscript"/>
              </w:rPr>
              <w:t>2</w:t>
            </w:r>
            <w:r w:rsidR="002B7871">
              <w:rPr>
                <w:sz w:val="20"/>
              </w:rPr>
              <w:t>-e</w:t>
            </w:r>
          </w:p>
        </w:tc>
        <w:tc>
          <w:tcPr>
            <w:tcW w:w="1984" w:type="dxa"/>
          </w:tcPr>
          <w:p w14:paraId="1BB797A2" w14:textId="769A73A9" w:rsidR="002B7871" w:rsidRPr="00607610" w:rsidRDefault="001C5A49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6,410 </w:t>
            </w:r>
            <w:r w:rsidR="002B7871">
              <w:rPr>
                <w:sz w:val="20"/>
              </w:rPr>
              <w:t>t CO</w:t>
            </w:r>
            <w:r w:rsidR="002B7871" w:rsidRPr="00F90FB4">
              <w:rPr>
                <w:sz w:val="20"/>
                <w:vertAlign w:val="subscript"/>
              </w:rPr>
              <w:t>2</w:t>
            </w:r>
            <w:r w:rsidR="002B7871">
              <w:rPr>
                <w:sz w:val="20"/>
              </w:rPr>
              <w:t>-e</w:t>
            </w:r>
          </w:p>
        </w:tc>
        <w:tc>
          <w:tcPr>
            <w:tcW w:w="1565" w:type="dxa"/>
          </w:tcPr>
          <w:p w14:paraId="6D40D301" w14:textId="0926C218" w:rsidR="002B7871" w:rsidRPr="003F2AF5" w:rsidRDefault="001C5A49" w:rsidP="001C5A49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2B7871" w:rsidRPr="003F2AF5">
              <w:rPr>
                <w:sz w:val="20"/>
              </w:rPr>
              <w:t>%</w:t>
            </w:r>
          </w:p>
        </w:tc>
      </w:tr>
      <w:tr w:rsidR="002B7871" w14:paraId="59D349FE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</w:tcPr>
          <w:p w14:paraId="6E603D4A" w14:textId="4B013A4F" w:rsidR="002B7871" w:rsidRPr="00482D00" w:rsidRDefault="002B7871" w:rsidP="00FA367F">
            <w:pPr>
              <w:rPr>
                <w:sz w:val="20"/>
              </w:rPr>
            </w:pPr>
            <w:r w:rsidRPr="00482D00">
              <w:rPr>
                <w:sz w:val="20"/>
              </w:rPr>
              <w:t>Total Emissions – Antarctic Operations</w:t>
            </w:r>
          </w:p>
        </w:tc>
        <w:tc>
          <w:tcPr>
            <w:tcW w:w="1983" w:type="dxa"/>
          </w:tcPr>
          <w:p w14:paraId="7D1C2FE6" w14:textId="1741976D" w:rsidR="002B7871" w:rsidRPr="00482D00" w:rsidRDefault="00482D00" w:rsidP="00FA367F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>17,829</w:t>
            </w:r>
            <w:r w:rsidR="00147754" w:rsidRPr="00482D00">
              <w:rPr>
                <w:sz w:val="20"/>
              </w:rPr>
              <w:t xml:space="preserve"> </w:t>
            </w:r>
            <w:r w:rsidR="002B7871" w:rsidRPr="00482D00">
              <w:rPr>
                <w:sz w:val="20"/>
              </w:rPr>
              <w:t>t CO</w:t>
            </w:r>
            <w:r w:rsidR="002B7871" w:rsidRPr="00482D00">
              <w:rPr>
                <w:sz w:val="20"/>
                <w:vertAlign w:val="subscript"/>
              </w:rPr>
              <w:t>2</w:t>
            </w:r>
            <w:r w:rsidR="002B7871" w:rsidRPr="00482D00">
              <w:rPr>
                <w:sz w:val="20"/>
              </w:rPr>
              <w:t>-e</w:t>
            </w:r>
          </w:p>
        </w:tc>
        <w:tc>
          <w:tcPr>
            <w:tcW w:w="1984" w:type="dxa"/>
          </w:tcPr>
          <w:p w14:paraId="3D6679AD" w14:textId="2E73232C" w:rsidR="002B7871" w:rsidRPr="00482D00" w:rsidRDefault="00482D00" w:rsidP="00FA367F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 xml:space="preserve">18,996 </w:t>
            </w:r>
            <w:r w:rsidR="002B7871" w:rsidRPr="00482D00">
              <w:rPr>
                <w:sz w:val="20"/>
              </w:rPr>
              <w:t>t CO</w:t>
            </w:r>
            <w:r w:rsidR="002B7871" w:rsidRPr="00482D00">
              <w:rPr>
                <w:sz w:val="20"/>
                <w:vertAlign w:val="subscript"/>
              </w:rPr>
              <w:t>2</w:t>
            </w:r>
            <w:r w:rsidR="002B7871" w:rsidRPr="00482D00">
              <w:rPr>
                <w:sz w:val="20"/>
              </w:rPr>
              <w:t>-e</w:t>
            </w:r>
          </w:p>
        </w:tc>
        <w:tc>
          <w:tcPr>
            <w:tcW w:w="1565" w:type="dxa"/>
          </w:tcPr>
          <w:p w14:paraId="1F56A3B6" w14:textId="484196C3" w:rsidR="002B7871" w:rsidRPr="00482D00" w:rsidRDefault="00482D00" w:rsidP="00637507">
            <w:pPr>
              <w:jc w:val="right"/>
              <w:rPr>
                <w:sz w:val="20"/>
              </w:rPr>
            </w:pPr>
            <w:r w:rsidRPr="00482D00">
              <w:rPr>
                <w:sz w:val="20"/>
              </w:rPr>
              <w:t>6.5</w:t>
            </w:r>
            <w:r w:rsidR="002B7871" w:rsidRPr="00482D00">
              <w:rPr>
                <w:sz w:val="20"/>
              </w:rPr>
              <w:t>%</w:t>
            </w:r>
          </w:p>
        </w:tc>
      </w:tr>
      <w:tr w:rsidR="002B7871" w14:paraId="082C2528" w14:textId="77777777" w:rsidTr="00701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9CA7D0D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Water Consumption</w:t>
            </w:r>
          </w:p>
        </w:tc>
      </w:tr>
      <w:tr w:rsidR="002B7871" w14:paraId="6E040ECE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</w:tcPr>
          <w:p w14:paraId="209A234F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Total Water Use</w:t>
            </w:r>
          </w:p>
        </w:tc>
        <w:tc>
          <w:tcPr>
            <w:tcW w:w="1983" w:type="dxa"/>
          </w:tcPr>
          <w:p w14:paraId="544954E1" w14:textId="0D9B1351" w:rsidR="002B7871" w:rsidRDefault="005E1420" w:rsidP="005E14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6,678 </w:t>
            </w:r>
            <w:proofErr w:type="spellStart"/>
            <w:r w:rsidR="002B7871">
              <w:rPr>
                <w:sz w:val="20"/>
              </w:rPr>
              <w:t>kL</w:t>
            </w:r>
            <w:proofErr w:type="spellEnd"/>
          </w:p>
        </w:tc>
        <w:tc>
          <w:tcPr>
            <w:tcW w:w="1984" w:type="dxa"/>
          </w:tcPr>
          <w:p w14:paraId="1C4A2B02" w14:textId="1140BA9C" w:rsidR="002B7871" w:rsidRDefault="005E1420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6,831 </w:t>
            </w:r>
            <w:proofErr w:type="spellStart"/>
            <w:r w:rsidR="002B7871">
              <w:rPr>
                <w:sz w:val="20"/>
              </w:rPr>
              <w:t>kL</w:t>
            </w:r>
            <w:proofErr w:type="spellEnd"/>
          </w:p>
        </w:tc>
        <w:tc>
          <w:tcPr>
            <w:tcW w:w="1565" w:type="dxa"/>
          </w:tcPr>
          <w:p w14:paraId="6460BB73" w14:textId="00BE21FC" w:rsidR="002B7871" w:rsidRPr="003F2AF5" w:rsidRDefault="001E655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  <w:r w:rsidR="002B7871" w:rsidRPr="003F2AF5">
              <w:rPr>
                <w:sz w:val="20"/>
              </w:rPr>
              <w:t>%</w:t>
            </w:r>
          </w:p>
        </w:tc>
      </w:tr>
      <w:tr w:rsidR="002B7871" w14:paraId="68C86EF5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2CB8E17C" w14:textId="77777777" w:rsidR="002B7871" w:rsidRPr="004A27D5" w:rsidRDefault="002B7871" w:rsidP="00FA367F">
            <w:pPr>
              <w:rPr>
                <w:sz w:val="20"/>
              </w:rPr>
            </w:pPr>
            <w:r w:rsidRPr="004A27D5">
              <w:rPr>
                <w:sz w:val="20"/>
              </w:rPr>
              <w:t>Water Use per Person</w:t>
            </w:r>
          </w:p>
        </w:tc>
        <w:tc>
          <w:tcPr>
            <w:tcW w:w="1983" w:type="dxa"/>
          </w:tcPr>
          <w:p w14:paraId="4BAF1435" w14:textId="55138E2E" w:rsidR="002B7871" w:rsidRPr="004A27D5" w:rsidRDefault="00A7049B" w:rsidP="00271C41">
            <w:pPr>
              <w:jc w:val="right"/>
              <w:rPr>
                <w:sz w:val="20"/>
              </w:rPr>
            </w:pPr>
            <w:r w:rsidRPr="004A27D5">
              <w:rPr>
                <w:sz w:val="20"/>
              </w:rPr>
              <w:t>50.2</w:t>
            </w:r>
            <w:r w:rsidR="004A27D5" w:rsidRPr="004A27D5">
              <w:rPr>
                <w:sz w:val="20"/>
              </w:rPr>
              <w:t>1</w:t>
            </w:r>
            <w:r w:rsidRPr="004A27D5">
              <w:rPr>
                <w:sz w:val="20"/>
              </w:rPr>
              <w:t xml:space="preserve"> </w:t>
            </w:r>
            <w:proofErr w:type="spellStart"/>
            <w:r w:rsidR="002B7871" w:rsidRPr="004A27D5">
              <w:rPr>
                <w:sz w:val="20"/>
              </w:rPr>
              <w:t>kL</w:t>
            </w:r>
            <w:proofErr w:type="spellEnd"/>
          </w:p>
        </w:tc>
        <w:tc>
          <w:tcPr>
            <w:tcW w:w="1984" w:type="dxa"/>
          </w:tcPr>
          <w:p w14:paraId="16A71E02" w14:textId="02D473A5" w:rsidR="002B7871" w:rsidRPr="004A27D5" w:rsidRDefault="00271C41" w:rsidP="004A27D5">
            <w:pPr>
              <w:jc w:val="right"/>
              <w:rPr>
                <w:sz w:val="20"/>
              </w:rPr>
            </w:pPr>
            <w:r w:rsidRPr="004A27D5">
              <w:rPr>
                <w:sz w:val="20"/>
              </w:rPr>
              <w:t>58.</w:t>
            </w:r>
            <w:r w:rsidR="004A27D5" w:rsidRPr="004A27D5">
              <w:rPr>
                <w:sz w:val="20"/>
              </w:rPr>
              <w:t xml:space="preserve">38 </w:t>
            </w:r>
            <w:proofErr w:type="spellStart"/>
            <w:r w:rsidR="002B7871" w:rsidRPr="004A27D5">
              <w:rPr>
                <w:sz w:val="20"/>
              </w:rPr>
              <w:t>kL</w:t>
            </w:r>
            <w:proofErr w:type="spellEnd"/>
          </w:p>
        </w:tc>
        <w:tc>
          <w:tcPr>
            <w:tcW w:w="1565" w:type="dxa"/>
          </w:tcPr>
          <w:p w14:paraId="2436E3A8" w14:textId="2B6544AE" w:rsidR="002B7871" w:rsidRPr="004A27D5" w:rsidRDefault="00271C41" w:rsidP="0035438A">
            <w:pPr>
              <w:jc w:val="right"/>
              <w:rPr>
                <w:sz w:val="20"/>
              </w:rPr>
            </w:pPr>
            <w:r w:rsidRPr="004A27D5">
              <w:rPr>
                <w:sz w:val="20"/>
              </w:rPr>
              <w:t>16.3</w:t>
            </w:r>
            <w:r w:rsidR="002B7871" w:rsidRPr="004A27D5">
              <w:rPr>
                <w:sz w:val="20"/>
              </w:rPr>
              <w:t>%</w:t>
            </w:r>
          </w:p>
        </w:tc>
      </w:tr>
      <w:tr w:rsidR="002B7871" w14:paraId="2BD1B3B9" w14:textId="77777777" w:rsidTr="00701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C559F6B" w14:textId="77777777" w:rsidR="002B7871" w:rsidRPr="003F2AF5" w:rsidRDefault="002B7871" w:rsidP="00FA367F">
            <w:pPr>
              <w:rPr>
                <w:b/>
                <w:sz w:val="20"/>
              </w:rPr>
            </w:pPr>
            <w:r w:rsidRPr="003F2AF5">
              <w:rPr>
                <w:b/>
                <w:sz w:val="20"/>
              </w:rPr>
              <w:t>Waste Returned to Australia</w:t>
            </w:r>
          </w:p>
        </w:tc>
      </w:tr>
      <w:tr w:rsidR="002B7871" w14:paraId="2BCC94BE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26E890C2" w14:textId="6CAAB5A1" w:rsidR="002B7871" w:rsidRDefault="002B7871" w:rsidP="00F06A60">
            <w:pPr>
              <w:rPr>
                <w:sz w:val="20"/>
              </w:rPr>
            </w:pPr>
            <w:r>
              <w:rPr>
                <w:sz w:val="20"/>
              </w:rPr>
              <w:t>Liquid Waste – Treated and Disposed</w:t>
            </w:r>
          </w:p>
        </w:tc>
        <w:tc>
          <w:tcPr>
            <w:tcW w:w="1983" w:type="dxa"/>
          </w:tcPr>
          <w:p w14:paraId="43062011" w14:textId="0BF49F05" w:rsidR="002B7871" w:rsidRDefault="00A7049B" w:rsidP="00FA367F">
            <w:pPr>
              <w:jc w:val="right"/>
              <w:rPr>
                <w:sz w:val="20"/>
              </w:rPr>
            </w:pPr>
            <w:r w:rsidRPr="002B7871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="002B7871">
              <w:rPr>
                <w:sz w:val="20"/>
              </w:rPr>
              <w:t>t</w:t>
            </w:r>
          </w:p>
        </w:tc>
        <w:tc>
          <w:tcPr>
            <w:tcW w:w="1984" w:type="dxa"/>
          </w:tcPr>
          <w:p w14:paraId="5D0911DA" w14:textId="6C06DFAA" w:rsidR="002B7871" w:rsidRPr="002B7871" w:rsidRDefault="00A7049B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 w:rsidR="00F06A60">
              <w:rPr>
                <w:sz w:val="20"/>
              </w:rPr>
              <w:t>^</w:t>
            </w:r>
            <w:r>
              <w:rPr>
                <w:sz w:val="20"/>
              </w:rPr>
              <w:t xml:space="preserve"> </w:t>
            </w:r>
            <w:r w:rsidR="002B7871" w:rsidRPr="002B7871">
              <w:rPr>
                <w:sz w:val="20"/>
              </w:rPr>
              <w:t>t</w:t>
            </w:r>
          </w:p>
        </w:tc>
        <w:tc>
          <w:tcPr>
            <w:tcW w:w="1565" w:type="dxa"/>
          </w:tcPr>
          <w:p w14:paraId="3FFEC4B1" w14:textId="24ABC4D4" w:rsidR="002B7871" w:rsidRPr="002B7871" w:rsidRDefault="0035438A" w:rsidP="00F06A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  <w:r w:rsidR="002B7871" w:rsidRPr="002B7871">
              <w:rPr>
                <w:sz w:val="20"/>
              </w:rPr>
              <w:t>%</w:t>
            </w:r>
          </w:p>
        </w:tc>
      </w:tr>
      <w:tr w:rsidR="002B7871" w14:paraId="3E35A196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</w:tcPr>
          <w:p w14:paraId="6272F9B7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Waste Sent to Recycling Facilities</w:t>
            </w:r>
          </w:p>
        </w:tc>
        <w:tc>
          <w:tcPr>
            <w:tcW w:w="1983" w:type="dxa"/>
          </w:tcPr>
          <w:p w14:paraId="6FE2C043" w14:textId="6629EDEF" w:rsidR="002B7871" w:rsidRDefault="0035438A" w:rsidP="00FA367F">
            <w:pPr>
              <w:jc w:val="right"/>
              <w:rPr>
                <w:sz w:val="20"/>
              </w:rPr>
            </w:pPr>
            <w:r w:rsidRPr="002B7871">
              <w:rPr>
                <w:sz w:val="20"/>
              </w:rPr>
              <w:t>78</w:t>
            </w:r>
            <w:r>
              <w:rPr>
                <w:sz w:val="20"/>
              </w:rPr>
              <w:t xml:space="preserve"> </w:t>
            </w:r>
            <w:r w:rsidR="002B7871">
              <w:rPr>
                <w:sz w:val="20"/>
              </w:rPr>
              <w:t>t</w:t>
            </w:r>
          </w:p>
        </w:tc>
        <w:tc>
          <w:tcPr>
            <w:tcW w:w="1984" w:type="dxa"/>
          </w:tcPr>
          <w:p w14:paraId="68F6C1EC" w14:textId="7199D62B" w:rsidR="002B7871" w:rsidRPr="002B7871" w:rsidRDefault="0035438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61 </w:t>
            </w:r>
            <w:r w:rsidR="002B7871" w:rsidRPr="002B7871">
              <w:rPr>
                <w:sz w:val="20"/>
              </w:rPr>
              <w:t>t</w:t>
            </w:r>
          </w:p>
        </w:tc>
        <w:tc>
          <w:tcPr>
            <w:tcW w:w="1565" w:type="dxa"/>
          </w:tcPr>
          <w:p w14:paraId="5D7A770A" w14:textId="4A4CA885" w:rsidR="002B7871" w:rsidRPr="002B7871" w:rsidRDefault="0035438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</w:t>
            </w:r>
            <w:r w:rsidR="002B7871" w:rsidRPr="002B7871">
              <w:rPr>
                <w:sz w:val="20"/>
              </w:rPr>
              <w:t>%</w:t>
            </w:r>
          </w:p>
        </w:tc>
      </w:tr>
      <w:tr w:rsidR="002B7871" w14:paraId="6F2501A6" w14:textId="77777777" w:rsidTr="00F06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77" w:type="dxa"/>
          </w:tcPr>
          <w:p w14:paraId="2A84C100" w14:textId="77777777" w:rsidR="002B7871" w:rsidRDefault="002B7871" w:rsidP="00FA367F">
            <w:pPr>
              <w:rPr>
                <w:sz w:val="20"/>
              </w:rPr>
            </w:pPr>
            <w:r>
              <w:rPr>
                <w:sz w:val="20"/>
              </w:rPr>
              <w:t>Waste to Landfill</w:t>
            </w:r>
          </w:p>
        </w:tc>
        <w:tc>
          <w:tcPr>
            <w:tcW w:w="1983" w:type="dxa"/>
          </w:tcPr>
          <w:p w14:paraId="41ECD7BE" w14:textId="0A930016" w:rsidR="002B7871" w:rsidRDefault="0035438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164 </w:t>
            </w:r>
            <w:r w:rsidR="002B7871">
              <w:rPr>
                <w:sz w:val="20"/>
              </w:rPr>
              <w:t>t</w:t>
            </w:r>
          </w:p>
        </w:tc>
        <w:tc>
          <w:tcPr>
            <w:tcW w:w="1984" w:type="dxa"/>
          </w:tcPr>
          <w:p w14:paraId="361D7D73" w14:textId="121D6D11" w:rsidR="002B7871" w:rsidRDefault="0035438A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191 </w:t>
            </w:r>
            <w:r w:rsidR="002B7871">
              <w:rPr>
                <w:sz w:val="20"/>
              </w:rPr>
              <w:t>t</w:t>
            </w:r>
          </w:p>
        </w:tc>
        <w:tc>
          <w:tcPr>
            <w:tcW w:w="1565" w:type="dxa"/>
          </w:tcPr>
          <w:p w14:paraId="24626E0F" w14:textId="73A2EDEF" w:rsidR="002B7871" w:rsidRPr="003F2AF5" w:rsidRDefault="0035438A" w:rsidP="003543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2B7871" w:rsidRPr="003F2AF5">
              <w:rPr>
                <w:sz w:val="20"/>
              </w:rPr>
              <w:t>%</w:t>
            </w:r>
          </w:p>
        </w:tc>
      </w:tr>
      <w:tr w:rsidR="002B7871" w14:paraId="1DC44D6F" w14:textId="77777777" w:rsidTr="00F0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77" w:type="dxa"/>
            <w:shd w:val="clear" w:color="auto" w:fill="auto"/>
          </w:tcPr>
          <w:p w14:paraId="79BD3317" w14:textId="4FEDDF78" w:rsidR="002B7871" w:rsidRPr="00EE1B6E" w:rsidRDefault="002B7871" w:rsidP="00FA367F">
            <w:pPr>
              <w:rPr>
                <w:sz w:val="20"/>
              </w:rPr>
            </w:pPr>
            <w:r w:rsidRPr="00EE1B6E">
              <w:rPr>
                <w:sz w:val="20"/>
              </w:rPr>
              <w:t>Total Waste per Person</w:t>
            </w:r>
          </w:p>
        </w:tc>
        <w:tc>
          <w:tcPr>
            <w:tcW w:w="1983" w:type="dxa"/>
            <w:shd w:val="clear" w:color="auto" w:fill="auto"/>
          </w:tcPr>
          <w:p w14:paraId="6A5DE7DF" w14:textId="7A732A1D" w:rsidR="002B7871" w:rsidRPr="00EE1B6E" w:rsidRDefault="0035438A" w:rsidP="00FA367F">
            <w:pPr>
              <w:jc w:val="right"/>
              <w:rPr>
                <w:sz w:val="20"/>
              </w:rPr>
            </w:pPr>
            <w:r w:rsidRPr="00EE1B6E">
              <w:rPr>
                <w:sz w:val="20"/>
              </w:rPr>
              <w:t xml:space="preserve">1.98 </w:t>
            </w:r>
            <w:r w:rsidR="002B7871" w:rsidRPr="00EE1B6E">
              <w:rPr>
                <w:sz w:val="20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14:paraId="2F955338" w14:textId="20D209AE" w:rsidR="002B7871" w:rsidRPr="00EE1B6E" w:rsidRDefault="00EE1B6E" w:rsidP="00C30B32">
            <w:pPr>
              <w:jc w:val="right"/>
              <w:rPr>
                <w:sz w:val="20"/>
              </w:rPr>
            </w:pPr>
            <w:r w:rsidRPr="00EE1B6E">
              <w:rPr>
                <w:sz w:val="20"/>
              </w:rPr>
              <w:t>2.</w:t>
            </w:r>
            <w:r w:rsidR="00C30B32">
              <w:rPr>
                <w:sz w:val="20"/>
              </w:rPr>
              <w:t>15</w:t>
            </w:r>
            <w:r w:rsidRPr="00EE1B6E">
              <w:rPr>
                <w:sz w:val="20"/>
              </w:rPr>
              <w:t xml:space="preserve"> </w:t>
            </w:r>
            <w:r w:rsidR="002B7871" w:rsidRPr="00EE1B6E">
              <w:rPr>
                <w:sz w:val="20"/>
              </w:rPr>
              <w:t>t</w:t>
            </w:r>
          </w:p>
        </w:tc>
        <w:tc>
          <w:tcPr>
            <w:tcW w:w="1565" w:type="dxa"/>
            <w:shd w:val="clear" w:color="auto" w:fill="auto"/>
          </w:tcPr>
          <w:p w14:paraId="0EA652D4" w14:textId="7166C246" w:rsidR="002B7871" w:rsidRPr="00EE1B6E" w:rsidRDefault="00C30B32" w:rsidP="00FA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  <w:r w:rsidR="002B7871" w:rsidRPr="00EE1B6E">
              <w:rPr>
                <w:sz w:val="20"/>
              </w:rPr>
              <w:t>%</w:t>
            </w:r>
          </w:p>
        </w:tc>
      </w:tr>
      <w:tr w:rsidR="00E345D7" w:rsidRPr="00E345D7" w14:paraId="204C8D13" w14:textId="77777777" w:rsidTr="00701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4"/>
          </w:tcPr>
          <w:p w14:paraId="07683C5A" w14:textId="4F3BA0B4" w:rsidR="00E345D7" w:rsidRPr="00061ABE" w:rsidRDefault="00E345D7" w:rsidP="00E345D7">
            <w:pPr>
              <w:rPr>
                <w:i/>
                <w:sz w:val="14"/>
              </w:rPr>
            </w:pPr>
            <w:r w:rsidRPr="00061ABE">
              <w:rPr>
                <w:i/>
                <w:sz w:val="14"/>
              </w:rPr>
              <w:t xml:space="preserve">* </w:t>
            </w:r>
            <w:r w:rsidR="00F06A60" w:rsidRPr="00061ABE">
              <w:rPr>
                <w:i/>
                <w:sz w:val="14"/>
              </w:rPr>
              <w:t xml:space="preserve">Average </w:t>
            </w:r>
            <w:r w:rsidR="00D14DBD" w:rsidRPr="00061ABE">
              <w:rPr>
                <w:i/>
                <w:sz w:val="14"/>
              </w:rPr>
              <w:t>S</w:t>
            </w:r>
            <w:r w:rsidRPr="00061ABE">
              <w:rPr>
                <w:i/>
                <w:sz w:val="14"/>
              </w:rPr>
              <w:t xml:space="preserve">taffing </w:t>
            </w:r>
            <w:r w:rsidR="00F06A60" w:rsidRPr="00061ABE">
              <w:rPr>
                <w:i/>
                <w:sz w:val="14"/>
              </w:rPr>
              <w:t>L</w:t>
            </w:r>
            <w:r w:rsidRPr="00061ABE">
              <w:rPr>
                <w:i/>
                <w:sz w:val="14"/>
              </w:rPr>
              <w:t>evels does not include round-trippers, etc., as this information is no longer available.</w:t>
            </w:r>
          </w:p>
          <w:p w14:paraId="78BDB16D" w14:textId="018D13B1" w:rsidR="0035438A" w:rsidRPr="00061ABE" w:rsidRDefault="00D14DBD" w:rsidP="00F06A60">
            <w:pPr>
              <w:rPr>
                <w:i/>
                <w:sz w:val="14"/>
              </w:rPr>
            </w:pPr>
            <w:r w:rsidRPr="00061ABE">
              <w:rPr>
                <w:i/>
                <w:sz w:val="14"/>
              </w:rPr>
              <w:t>^ L</w:t>
            </w:r>
            <w:r w:rsidR="0035438A" w:rsidRPr="00061ABE">
              <w:rPr>
                <w:i/>
                <w:sz w:val="14"/>
              </w:rPr>
              <w:t xml:space="preserve">iquid is made up of sewer sludge, oily water, </w:t>
            </w:r>
            <w:r w:rsidR="00F06A60" w:rsidRPr="00061ABE">
              <w:rPr>
                <w:i/>
                <w:sz w:val="14"/>
              </w:rPr>
              <w:t>RO water and coolant</w:t>
            </w:r>
            <w:r w:rsidR="0035438A" w:rsidRPr="00061ABE">
              <w:rPr>
                <w:i/>
                <w:sz w:val="14"/>
              </w:rPr>
              <w:t>.</w:t>
            </w:r>
          </w:p>
        </w:tc>
      </w:tr>
    </w:tbl>
    <w:p w14:paraId="06148CBF" w14:textId="4D9E0A41" w:rsidR="00B36B97" w:rsidRDefault="00B36B97">
      <w:pPr>
        <w:pStyle w:val="Body"/>
      </w:pPr>
    </w:p>
    <w:sectPr w:rsidR="00B36B97" w:rsidSect="002141C3">
      <w:footerReference w:type="default" r:id="rId13"/>
      <w:pgSz w:w="11900" w:h="16840"/>
      <w:pgMar w:top="2268" w:right="1440" w:bottom="1440" w:left="1440" w:header="425" w:footer="4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015EE" w14:textId="77777777" w:rsidR="002A1A51" w:rsidRDefault="002A1A51">
      <w:r>
        <w:separator/>
      </w:r>
    </w:p>
  </w:endnote>
  <w:endnote w:type="continuationSeparator" w:id="0">
    <w:p w14:paraId="0D89F608" w14:textId="77777777" w:rsidR="002A1A51" w:rsidRDefault="002A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717D" w14:textId="77777777" w:rsidR="008E71ED" w:rsidRDefault="008E7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6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7D4BC" w14:textId="2B87E736" w:rsidR="0011636C" w:rsidRDefault="001163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237DD" w14:textId="69466533" w:rsidR="0011636C" w:rsidRDefault="0011636C" w:rsidP="0011636C">
    <w:pPr>
      <w:pStyle w:val="Footer"/>
      <w:tabs>
        <w:tab w:val="clear" w:pos="9026"/>
        <w:tab w:val="right" w:pos="9000"/>
      </w:tabs>
    </w:pPr>
    <w:r>
      <w:rPr>
        <w:sz w:val="18"/>
        <w:szCs w:val="18"/>
      </w:rPr>
      <w:t>2018</w:t>
    </w:r>
    <w:r w:rsidR="002F0E9B">
      <w:rPr>
        <w:sz w:val="18"/>
        <w:szCs w:val="18"/>
      </w:rPr>
      <w:t>-19</w:t>
    </w:r>
    <w:r>
      <w:rPr>
        <w:sz w:val="18"/>
        <w:szCs w:val="18"/>
      </w:rPr>
      <w:t xml:space="preserve"> Annual Report Environmental Indicators</w:t>
    </w:r>
  </w:p>
  <w:p w14:paraId="6F026A95" w14:textId="1251E17F" w:rsidR="00B36B97" w:rsidRDefault="00B36B97" w:rsidP="0011636C">
    <w:pPr>
      <w:pStyle w:val="Footer"/>
      <w:tabs>
        <w:tab w:val="clear" w:pos="9026"/>
        <w:tab w:val="right" w:pos="900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733B3" w14:textId="77777777" w:rsidR="008E71ED" w:rsidRDefault="008E71E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8C2A" w14:textId="77777777" w:rsidR="0011636C" w:rsidRPr="0011636C" w:rsidRDefault="0011636C">
    <w:pPr>
      <w:pStyle w:val="Footer"/>
      <w:tabs>
        <w:tab w:val="clear" w:pos="9026"/>
        <w:tab w:val="right" w:pos="9000"/>
      </w:tabs>
      <w:jc w:val="right"/>
      <w:rPr>
        <w:szCs w:val="20"/>
      </w:rPr>
    </w:pPr>
    <w:r w:rsidRPr="0011636C">
      <w:rPr>
        <w:szCs w:val="20"/>
      </w:rPr>
      <w:t>5</w:t>
    </w:r>
  </w:p>
  <w:p w14:paraId="1602E287" w14:textId="5D911891" w:rsidR="0011636C" w:rsidRDefault="0011636C">
    <w:pPr>
      <w:pStyle w:val="Footer"/>
      <w:tabs>
        <w:tab w:val="clear" w:pos="9026"/>
        <w:tab w:val="right" w:pos="9000"/>
      </w:tabs>
    </w:pPr>
    <w:r>
      <w:rPr>
        <w:sz w:val="18"/>
        <w:szCs w:val="18"/>
      </w:rPr>
      <w:t>2018</w:t>
    </w:r>
    <w:r w:rsidR="002F0E9B">
      <w:rPr>
        <w:sz w:val="18"/>
        <w:szCs w:val="18"/>
      </w:rPr>
      <w:t>-19</w:t>
    </w:r>
    <w:r>
      <w:rPr>
        <w:sz w:val="18"/>
        <w:szCs w:val="18"/>
      </w:rPr>
      <w:t xml:space="preserve"> Annual Report Environmental Indicators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6D62" w14:textId="77777777" w:rsidR="002A1A51" w:rsidRDefault="002A1A51">
      <w:r>
        <w:separator/>
      </w:r>
    </w:p>
  </w:footnote>
  <w:footnote w:type="continuationSeparator" w:id="0">
    <w:p w14:paraId="696E8268" w14:textId="77777777" w:rsidR="002A1A51" w:rsidRDefault="002A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F5813" w14:textId="77777777" w:rsidR="008E71ED" w:rsidRDefault="008E7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C81A3" w14:textId="77777777" w:rsidR="00B36B97" w:rsidRDefault="00D45F65">
    <w:pPr>
      <w:pStyle w:val="Header"/>
      <w:tabs>
        <w:tab w:val="clear" w:pos="9026"/>
        <w:tab w:val="right" w:pos="9000"/>
      </w:tabs>
    </w:pPr>
    <w:r>
      <w:rPr>
        <w:noProof/>
        <w:lang w:val="en-AU"/>
      </w:rPr>
      <w:drawing>
        <wp:anchor distT="152400" distB="152400" distL="152400" distR="152400" simplePos="0" relativeHeight="251658240" behindDoc="1" locked="0" layoutInCell="1" allowOverlap="1" wp14:anchorId="2A40CD43" wp14:editId="130F55EB">
          <wp:simplePos x="0" y="0"/>
          <wp:positionH relativeFrom="page">
            <wp:posOffset>-9525</wp:posOffset>
          </wp:positionH>
          <wp:positionV relativeFrom="page">
            <wp:posOffset>-64135</wp:posOffset>
          </wp:positionV>
          <wp:extent cx="7559675" cy="1439545"/>
          <wp:effectExtent l="0" t="0" r="0" b="0"/>
          <wp:wrapNone/>
          <wp:docPr id="1" name="officeArt object" descr="A4_Word_Header_Pl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4_Word_Header_Plain.png" descr="A4_Word_Header_Pl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/>
      </w:rPr>
      <w:drawing>
        <wp:anchor distT="152400" distB="152400" distL="152400" distR="152400" simplePos="0" relativeHeight="251659264" behindDoc="1" locked="0" layoutInCell="1" allowOverlap="1" wp14:anchorId="4E5FC2EE" wp14:editId="4AC604E5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3517265" cy="608965"/>
          <wp:effectExtent l="0" t="0" r="0" b="0"/>
          <wp:wrapNone/>
          <wp:docPr id="2" name="officeArt object" descr="Description: Department of th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ption: Department of the Logo" descr="Description: Department of the 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65" cy="608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A229" w14:textId="77777777" w:rsidR="008E71ED" w:rsidRDefault="008E7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163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843AA"/>
    <w:multiLevelType w:val="hybridMultilevel"/>
    <w:tmpl w:val="E5B02416"/>
    <w:numStyleLink w:val="ImportedStyle2"/>
  </w:abstractNum>
  <w:abstractNum w:abstractNumId="2" w15:restartNumberingAfterBreak="0">
    <w:nsid w:val="23A366B8"/>
    <w:multiLevelType w:val="hybridMultilevel"/>
    <w:tmpl w:val="E5B02416"/>
    <w:styleLink w:val="ImportedStyle2"/>
    <w:lvl w:ilvl="0" w:tplc="CB4CB3C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2F6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677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8AC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AF9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AC2F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0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1421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C74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7"/>
    <w:rsid w:val="00061ABE"/>
    <w:rsid w:val="00074A0E"/>
    <w:rsid w:val="0008224E"/>
    <w:rsid w:val="0009566B"/>
    <w:rsid w:val="000A190E"/>
    <w:rsid w:val="000A26CD"/>
    <w:rsid w:val="000B1B4F"/>
    <w:rsid w:val="000E1BAF"/>
    <w:rsid w:val="0011636C"/>
    <w:rsid w:val="00127F44"/>
    <w:rsid w:val="00147754"/>
    <w:rsid w:val="00196265"/>
    <w:rsid w:val="001C5A49"/>
    <w:rsid w:val="001C6DBD"/>
    <w:rsid w:val="001E655A"/>
    <w:rsid w:val="001F659D"/>
    <w:rsid w:val="002141C3"/>
    <w:rsid w:val="00224DB6"/>
    <w:rsid w:val="00230E75"/>
    <w:rsid w:val="00251676"/>
    <w:rsid w:val="00271C41"/>
    <w:rsid w:val="00272B67"/>
    <w:rsid w:val="002A1A51"/>
    <w:rsid w:val="002B7871"/>
    <w:rsid w:val="002F0E9B"/>
    <w:rsid w:val="0035438A"/>
    <w:rsid w:val="00384579"/>
    <w:rsid w:val="003878D3"/>
    <w:rsid w:val="00393387"/>
    <w:rsid w:val="00393D25"/>
    <w:rsid w:val="004234E9"/>
    <w:rsid w:val="0045126B"/>
    <w:rsid w:val="004557A3"/>
    <w:rsid w:val="004633F0"/>
    <w:rsid w:val="00482D00"/>
    <w:rsid w:val="00496EB9"/>
    <w:rsid w:val="004A07FC"/>
    <w:rsid w:val="004A27D5"/>
    <w:rsid w:val="004A30E0"/>
    <w:rsid w:val="004A6CE8"/>
    <w:rsid w:val="004B7B73"/>
    <w:rsid w:val="004C51F5"/>
    <w:rsid w:val="00511AF7"/>
    <w:rsid w:val="00543D35"/>
    <w:rsid w:val="00564F2A"/>
    <w:rsid w:val="00567512"/>
    <w:rsid w:val="005C663D"/>
    <w:rsid w:val="005E1420"/>
    <w:rsid w:val="005E748F"/>
    <w:rsid w:val="005F791A"/>
    <w:rsid w:val="006167BF"/>
    <w:rsid w:val="00637507"/>
    <w:rsid w:val="00680F37"/>
    <w:rsid w:val="006A1A39"/>
    <w:rsid w:val="006C1352"/>
    <w:rsid w:val="006C28A4"/>
    <w:rsid w:val="006F07BE"/>
    <w:rsid w:val="00701478"/>
    <w:rsid w:val="00714572"/>
    <w:rsid w:val="00741C60"/>
    <w:rsid w:val="00790480"/>
    <w:rsid w:val="007C58F0"/>
    <w:rsid w:val="007E2DE5"/>
    <w:rsid w:val="00883AAF"/>
    <w:rsid w:val="008E71ED"/>
    <w:rsid w:val="008F352A"/>
    <w:rsid w:val="00A55C0C"/>
    <w:rsid w:val="00A637D2"/>
    <w:rsid w:val="00A7049B"/>
    <w:rsid w:val="00A97376"/>
    <w:rsid w:val="00AF6C20"/>
    <w:rsid w:val="00B03C19"/>
    <w:rsid w:val="00B12C15"/>
    <w:rsid w:val="00B36B97"/>
    <w:rsid w:val="00B60775"/>
    <w:rsid w:val="00B84DDE"/>
    <w:rsid w:val="00B961BB"/>
    <w:rsid w:val="00BD7E7F"/>
    <w:rsid w:val="00C03379"/>
    <w:rsid w:val="00C1220A"/>
    <w:rsid w:val="00C2752E"/>
    <w:rsid w:val="00C30B32"/>
    <w:rsid w:val="00C30DE6"/>
    <w:rsid w:val="00CB5A85"/>
    <w:rsid w:val="00CC604E"/>
    <w:rsid w:val="00CE3784"/>
    <w:rsid w:val="00CF2549"/>
    <w:rsid w:val="00D108FE"/>
    <w:rsid w:val="00D14DBD"/>
    <w:rsid w:val="00D332E0"/>
    <w:rsid w:val="00D45F65"/>
    <w:rsid w:val="00D465DC"/>
    <w:rsid w:val="00D501E5"/>
    <w:rsid w:val="00D54A41"/>
    <w:rsid w:val="00D65D0B"/>
    <w:rsid w:val="00DB1A0C"/>
    <w:rsid w:val="00E17517"/>
    <w:rsid w:val="00E345D7"/>
    <w:rsid w:val="00E440FA"/>
    <w:rsid w:val="00E6393D"/>
    <w:rsid w:val="00EB3A0E"/>
    <w:rsid w:val="00EC4983"/>
    <w:rsid w:val="00EE1B6E"/>
    <w:rsid w:val="00F06A60"/>
    <w:rsid w:val="00F20D31"/>
    <w:rsid w:val="00F22E7C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E5E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8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83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2B7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/>
      <w:bdr w:val="none" w:sz="0" w:space="0" w:color="auto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11636C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Bullet">
    <w:name w:val="List Bullet"/>
    <w:basedOn w:val="Normal"/>
    <w:uiPriority w:val="99"/>
    <w:unhideWhenUsed/>
    <w:rsid w:val="00CC604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4126B97F.dotm</Template>
  <TotalTime>0</TotalTime>
  <Pages>5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Environment and Energy 2018-19 Annual Report Environmental Indicators</dc:title>
  <dc:creator/>
  <cp:lastModifiedBy/>
  <cp:revision>1</cp:revision>
  <dcterms:created xsi:type="dcterms:W3CDTF">2019-11-21T23:39:00Z</dcterms:created>
  <dcterms:modified xsi:type="dcterms:W3CDTF">2019-11-21T23:40:00Z</dcterms:modified>
</cp:coreProperties>
</file>